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205105</wp:posOffset>
            </wp:positionH>
            <wp:positionV relativeFrom="page">
              <wp:posOffset>499110</wp:posOffset>
            </wp:positionV>
            <wp:extent cx="7138035" cy="16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8035" cy="16510"/>
                    </a:xfrm>
                    <a:prstGeom prst="rect">
                      <a:avLst/>
                    </a:prstGeom>
                    <a:noFill/>
                  </pic:spPr>
                </pic:pic>
              </a:graphicData>
            </a:graphic>
          </wp:anchor>
        </w:drawing>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SECURITIES AND EXCHANGE COMMISSION</w:t>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21"/>
          <w:szCs w:val="21"/>
          <w:color w:val="auto"/>
        </w:rPr>
        <w:t>Washington, D.C. 20549</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31"/>
          <w:szCs w:val="31"/>
          <w:b w:val="1"/>
          <w:bCs w:val="1"/>
          <w:color w:val="auto"/>
        </w:rPr>
        <w:t>FORM 10-Q</w:t>
      </w:r>
    </w:p>
    <w:p>
      <w:pPr>
        <w:spacing w:after="0"/>
        <w:rPr>
          <w:sz w:val="20"/>
          <w:szCs w:val="20"/>
          <w:color w:val="auto"/>
        </w:rPr>
      </w:pPr>
      <w:r>
        <w:rPr>
          <w:rFonts w:ascii="Arial" w:cs="Arial" w:eastAsia="Arial" w:hAnsi="Arial"/>
          <w:sz w:val="17"/>
          <w:szCs w:val="17"/>
          <w:color w:val="auto"/>
        </w:rPr>
        <w:t>(Mark one)</w:t>
      </w:r>
    </w:p>
    <w:p>
      <w:pPr>
        <w:spacing w:after="0" w:line="105" w:lineRule="exact"/>
        <w:rPr>
          <w:sz w:val="24"/>
          <w:szCs w:val="24"/>
          <w:color w:val="auto"/>
        </w:rPr>
      </w:pPr>
    </w:p>
    <w:p>
      <w:pPr>
        <w:ind w:left="260" w:hanging="239"/>
        <w:spacing w:after="0"/>
        <w:tabs>
          <w:tab w:leader="none" w:pos="260" w:val="left"/>
        </w:tabs>
        <w:numPr>
          <w:ilvl w:val="0"/>
          <w:numId w:val="1"/>
        </w:numPr>
        <w:rPr>
          <w:rFonts w:ascii="MS PGothic" w:cs="MS PGothic" w:eastAsia="MS PGothic" w:hAnsi="MS PGothic"/>
          <w:sz w:val="21"/>
          <w:szCs w:val="21"/>
          <w:color w:val="auto"/>
        </w:rPr>
      </w:pPr>
      <w:r>
        <w:rPr>
          <w:rFonts w:ascii="Arial" w:cs="Arial" w:eastAsia="Arial" w:hAnsi="Arial"/>
          <w:sz w:val="21"/>
          <w:szCs w:val="21"/>
          <w:color w:val="auto"/>
        </w:rPr>
        <w:t>QUARTERLY REPORT PURSUANT TO SECTION 13 OR 15(d) OF THE SECURITIES EXCHANGE ACT OF 1934</w:t>
      </w:r>
    </w:p>
    <w:p>
      <w:pPr>
        <w:spacing w:after="0" w:line="103" w:lineRule="exact"/>
        <w:rPr>
          <w:sz w:val="24"/>
          <w:szCs w:val="24"/>
          <w:color w:val="auto"/>
        </w:rPr>
      </w:pPr>
    </w:p>
    <w:p>
      <w:pPr>
        <w:spacing w:after="0"/>
        <w:rPr>
          <w:sz w:val="20"/>
          <w:szCs w:val="20"/>
          <w:color w:val="auto"/>
        </w:rPr>
      </w:pPr>
      <w:r>
        <w:rPr>
          <w:rFonts w:ascii="Arial" w:cs="Arial" w:eastAsia="Arial" w:hAnsi="Arial"/>
          <w:sz w:val="17"/>
          <w:szCs w:val="17"/>
          <w:color w:val="auto"/>
        </w:rPr>
        <w:t>For the quarterly period ended June 30, 2022</w:t>
      </w:r>
    </w:p>
    <w:p>
      <w:pPr>
        <w:spacing w:after="0" w:line="115" w:lineRule="exact"/>
        <w:rPr>
          <w:sz w:val="24"/>
          <w:szCs w:val="24"/>
          <w:color w:val="auto"/>
        </w:rPr>
      </w:pPr>
    </w:p>
    <w:p>
      <w:pPr>
        <w:spacing w:after="0"/>
        <w:rPr>
          <w:sz w:val="20"/>
          <w:szCs w:val="20"/>
          <w:color w:val="auto"/>
        </w:rPr>
      </w:pPr>
      <w:r>
        <w:rPr>
          <w:rFonts w:ascii="Arial" w:cs="Arial" w:eastAsia="Arial" w:hAnsi="Arial"/>
          <w:sz w:val="17"/>
          <w:szCs w:val="17"/>
          <w:color w:val="auto"/>
        </w:rPr>
        <w:t>OR</w:t>
      </w:r>
    </w:p>
    <w:p>
      <w:pPr>
        <w:spacing w:after="0" w:line="132" w:lineRule="exact"/>
        <w:rPr>
          <w:sz w:val="24"/>
          <w:szCs w:val="24"/>
          <w:color w:val="auto"/>
        </w:rPr>
      </w:pPr>
    </w:p>
    <w:p>
      <w:pPr>
        <w:ind w:left="400" w:hanging="379"/>
        <w:spacing w:after="0"/>
        <w:tabs>
          <w:tab w:leader="none" w:pos="400" w:val="left"/>
        </w:tabs>
        <w:numPr>
          <w:ilvl w:val="0"/>
          <w:numId w:val="2"/>
        </w:numPr>
        <w:rPr>
          <w:rFonts w:ascii="MS PGothic" w:cs="MS PGothic" w:eastAsia="MS PGothic" w:hAnsi="MS PGothic"/>
          <w:sz w:val="21"/>
          <w:szCs w:val="21"/>
          <w:color w:val="auto"/>
        </w:rPr>
      </w:pPr>
      <w:r>
        <w:rPr>
          <w:rFonts w:ascii="Arial" w:cs="Arial" w:eastAsia="Arial" w:hAnsi="Arial"/>
          <w:sz w:val="21"/>
          <w:szCs w:val="21"/>
          <w:color w:val="auto"/>
        </w:rPr>
        <w:t>TRANSITION REPORT PURSUANT TO SECTION 13 OR 15(d) OF THE SECURITIES EXCHANGE ACT OF 1934</w:t>
      </w:r>
    </w:p>
    <w:p>
      <w:pPr>
        <w:spacing w:after="0" w:line="40" w:lineRule="exact"/>
        <w:rPr>
          <w:sz w:val="24"/>
          <w:szCs w:val="24"/>
          <w:color w:val="auto"/>
        </w:rPr>
      </w:pPr>
    </w:p>
    <w:p>
      <w:pPr>
        <w:ind w:left="400"/>
        <w:spacing w:after="0"/>
        <w:rPr>
          <w:sz w:val="20"/>
          <w:szCs w:val="20"/>
          <w:color w:val="auto"/>
        </w:rPr>
      </w:pPr>
      <w:r>
        <w:rPr>
          <w:rFonts w:ascii="Arial" w:cs="Arial" w:eastAsia="Arial" w:hAnsi="Arial"/>
          <w:sz w:val="17"/>
          <w:szCs w:val="17"/>
          <w:color w:val="auto"/>
        </w:rPr>
        <w:t>For the transition period from: ____________________ to ____________________</w:t>
      </w:r>
    </w:p>
    <w:p>
      <w:pPr>
        <w:spacing w:after="0" w:line="178"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Commission File No. 1-13219</w:t>
      </w:r>
    </w:p>
    <w:p>
      <w:pPr>
        <w:spacing w:after="0" w:line="98" w:lineRule="exact"/>
        <w:rPr>
          <w:sz w:val="24"/>
          <w:szCs w:val="24"/>
          <w:color w:val="auto"/>
        </w:rPr>
      </w:pPr>
    </w:p>
    <w:p>
      <w:pPr>
        <w:jc w:val="center"/>
        <w:ind w:right="-19"/>
        <w:spacing w:after="0"/>
        <w:rPr>
          <w:sz w:val="20"/>
          <w:szCs w:val="20"/>
          <w:color w:val="auto"/>
        </w:rPr>
      </w:pPr>
      <w:r>
        <w:rPr>
          <w:rFonts w:ascii="Arial" w:cs="Arial" w:eastAsia="Arial" w:hAnsi="Arial"/>
          <w:sz w:val="41"/>
          <w:szCs w:val="41"/>
          <w:b w:val="1"/>
          <w:bCs w:val="1"/>
          <w:color w:val="auto"/>
        </w:rPr>
        <w:t>OCWEN FINANCIAL CORPORATION</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(Exact name of registrant as specified in its charter)</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225"/>
        </w:trPr>
        <w:tc>
          <w:tcPr>
            <w:tcW w:w="5140" w:type="dxa"/>
            <w:vAlign w:val="bottom"/>
          </w:tcPr>
          <w:p>
            <w:pPr>
              <w:jc w:val="center"/>
              <w:spacing w:after="0"/>
              <w:rPr>
                <w:sz w:val="20"/>
                <w:szCs w:val="20"/>
                <w:color w:val="auto"/>
              </w:rPr>
            </w:pPr>
            <w:r>
              <w:rPr>
                <w:rFonts w:ascii="Arial" w:cs="Arial" w:eastAsia="Arial" w:hAnsi="Arial"/>
                <w:sz w:val="17"/>
                <w:szCs w:val="17"/>
                <w:b w:val="1"/>
                <w:bCs w:val="1"/>
                <w:color w:val="auto"/>
                <w:w w:val="95"/>
              </w:rPr>
              <w:t>Florida</w:t>
            </w:r>
          </w:p>
        </w:tc>
        <w:tc>
          <w:tcPr>
            <w:tcW w:w="6080" w:type="dxa"/>
            <w:vAlign w:val="bottom"/>
            <w:gridSpan w:val="2"/>
          </w:tcPr>
          <w:p>
            <w:pPr>
              <w:jc w:val="right"/>
              <w:ind w:right="2034"/>
              <w:spacing w:after="0"/>
              <w:rPr>
                <w:sz w:val="20"/>
                <w:szCs w:val="20"/>
                <w:color w:val="auto"/>
              </w:rPr>
            </w:pPr>
            <w:r>
              <w:rPr>
                <w:rFonts w:ascii="Arial" w:cs="Arial" w:eastAsia="Arial" w:hAnsi="Arial"/>
                <w:sz w:val="17"/>
                <w:szCs w:val="17"/>
                <w:b w:val="1"/>
                <w:bCs w:val="1"/>
                <w:color w:val="auto"/>
              </w:rPr>
              <w:t>65-0039856</w:t>
            </w:r>
          </w:p>
        </w:tc>
      </w:tr>
      <w:tr>
        <w:trPr>
          <w:trHeight w:val="213"/>
        </w:trPr>
        <w:tc>
          <w:tcPr>
            <w:tcW w:w="514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93"/>
              </w:rPr>
              <w:t>(State or other jurisdiction of incorporation or organization)</w:t>
            </w:r>
          </w:p>
        </w:tc>
        <w:tc>
          <w:tcPr>
            <w:tcW w:w="1000" w:type="dxa"/>
            <w:vAlign w:val="bottom"/>
          </w:tcPr>
          <w:p>
            <w:pPr>
              <w:spacing w:after="0"/>
              <w:rPr>
                <w:sz w:val="18"/>
                <w:szCs w:val="18"/>
                <w:color w:val="auto"/>
              </w:rPr>
            </w:pPr>
          </w:p>
        </w:tc>
        <w:tc>
          <w:tcPr>
            <w:tcW w:w="508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96"/>
              </w:rPr>
              <w:t>(I.R.S. Employer Identification No.)</w:t>
            </w:r>
          </w:p>
        </w:tc>
      </w:tr>
      <w:tr>
        <w:trPr>
          <w:trHeight w:val="258"/>
        </w:trPr>
        <w:tc>
          <w:tcPr>
            <w:tcW w:w="5140" w:type="dxa"/>
            <w:vAlign w:val="bottom"/>
          </w:tcPr>
          <w:p>
            <w:pPr>
              <w:jc w:val="center"/>
              <w:spacing w:after="0"/>
              <w:rPr>
                <w:sz w:val="20"/>
                <w:szCs w:val="20"/>
                <w:color w:val="auto"/>
              </w:rPr>
            </w:pPr>
            <w:r>
              <w:rPr>
                <w:rFonts w:ascii="Arial" w:cs="Arial" w:eastAsia="Arial" w:hAnsi="Arial"/>
                <w:sz w:val="17"/>
                <w:szCs w:val="17"/>
                <w:b w:val="1"/>
                <w:bCs w:val="1"/>
                <w:color w:val="auto"/>
                <w:w w:val="92"/>
              </w:rPr>
              <w:t>1661 Worthington Road, Suite 100</w:t>
            </w:r>
          </w:p>
        </w:tc>
        <w:tc>
          <w:tcPr>
            <w:tcW w:w="1000" w:type="dxa"/>
            <w:vAlign w:val="bottom"/>
          </w:tcPr>
          <w:p>
            <w:pPr>
              <w:spacing w:after="0"/>
              <w:rPr>
                <w:sz w:val="22"/>
                <w:szCs w:val="22"/>
                <w:color w:val="auto"/>
              </w:rPr>
            </w:pPr>
          </w:p>
        </w:tc>
        <w:tc>
          <w:tcPr>
            <w:tcW w:w="5080" w:type="dxa"/>
            <w:vAlign w:val="bottom"/>
          </w:tcPr>
          <w:p>
            <w:pPr>
              <w:spacing w:after="0"/>
              <w:rPr>
                <w:sz w:val="22"/>
                <w:szCs w:val="22"/>
                <w:color w:val="auto"/>
              </w:rPr>
            </w:pPr>
          </w:p>
        </w:tc>
      </w:tr>
      <w:tr>
        <w:trPr>
          <w:trHeight w:val="245"/>
        </w:trPr>
        <w:tc>
          <w:tcPr>
            <w:tcW w:w="5140" w:type="dxa"/>
            <w:vAlign w:val="bottom"/>
          </w:tcPr>
          <w:p>
            <w:pPr>
              <w:ind w:left="1660"/>
              <w:spacing w:after="0"/>
              <w:rPr>
                <w:sz w:val="20"/>
                <w:szCs w:val="20"/>
                <w:color w:val="auto"/>
              </w:rPr>
            </w:pPr>
            <w:r>
              <w:rPr>
                <w:rFonts w:ascii="Arial" w:cs="Arial" w:eastAsia="Arial" w:hAnsi="Arial"/>
                <w:sz w:val="17"/>
                <w:szCs w:val="17"/>
                <w:b w:val="1"/>
                <w:bCs w:val="1"/>
                <w:color w:val="auto"/>
              </w:rPr>
              <w:t>West Palm Beach, Florida</w:t>
            </w:r>
          </w:p>
        </w:tc>
        <w:tc>
          <w:tcPr>
            <w:tcW w:w="6080" w:type="dxa"/>
            <w:vAlign w:val="bottom"/>
            <w:gridSpan w:val="2"/>
          </w:tcPr>
          <w:p>
            <w:pPr>
              <w:jc w:val="right"/>
              <w:ind w:right="2234"/>
              <w:spacing w:after="0"/>
              <w:rPr>
                <w:sz w:val="20"/>
                <w:szCs w:val="20"/>
                <w:color w:val="auto"/>
              </w:rPr>
            </w:pPr>
            <w:r>
              <w:rPr>
                <w:rFonts w:ascii="Arial" w:cs="Arial" w:eastAsia="Arial" w:hAnsi="Arial"/>
                <w:sz w:val="17"/>
                <w:szCs w:val="17"/>
                <w:b w:val="1"/>
                <w:bCs w:val="1"/>
                <w:color w:val="auto"/>
              </w:rPr>
              <w:t>33409</w:t>
            </w:r>
          </w:p>
        </w:tc>
      </w:tr>
      <w:tr>
        <w:trPr>
          <w:trHeight w:val="213"/>
        </w:trPr>
        <w:tc>
          <w:tcPr>
            <w:tcW w:w="514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94"/>
              </w:rPr>
              <w:t>(Address of principal executive office)</w:t>
            </w:r>
          </w:p>
        </w:tc>
        <w:tc>
          <w:tcPr>
            <w:tcW w:w="1000" w:type="dxa"/>
            <w:vAlign w:val="bottom"/>
          </w:tcPr>
          <w:p>
            <w:pPr>
              <w:spacing w:after="0"/>
              <w:rPr>
                <w:sz w:val="18"/>
                <w:szCs w:val="18"/>
                <w:color w:val="auto"/>
              </w:rPr>
            </w:pPr>
          </w:p>
        </w:tc>
        <w:tc>
          <w:tcPr>
            <w:tcW w:w="508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94"/>
              </w:rPr>
              <w:t>(Zip Code)</w:t>
            </w:r>
          </w:p>
        </w:tc>
      </w:tr>
    </w:tbl>
    <w:p>
      <w:pPr>
        <w:spacing w:after="0" w:line="123"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u w:val="single" w:color="auto"/>
          <w:color w:val="auto"/>
        </w:rPr>
        <w:t>(561) 682-8000</w:t>
      </w: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(Registrant’s telephone number, including area code)</w:t>
      </w:r>
    </w:p>
    <w:p>
      <w:pPr>
        <w:spacing w:after="0" w:line="154" w:lineRule="exact"/>
        <w:rPr>
          <w:sz w:val="24"/>
          <w:szCs w:val="24"/>
          <w:color w:val="auto"/>
        </w:rPr>
      </w:pPr>
    </w:p>
    <w:p>
      <w:pPr>
        <w:spacing w:after="0"/>
        <w:rPr>
          <w:sz w:val="20"/>
          <w:szCs w:val="20"/>
          <w:color w:val="auto"/>
        </w:rPr>
      </w:pPr>
      <w:r>
        <w:rPr>
          <w:rFonts w:ascii="Arial" w:cs="Arial" w:eastAsia="Arial" w:hAnsi="Arial"/>
          <w:sz w:val="17"/>
          <w:szCs w:val="17"/>
          <w:color w:val="auto"/>
        </w:rPr>
        <w:t>Securities registered pursuant to Section 12(b) of the Act:</w:t>
      </w:r>
    </w:p>
    <w:p>
      <w:pPr>
        <w:sectPr>
          <w:pgSz w:w="11900" w:h="16838" w:orient="portrait"/>
          <w:cols w:equalWidth="0" w:num="1">
            <w:col w:w="11220"/>
          </w:cols>
          <w:pgMar w:left="320" w:top="879" w:right="359" w:bottom="1440" w:gutter="0" w:footer="0" w:header="0"/>
        </w:sectPr>
      </w:pPr>
    </w:p>
    <w:p>
      <w:pPr>
        <w:spacing w:after="0" w:line="122" w:lineRule="exact"/>
        <w:rPr>
          <w:sz w:val="24"/>
          <w:szCs w:val="24"/>
          <w:color w:val="auto"/>
        </w:rPr>
      </w:pPr>
    </w:p>
    <w:p>
      <w:pPr>
        <w:jc w:val="center"/>
        <w:ind w:left="140"/>
        <w:spacing w:after="0"/>
        <w:rPr>
          <w:sz w:val="20"/>
          <w:szCs w:val="20"/>
          <w:color w:val="auto"/>
        </w:rPr>
      </w:pPr>
      <w:r>
        <w:rPr>
          <w:rFonts w:ascii="Arial" w:cs="Arial" w:eastAsia="Arial" w:hAnsi="Arial"/>
          <w:sz w:val="17"/>
          <w:szCs w:val="17"/>
          <w:b w:val="1"/>
          <w:bCs w:val="1"/>
          <w:color w:val="auto"/>
        </w:rPr>
        <w:t>Title of each class</w:t>
      </w:r>
    </w:p>
    <w:p>
      <w:pPr>
        <w:spacing w:after="0" w:line="30" w:lineRule="exact"/>
        <w:rPr>
          <w:sz w:val="24"/>
          <w:szCs w:val="24"/>
          <w:color w:val="auto"/>
        </w:rPr>
      </w:pPr>
    </w:p>
    <w:p>
      <w:pPr>
        <w:jc w:val="center"/>
        <w:ind w:left="140"/>
        <w:spacing w:after="0"/>
        <w:rPr>
          <w:sz w:val="20"/>
          <w:szCs w:val="20"/>
          <w:color w:val="auto"/>
        </w:rPr>
      </w:pPr>
      <w:r>
        <w:rPr>
          <w:rFonts w:ascii="Arial" w:cs="Arial" w:eastAsia="Arial" w:hAnsi="Arial"/>
          <w:sz w:val="15"/>
          <w:szCs w:val="15"/>
          <w:color w:val="auto"/>
        </w:rPr>
        <w:t>Common Stock, $0.01 Par Value</w:t>
      </w:r>
    </w:p>
    <w:p>
      <w:pPr>
        <w:spacing w:after="0" w:line="20" w:lineRule="exact"/>
        <w:rPr>
          <w:sz w:val="24"/>
          <w:szCs w:val="24"/>
          <w:color w:val="auto"/>
        </w:rPr>
      </w:pPr>
      <w:r>
        <w:rPr>
          <w:sz w:val="24"/>
          <w:szCs w:val="24"/>
          <w:color w:val="auto"/>
        </w:rPr>
        <w:br w:type="column"/>
      </w:r>
    </w:p>
    <w:p>
      <w:pPr>
        <w:spacing w:after="0" w:line="102" w:lineRule="exact"/>
        <w:rPr>
          <w:sz w:val="24"/>
          <w:szCs w:val="24"/>
          <w:color w:val="auto"/>
        </w:rPr>
      </w:pPr>
    </w:p>
    <w:p>
      <w:pPr>
        <w:jc w:val="center"/>
        <w:ind w:right="440"/>
        <w:spacing w:after="0"/>
        <w:rPr>
          <w:sz w:val="20"/>
          <w:szCs w:val="20"/>
          <w:color w:val="auto"/>
        </w:rPr>
      </w:pPr>
      <w:r>
        <w:rPr>
          <w:rFonts w:ascii="Arial" w:cs="Arial" w:eastAsia="Arial" w:hAnsi="Arial"/>
          <w:sz w:val="15"/>
          <w:szCs w:val="15"/>
          <w:b w:val="1"/>
          <w:bCs w:val="1"/>
          <w:color w:val="auto"/>
        </w:rPr>
        <w:t>Trading Symbol(s)</w:t>
      </w:r>
    </w:p>
    <w:p>
      <w:pPr>
        <w:spacing w:after="0" w:line="53" w:lineRule="exact"/>
        <w:rPr>
          <w:sz w:val="24"/>
          <w:szCs w:val="24"/>
          <w:color w:val="auto"/>
        </w:rPr>
      </w:pPr>
    </w:p>
    <w:p>
      <w:pPr>
        <w:jc w:val="center"/>
        <w:ind w:right="440"/>
        <w:spacing w:after="0"/>
        <w:rPr>
          <w:sz w:val="20"/>
          <w:szCs w:val="20"/>
          <w:color w:val="auto"/>
        </w:rPr>
      </w:pPr>
      <w:r>
        <w:rPr>
          <w:rFonts w:ascii="Arial" w:cs="Arial" w:eastAsia="Arial" w:hAnsi="Arial"/>
          <w:sz w:val="17"/>
          <w:szCs w:val="17"/>
          <w:color w:val="auto"/>
        </w:rPr>
        <w:t>OCN</w:t>
      </w:r>
    </w:p>
    <w:p>
      <w:pPr>
        <w:spacing w:after="0" w:line="20" w:lineRule="exact"/>
        <w:rPr>
          <w:sz w:val="24"/>
          <w:szCs w:val="24"/>
          <w:color w:val="auto"/>
        </w:rPr>
      </w:pPr>
      <w:r>
        <w:rPr>
          <w:sz w:val="24"/>
          <w:szCs w:val="24"/>
          <w:color w:val="auto"/>
        </w:rPr>
        <w:br w:type="column"/>
      </w:r>
    </w:p>
    <w:p>
      <w:pPr>
        <w:spacing w:after="0" w:line="102" w:lineRule="exact"/>
        <w:rPr>
          <w:sz w:val="24"/>
          <w:szCs w:val="24"/>
          <w:color w:val="auto"/>
        </w:rPr>
      </w:pPr>
    </w:p>
    <w:p>
      <w:pPr>
        <w:jc w:val="center"/>
        <w:ind w:right="560"/>
        <w:spacing w:after="0"/>
        <w:rPr>
          <w:sz w:val="20"/>
          <w:szCs w:val="20"/>
          <w:color w:val="auto"/>
        </w:rPr>
      </w:pPr>
      <w:r>
        <w:rPr>
          <w:rFonts w:ascii="Arial" w:cs="Arial" w:eastAsia="Arial" w:hAnsi="Arial"/>
          <w:sz w:val="15"/>
          <w:szCs w:val="15"/>
          <w:b w:val="1"/>
          <w:bCs w:val="1"/>
          <w:color w:val="auto"/>
        </w:rPr>
        <w:t>Name of each exchange on which registered</w:t>
      </w:r>
    </w:p>
    <w:p>
      <w:pPr>
        <w:spacing w:after="0" w:line="53" w:lineRule="exact"/>
        <w:rPr>
          <w:sz w:val="24"/>
          <w:szCs w:val="24"/>
          <w:color w:val="auto"/>
        </w:rPr>
      </w:pPr>
    </w:p>
    <w:p>
      <w:pPr>
        <w:jc w:val="center"/>
        <w:ind w:right="560"/>
        <w:spacing w:after="0"/>
        <w:rPr>
          <w:sz w:val="20"/>
          <w:szCs w:val="20"/>
          <w:color w:val="auto"/>
        </w:rPr>
      </w:pPr>
      <w:r>
        <w:rPr>
          <w:rFonts w:ascii="Arial" w:cs="Arial" w:eastAsia="Arial" w:hAnsi="Arial"/>
          <w:sz w:val="17"/>
          <w:szCs w:val="17"/>
          <w:color w:val="auto"/>
        </w:rPr>
        <w:t>New York Stock Exchange</w:t>
      </w:r>
    </w:p>
    <w:p>
      <w:pPr>
        <w:spacing w:after="0" w:line="200" w:lineRule="exact"/>
        <w:rPr>
          <w:sz w:val="24"/>
          <w:szCs w:val="24"/>
          <w:color w:val="auto"/>
        </w:rPr>
      </w:pPr>
    </w:p>
    <w:p>
      <w:pPr>
        <w:sectPr>
          <w:pgSz w:w="11900" w:h="16838" w:orient="portrait"/>
          <w:cols w:equalWidth="0" w:num="3">
            <w:col w:w="4200" w:space="720"/>
            <w:col w:w="1820" w:space="720"/>
            <w:col w:w="3760"/>
          </w:cols>
          <w:pgMar w:left="320" w:top="879" w:right="359" w:bottom="1440" w:gutter="0" w:footer="0" w:header="0"/>
          <w:type w:val="continuous"/>
        </w:sectPr>
      </w:pPr>
    </w:p>
    <w:p>
      <w:pPr>
        <w:spacing w:after="0" w:line="5" w:lineRule="exact"/>
        <w:rPr>
          <w:sz w:val="24"/>
          <w:szCs w:val="24"/>
          <w:color w:val="auto"/>
        </w:rPr>
      </w:pPr>
    </w:p>
    <w:p>
      <w:pPr>
        <w:spacing w:after="0" w:line="268" w:lineRule="auto"/>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69" w:lineRule="exact"/>
        <w:rPr>
          <w:sz w:val="24"/>
          <w:szCs w:val="24"/>
          <w:color w:val="auto"/>
        </w:rPr>
      </w:pPr>
    </w:p>
    <w:p>
      <w:pPr>
        <w:ind w:right="20"/>
        <w:spacing w:after="0" w:line="353" w:lineRule="auto"/>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o</w:t>
      </w:r>
    </w:p>
    <w:p>
      <w:pPr>
        <w:spacing w:after="0" w:line="9" w:lineRule="exact"/>
        <w:rPr>
          <w:sz w:val="24"/>
          <w:szCs w:val="24"/>
          <w:color w:val="auto"/>
        </w:rPr>
      </w:pPr>
    </w:p>
    <w:p>
      <w:pPr>
        <w:jc w:val="both"/>
        <w:ind w:right="80"/>
        <w:spacing w:after="0" w:line="26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2" w:lineRule="exact"/>
        <w:rPr>
          <w:sz w:val="24"/>
          <w:szCs w:val="24"/>
          <w:color w:val="auto"/>
        </w:rPr>
      </w:pPr>
    </w:p>
    <w:tbl>
      <w:tblPr>
        <w:tblLayout w:type="fixed"/>
        <w:tblInd w:w="20" w:type="dxa"/>
        <w:tblCellMar>
          <w:top w:w="0" w:type="dxa"/>
          <w:left w:w="0" w:type="dxa"/>
          <w:bottom w:w="0" w:type="dxa"/>
          <w:right w:w="0" w:type="dxa"/>
        </w:tblCellMar>
      </w:tblPr>
      <w:tr>
        <w:trPr>
          <w:trHeight w:val="220"/>
        </w:trPr>
        <w:tc>
          <w:tcPr>
            <w:tcW w:w="3200" w:type="dxa"/>
            <w:vAlign w:val="bottom"/>
          </w:tcPr>
          <w:p>
            <w:pPr>
              <w:spacing w:after="0"/>
              <w:rPr>
                <w:sz w:val="20"/>
                <w:szCs w:val="20"/>
                <w:color w:val="auto"/>
              </w:rPr>
            </w:pPr>
            <w:r>
              <w:rPr>
                <w:rFonts w:ascii="Arial" w:cs="Arial" w:eastAsia="Arial" w:hAnsi="Arial"/>
                <w:sz w:val="17"/>
                <w:szCs w:val="17"/>
                <w:color w:val="auto"/>
              </w:rPr>
              <w:t>Large accelerated filer</w:t>
            </w:r>
          </w:p>
        </w:tc>
        <w:tc>
          <w:tcPr>
            <w:tcW w:w="2300" w:type="dxa"/>
            <w:vAlign w:val="bottom"/>
          </w:tcPr>
          <w:p>
            <w:pPr>
              <w:ind w:left="1640"/>
              <w:spacing w:after="0" w:line="171" w:lineRule="exact"/>
              <w:rPr>
                <w:sz w:val="20"/>
                <w:szCs w:val="20"/>
                <w:color w:val="auto"/>
              </w:rPr>
            </w:pPr>
            <w:r>
              <w:rPr>
                <w:rFonts w:ascii="MS PGothic" w:cs="MS PGothic" w:eastAsia="MS PGothic" w:hAnsi="MS PGothic"/>
                <w:sz w:val="17"/>
                <w:szCs w:val="17"/>
                <w:color w:val="auto"/>
                <w:highlight w:val="black"/>
              </w:rPr>
              <w:t>☐</w:t>
            </w:r>
          </w:p>
        </w:tc>
        <w:tc>
          <w:tcPr>
            <w:tcW w:w="3880" w:type="dxa"/>
            <w:vAlign w:val="bottom"/>
          </w:tcPr>
          <w:p>
            <w:pPr>
              <w:ind w:left="520"/>
              <w:spacing w:after="0"/>
              <w:rPr>
                <w:sz w:val="20"/>
                <w:szCs w:val="20"/>
                <w:color w:val="auto"/>
              </w:rPr>
            </w:pPr>
            <w:r>
              <w:rPr>
                <w:rFonts w:ascii="Arial" w:cs="Arial" w:eastAsia="Arial" w:hAnsi="Arial"/>
                <w:sz w:val="17"/>
                <w:szCs w:val="17"/>
                <w:color w:val="auto"/>
              </w:rPr>
              <w:t>Accelerated filer</w:t>
            </w:r>
          </w:p>
        </w:tc>
        <w:tc>
          <w:tcPr>
            <w:tcW w:w="1640" w:type="dxa"/>
            <w:vAlign w:val="bottom"/>
          </w:tcPr>
          <w:p>
            <w:pPr>
              <w:ind w:left="1480"/>
              <w:spacing w:after="0" w:line="171" w:lineRule="exact"/>
              <w:rPr>
                <w:sz w:val="20"/>
                <w:szCs w:val="20"/>
                <w:color w:val="auto"/>
              </w:rPr>
            </w:pPr>
            <w:r>
              <w:rPr>
                <w:rFonts w:ascii="MS PGothic" w:cs="MS PGothic" w:eastAsia="MS PGothic" w:hAnsi="MS PGothic"/>
                <w:sz w:val="17"/>
                <w:szCs w:val="17"/>
                <w:color w:val="auto"/>
                <w:highlight w:val="black"/>
                <w:w w:val="82"/>
              </w:rPr>
              <w:t>☒</w:t>
            </w:r>
          </w:p>
        </w:tc>
      </w:tr>
      <w:tr>
        <w:trPr>
          <w:trHeight w:val="220"/>
        </w:trPr>
        <w:tc>
          <w:tcPr>
            <w:tcW w:w="3200" w:type="dxa"/>
            <w:vAlign w:val="bottom"/>
          </w:tcPr>
          <w:p>
            <w:pPr>
              <w:spacing w:after="0"/>
              <w:rPr>
                <w:sz w:val="20"/>
                <w:szCs w:val="20"/>
                <w:color w:val="auto"/>
              </w:rPr>
            </w:pPr>
            <w:r>
              <w:rPr>
                <w:rFonts w:ascii="Arial" w:cs="Arial" w:eastAsia="Arial" w:hAnsi="Arial"/>
                <w:sz w:val="17"/>
                <w:szCs w:val="17"/>
                <w:color w:val="auto"/>
              </w:rPr>
              <w:t>Non-accelerated filer</w:t>
            </w:r>
          </w:p>
        </w:tc>
        <w:tc>
          <w:tcPr>
            <w:tcW w:w="2300" w:type="dxa"/>
            <w:vAlign w:val="bottom"/>
          </w:tcPr>
          <w:p>
            <w:pPr>
              <w:ind w:left="1640"/>
              <w:spacing w:after="0" w:line="171" w:lineRule="exact"/>
              <w:rPr>
                <w:sz w:val="20"/>
                <w:szCs w:val="20"/>
                <w:color w:val="auto"/>
              </w:rPr>
            </w:pPr>
            <w:r>
              <w:rPr>
                <w:rFonts w:ascii="MS PGothic" w:cs="MS PGothic" w:eastAsia="MS PGothic" w:hAnsi="MS PGothic"/>
                <w:sz w:val="17"/>
                <w:szCs w:val="17"/>
                <w:color w:val="auto"/>
                <w:highlight w:val="black"/>
              </w:rPr>
              <w:t>☐</w:t>
            </w:r>
          </w:p>
        </w:tc>
        <w:tc>
          <w:tcPr>
            <w:tcW w:w="3880" w:type="dxa"/>
            <w:vAlign w:val="bottom"/>
          </w:tcPr>
          <w:p>
            <w:pPr>
              <w:ind w:left="520"/>
              <w:spacing w:after="0"/>
              <w:rPr>
                <w:sz w:val="20"/>
                <w:szCs w:val="20"/>
                <w:color w:val="auto"/>
              </w:rPr>
            </w:pPr>
            <w:r>
              <w:rPr>
                <w:rFonts w:ascii="Arial" w:cs="Arial" w:eastAsia="Arial" w:hAnsi="Arial"/>
                <w:sz w:val="17"/>
                <w:szCs w:val="17"/>
                <w:color w:val="auto"/>
              </w:rPr>
              <w:t>Smaller reporting company</w:t>
            </w:r>
          </w:p>
        </w:tc>
        <w:tc>
          <w:tcPr>
            <w:tcW w:w="1640" w:type="dxa"/>
            <w:vAlign w:val="bottom"/>
          </w:tcPr>
          <w:p>
            <w:pPr>
              <w:ind w:left="1480"/>
              <w:spacing w:after="0" w:line="171" w:lineRule="exact"/>
              <w:rPr>
                <w:sz w:val="20"/>
                <w:szCs w:val="20"/>
                <w:color w:val="auto"/>
              </w:rPr>
            </w:pPr>
            <w:r>
              <w:rPr>
                <w:rFonts w:ascii="MS PGothic" w:cs="MS PGothic" w:eastAsia="MS PGothic" w:hAnsi="MS PGothic"/>
                <w:sz w:val="17"/>
                <w:szCs w:val="17"/>
                <w:color w:val="auto"/>
                <w:highlight w:val="black"/>
                <w:w w:val="82"/>
              </w:rPr>
              <w:t>☐</w:t>
            </w:r>
          </w:p>
        </w:tc>
      </w:tr>
      <w:tr>
        <w:trPr>
          <w:trHeight w:val="270"/>
        </w:trPr>
        <w:tc>
          <w:tcPr>
            <w:tcW w:w="3200" w:type="dxa"/>
            <w:vAlign w:val="bottom"/>
          </w:tcPr>
          <w:p>
            <w:pPr>
              <w:spacing w:after="0"/>
              <w:rPr>
                <w:sz w:val="23"/>
                <w:szCs w:val="23"/>
                <w:color w:val="auto"/>
              </w:rPr>
            </w:pPr>
          </w:p>
        </w:tc>
        <w:tc>
          <w:tcPr>
            <w:tcW w:w="2300" w:type="dxa"/>
            <w:vAlign w:val="bottom"/>
          </w:tcPr>
          <w:p>
            <w:pPr>
              <w:spacing w:after="0"/>
              <w:rPr>
                <w:sz w:val="23"/>
                <w:szCs w:val="23"/>
                <w:color w:val="auto"/>
              </w:rPr>
            </w:pPr>
          </w:p>
        </w:tc>
        <w:tc>
          <w:tcPr>
            <w:tcW w:w="3880" w:type="dxa"/>
            <w:vAlign w:val="bottom"/>
          </w:tcPr>
          <w:p>
            <w:pPr>
              <w:ind w:left="520"/>
              <w:spacing w:after="0"/>
              <w:rPr>
                <w:sz w:val="20"/>
                <w:szCs w:val="20"/>
                <w:color w:val="auto"/>
              </w:rPr>
            </w:pPr>
            <w:r>
              <w:rPr>
                <w:rFonts w:ascii="Arial" w:cs="Arial" w:eastAsia="Arial" w:hAnsi="Arial"/>
                <w:sz w:val="17"/>
                <w:szCs w:val="17"/>
                <w:color w:val="auto"/>
              </w:rPr>
              <w:t>Emerging growth company</w:t>
            </w:r>
          </w:p>
        </w:tc>
        <w:tc>
          <w:tcPr>
            <w:tcW w:w="1640" w:type="dxa"/>
            <w:vAlign w:val="bottom"/>
          </w:tcPr>
          <w:p>
            <w:pPr>
              <w:ind w:left="1480"/>
              <w:spacing w:after="0" w:line="171" w:lineRule="exact"/>
              <w:rPr>
                <w:sz w:val="20"/>
                <w:szCs w:val="20"/>
                <w:color w:val="auto"/>
              </w:rPr>
            </w:pPr>
            <w:r>
              <w:rPr>
                <w:rFonts w:ascii="MS PGothic" w:cs="MS PGothic" w:eastAsia="MS PGothic" w:hAnsi="MS PGothic"/>
                <w:sz w:val="17"/>
                <w:szCs w:val="17"/>
                <w:color w:val="auto"/>
                <w:highlight w:val="black"/>
                <w:w w:val="82"/>
              </w:rPr>
              <w:t>☐</w:t>
            </w:r>
          </w:p>
        </w:tc>
      </w:tr>
    </w:tbl>
    <w:p>
      <w:pPr>
        <w:spacing w:after="0" w:line="150" w:lineRule="exact"/>
        <w:rPr>
          <w:sz w:val="24"/>
          <w:szCs w:val="24"/>
          <w:color w:val="auto"/>
        </w:rPr>
      </w:pPr>
    </w:p>
    <w:p>
      <w:pPr>
        <w:ind w:right="440"/>
        <w:spacing w:after="0" w:line="283" w:lineRule="auto"/>
        <w:rPr>
          <w:sz w:val="20"/>
          <w:szCs w:val="20"/>
          <w:color w:val="auto"/>
        </w:rPr>
      </w:pPr>
      <w:r>
        <w:rPr>
          <w:rFonts w:ascii="Arial" w:cs="Arial" w:eastAsia="Arial" w:hAnsi="Arial"/>
          <w:sz w:val="17"/>
          <w:szCs w:val="17"/>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3" w:lineRule="exact"/>
        <w:rPr>
          <w:sz w:val="24"/>
          <w:szCs w:val="24"/>
          <w:color w:val="auto"/>
        </w:rPr>
      </w:pPr>
    </w:p>
    <w:p>
      <w:pPr>
        <w:ind w:right="3280"/>
        <w:spacing w:after="0" w:line="281"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x Number of shares of common stock outstanding as of July 29, 2022: 8,698,688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562610</wp:posOffset>
            </wp:positionV>
            <wp:extent cx="7163435"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3435"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156845</wp:posOffset>
            </wp:positionV>
            <wp:extent cx="7138035" cy="165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20"/>
          </w:cols>
          <w:pgMar w:left="320" w:top="879" w:right="35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t>OCWEN FINANCIAL CORPORATION</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FORM 10-Q</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TABLE OF CONTENTS</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10420" w:type="dxa"/>
            <w:vAlign w:val="bottom"/>
            <w:gridSpan w:val="2"/>
            <w:vMerge w:val="restart"/>
          </w:tcPr>
          <w:p>
            <w:pPr>
              <w:spacing w:after="0"/>
              <w:rPr>
                <w:rFonts w:ascii="Arial" w:cs="Arial" w:eastAsia="Arial" w:hAnsi="Arial"/>
                <w:sz w:val="17"/>
                <w:szCs w:val="17"/>
                <w:b w:val="1"/>
                <w:bCs w:val="1"/>
                <w:color w:val="auto"/>
              </w:rPr>
            </w:pPr>
            <w:hyperlink w:anchor="page4">
              <w:r>
                <w:rPr>
                  <w:rFonts w:ascii="Arial" w:cs="Arial" w:eastAsia="Arial" w:hAnsi="Arial"/>
                  <w:sz w:val="17"/>
                  <w:szCs w:val="17"/>
                  <w:b w:val="1"/>
                  <w:bCs w:val="1"/>
                  <w:color w:val="auto"/>
                </w:rPr>
                <w:t>PART I - FINANCIAL INFORMATION</w:t>
              </w:r>
            </w:hyperlink>
          </w:p>
        </w:tc>
        <w:tc>
          <w:tcPr>
            <w:tcW w:w="78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rPr>
              <w:t>PAGE</w:t>
            </w:r>
          </w:p>
        </w:tc>
        <w:tc>
          <w:tcPr>
            <w:tcW w:w="0" w:type="dxa"/>
            <w:vAlign w:val="bottom"/>
          </w:tcPr>
          <w:p>
            <w:pPr>
              <w:spacing w:after="0"/>
              <w:rPr>
                <w:sz w:val="1"/>
                <w:szCs w:val="1"/>
                <w:color w:val="auto"/>
              </w:rPr>
            </w:pPr>
          </w:p>
        </w:tc>
      </w:tr>
      <w:tr>
        <w:trPr>
          <w:trHeight w:val="200"/>
        </w:trPr>
        <w:tc>
          <w:tcPr>
            <w:tcW w:w="10420" w:type="dxa"/>
            <w:vAlign w:val="bottom"/>
            <w:gridSpan w:val="2"/>
            <w:vMerge w:val="continue"/>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9"/>
        </w:trPr>
        <w:tc>
          <w:tcPr>
            <w:tcW w:w="860" w:type="dxa"/>
            <w:vAlign w:val="bottom"/>
          </w:tcPr>
          <w:p>
            <w:pPr>
              <w:spacing w:after="0"/>
              <w:rPr>
                <w:rFonts w:ascii="Arial" w:cs="Arial" w:eastAsia="Arial" w:hAnsi="Arial"/>
                <w:sz w:val="17"/>
                <w:szCs w:val="17"/>
                <w:color w:val="auto"/>
              </w:rPr>
            </w:pPr>
            <w:hyperlink w:anchor="page4">
              <w:r>
                <w:rPr>
                  <w:rFonts w:ascii="Arial" w:cs="Arial" w:eastAsia="Arial" w:hAnsi="Arial"/>
                  <w:sz w:val="17"/>
                  <w:szCs w:val="17"/>
                  <w:color w:val="auto"/>
                </w:rPr>
                <w:t>Item 1.</w:t>
              </w:r>
            </w:hyperlink>
          </w:p>
        </w:tc>
        <w:tc>
          <w:tcPr>
            <w:tcW w:w="9560" w:type="dxa"/>
            <w:vAlign w:val="bottom"/>
          </w:tcPr>
          <w:p>
            <w:pPr>
              <w:ind w:left="140"/>
              <w:spacing w:after="0"/>
              <w:rPr>
                <w:rFonts w:ascii="Arial" w:cs="Arial" w:eastAsia="Arial" w:hAnsi="Arial"/>
                <w:sz w:val="17"/>
                <w:szCs w:val="17"/>
                <w:color w:val="auto"/>
              </w:rPr>
            </w:pPr>
            <w:hyperlink w:anchor="page4">
              <w:r>
                <w:rPr>
                  <w:rFonts w:ascii="Arial" w:cs="Arial" w:eastAsia="Arial" w:hAnsi="Arial"/>
                  <w:sz w:val="17"/>
                  <w:szCs w:val="17"/>
                  <w:color w:val="auto"/>
                </w:rPr>
                <w:t>Unaudited Consolidated Financial Statements</w:t>
              </w:r>
            </w:hyperlink>
          </w:p>
        </w:tc>
        <w:tc>
          <w:tcPr>
            <w:tcW w:w="780" w:type="dxa"/>
            <w:vAlign w:val="bottom"/>
          </w:tcPr>
          <w:p>
            <w:pPr>
              <w:jc w:val="right"/>
              <w:spacing w:after="0"/>
              <w:rPr>
                <w:rFonts w:ascii="Arial" w:cs="Arial" w:eastAsia="Arial" w:hAnsi="Arial"/>
                <w:sz w:val="17"/>
                <w:szCs w:val="17"/>
                <w:color w:val="auto"/>
              </w:rPr>
            </w:pPr>
            <w:hyperlink w:anchor="page4">
              <w:r>
                <w:rPr>
                  <w:rFonts w:ascii="Arial" w:cs="Arial" w:eastAsia="Arial" w:hAnsi="Arial"/>
                  <w:sz w:val="17"/>
                  <w:szCs w:val="17"/>
                  <w:color w:val="auto"/>
                </w:rPr>
                <w:t>3</w:t>
              </w:r>
            </w:hyperlink>
          </w:p>
        </w:tc>
        <w:tc>
          <w:tcPr>
            <w:tcW w:w="0" w:type="dxa"/>
            <w:vAlign w:val="bottom"/>
          </w:tcPr>
          <w:p>
            <w:pPr>
              <w:spacing w:after="0"/>
              <w:rPr>
                <w:sz w:val="1"/>
                <w:szCs w:val="1"/>
                <w:color w:val="auto"/>
              </w:rPr>
            </w:pPr>
          </w:p>
        </w:tc>
      </w:tr>
      <w:tr>
        <w:trPr>
          <w:trHeight w:val="478"/>
        </w:trPr>
        <w:tc>
          <w:tcPr>
            <w:tcW w:w="860" w:type="dxa"/>
            <w:vAlign w:val="bottom"/>
          </w:tcPr>
          <w:p>
            <w:pPr>
              <w:spacing w:after="0"/>
              <w:rPr>
                <w:sz w:val="24"/>
                <w:szCs w:val="24"/>
                <w:color w:val="auto"/>
              </w:rPr>
            </w:pPr>
          </w:p>
        </w:tc>
        <w:tc>
          <w:tcPr>
            <w:tcW w:w="9560" w:type="dxa"/>
            <w:vAlign w:val="bottom"/>
          </w:tcPr>
          <w:p>
            <w:pPr>
              <w:ind w:left="140"/>
              <w:spacing w:after="0"/>
              <w:rPr>
                <w:rFonts w:ascii="Arial" w:cs="Arial" w:eastAsia="Arial" w:hAnsi="Arial"/>
                <w:sz w:val="17"/>
                <w:szCs w:val="17"/>
                <w:color w:val="auto"/>
              </w:rPr>
            </w:pPr>
            <w:hyperlink w:anchor="page4">
              <w:r>
                <w:rPr>
                  <w:rFonts w:ascii="Arial" w:cs="Arial" w:eastAsia="Arial" w:hAnsi="Arial"/>
                  <w:sz w:val="17"/>
                  <w:szCs w:val="17"/>
                  <w:color w:val="auto"/>
                </w:rPr>
                <w:t xml:space="preserve">Consolidated Balance Sheets at </w:t>
              </w:r>
            </w:hyperlink>
            <w:r>
              <w:rPr>
                <w:rFonts w:ascii="Arial" w:cs="Arial" w:eastAsia="Arial" w:hAnsi="Arial"/>
                <w:sz w:val="17"/>
                <w:szCs w:val="17"/>
                <w:color w:val="auto"/>
              </w:rPr>
              <w:t xml:space="preserve">June 30, 2022 </w:t>
            </w:r>
            <w:hyperlink w:anchor="page4">
              <w:r>
                <w:rPr>
                  <w:rFonts w:ascii="Arial" w:cs="Arial" w:eastAsia="Arial" w:hAnsi="Arial"/>
                  <w:sz w:val="17"/>
                  <w:szCs w:val="17"/>
                  <w:color w:val="auto"/>
                </w:rPr>
                <w:t xml:space="preserve">and </w:t>
              </w:r>
            </w:hyperlink>
            <w:r>
              <w:rPr>
                <w:rFonts w:ascii="Arial" w:cs="Arial" w:eastAsia="Arial" w:hAnsi="Arial"/>
                <w:sz w:val="17"/>
                <w:szCs w:val="17"/>
                <w:color w:val="auto"/>
              </w:rPr>
              <w:t>December 31, 2021</w:t>
            </w:r>
          </w:p>
        </w:tc>
        <w:tc>
          <w:tcPr>
            <w:tcW w:w="780" w:type="dxa"/>
            <w:vAlign w:val="bottom"/>
          </w:tcPr>
          <w:p>
            <w:pPr>
              <w:jc w:val="right"/>
              <w:spacing w:after="0"/>
              <w:rPr>
                <w:rFonts w:ascii="Arial" w:cs="Arial" w:eastAsia="Arial" w:hAnsi="Arial"/>
                <w:sz w:val="17"/>
                <w:szCs w:val="17"/>
                <w:color w:val="auto"/>
              </w:rPr>
            </w:pPr>
            <w:hyperlink w:anchor="page4">
              <w:r>
                <w:rPr>
                  <w:rFonts w:ascii="Arial" w:cs="Arial" w:eastAsia="Arial" w:hAnsi="Arial"/>
                  <w:sz w:val="17"/>
                  <w:szCs w:val="17"/>
                  <w:color w:val="auto"/>
                </w:rPr>
                <w:t>4</w:t>
              </w:r>
            </w:hyperlink>
          </w:p>
        </w:tc>
        <w:tc>
          <w:tcPr>
            <w:tcW w:w="0" w:type="dxa"/>
            <w:vAlign w:val="bottom"/>
          </w:tcPr>
          <w:p>
            <w:pPr>
              <w:spacing w:after="0"/>
              <w:rPr>
                <w:sz w:val="1"/>
                <w:szCs w:val="1"/>
                <w:color w:val="auto"/>
              </w:rPr>
            </w:pPr>
          </w:p>
        </w:tc>
      </w:tr>
      <w:tr>
        <w:trPr>
          <w:trHeight w:val="517"/>
        </w:trPr>
        <w:tc>
          <w:tcPr>
            <w:tcW w:w="860" w:type="dxa"/>
            <w:vAlign w:val="bottom"/>
          </w:tcPr>
          <w:p>
            <w:pPr>
              <w:spacing w:after="0"/>
              <w:rPr>
                <w:sz w:val="24"/>
                <w:szCs w:val="24"/>
                <w:color w:val="auto"/>
              </w:rPr>
            </w:pPr>
          </w:p>
        </w:tc>
        <w:tc>
          <w:tcPr>
            <w:tcW w:w="9560" w:type="dxa"/>
            <w:vAlign w:val="bottom"/>
          </w:tcPr>
          <w:p>
            <w:pPr>
              <w:ind w:left="140"/>
              <w:spacing w:after="0"/>
              <w:rPr>
                <w:rFonts w:ascii="Arial" w:cs="Arial" w:eastAsia="Arial" w:hAnsi="Arial"/>
                <w:sz w:val="17"/>
                <w:szCs w:val="17"/>
                <w:color w:val="auto"/>
              </w:rPr>
            </w:pPr>
            <w:hyperlink w:anchor="page5">
              <w:r>
                <w:rPr>
                  <w:rFonts w:ascii="Arial" w:cs="Arial" w:eastAsia="Arial" w:hAnsi="Arial"/>
                  <w:sz w:val="17"/>
                  <w:szCs w:val="17"/>
                  <w:color w:val="auto"/>
                </w:rPr>
                <w:t>Consolidated Statements of Operations for the Three and Six Months Ended June 30, 2022 and 2021</w:t>
              </w:r>
            </w:hyperlink>
          </w:p>
        </w:tc>
        <w:tc>
          <w:tcPr>
            <w:tcW w:w="780" w:type="dxa"/>
            <w:vAlign w:val="bottom"/>
          </w:tcPr>
          <w:p>
            <w:pPr>
              <w:jc w:val="right"/>
              <w:spacing w:after="0"/>
              <w:rPr>
                <w:rFonts w:ascii="Arial" w:cs="Arial" w:eastAsia="Arial" w:hAnsi="Arial"/>
                <w:sz w:val="17"/>
                <w:szCs w:val="17"/>
                <w:color w:val="auto"/>
              </w:rPr>
            </w:pPr>
            <w:hyperlink w:anchor="page5">
              <w:r>
                <w:rPr>
                  <w:rFonts w:ascii="Arial" w:cs="Arial" w:eastAsia="Arial" w:hAnsi="Arial"/>
                  <w:sz w:val="17"/>
                  <w:szCs w:val="17"/>
                  <w:color w:val="auto"/>
                </w:rPr>
                <w:t>5</w:t>
              </w:r>
            </w:hyperlink>
          </w:p>
        </w:tc>
        <w:tc>
          <w:tcPr>
            <w:tcW w:w="0" w:type="dxa"/>
            <w:vAlign w:val="bottom"/>
          </w:tcPr>
          <w:p>
            <w:pPr>
              <w:spacing w:after="0"/>
              <w:rPr>
                <w:sz w:val="1"/>
                <w:szCs w:val="1"/>
                <w:color w:val="auto"/>
              </w:rPr>
            </w:pPr>
          </w:p>
        </w:tc>
      </w:tr>
      <w:tr>
        <w:trPr>
          <w:trHeight w:val="491"/>
        </w:trPr>
        <w:tc>
          <w:tcPr>
            <w:tcW w:w="860" w:type="dxa"/>
            <w:vAlign w:val="bottom"/>
          </w:tcPr>
          <w:p>
            <w:pPr>
              <w:spacing w:after="0"/>
              <w:rPr>
                <w:sz w:val="24"/>
                <w:szCs w:val="24"/>
                <w:color w:val="auto"/>
              </w:rPr>
            </w:pPr>
          </w:p>
        </w:tc>
        <w:tc>
          <w:tcPr>
            <w:tcW w:w="9560" w:type="dxa"/>
            <w:vAlign w:val="bottom"/>
          </w:tcPr>
          <w:p>
            <w:pPr>
              <w:ind w:left="140"/>
              <w:spacing w:after="0"/>
              <w:rPr>
                <w:rFonts w:ascii="Arial" w:cs="Arial" w:eastAsia="Arial" w:hAnsi="Arial"/>
                <w:sz w:val="17"/>
                <w:szCs w:val="17"/>
                <w:color w:val="auto"/>
              </w:rPr>
            </w:pPr>
            <w:hyperlink w:anchor="page6">
              <w:r>
                <w:rPr>
                  <w:rFonts w:ascii="Arial" w:cs="Arial" w:eastAsia="Arial" w:hAnsi="Arial"/>
                  <w:sz w:val="17"/>
                  <w:szCs w:val="17"/>
                  <w:color w:val="auto"/>
                </w:rPr>
                <w:t>Consolidated Statements of Comprehensive Income (Loss) for the Three and Six Months Ended June 30, 2022 and 2021</w:t>
              </w:r>
            </w:hyperlink>
          </w:p>
        </w:tc>
        <w:tc>
          <w:tcPr>
            <w:tcW w:w="780" w:type="dxa"/>
            <w:vAlign w:val="bottom"/>
          </w:tcPr>
          <w:p>
            <w:pPr>
              <w:jc w:val="right"/>
              <w:spacing w:after="0"/>
              <w:rPr>
                <w:rFonts w:ascii="Arial" w:cs="Arial" w:eastAsia="Arial" w:hAnsi="Arial"/>
                <w:sz w:val="17"/>
                <w:szCs w:val="17"/>
                <w:color w:val="auto"/>
              </w:rPr>
            </w:pPr>
            <w:hyperlink w:anchor="page6">
              <w:r>
                <w:rPr>
                  <w:rFonts w:ascii="Arial" w:cs="Arial" w:eastAsia="Arial" w:hAnsi="Arial"/>
                  <w:sz w:val="17"/>
                  <w:szCs w:val="17"/>
                  <w:color w:val="auto"/>
                </w:rPr>
                <w:t>6</w:t>
              </w:r>
            </w:hyperlink>
          </w:p>
        </w:tc>
        <w:tc>
          <w:tcPr>
            <w:tcW w:w="0" w:type="dxa"/>
            <w:vAlign w:val="bottom"/>
          </w:tcPr>
          <w:p>
            <w:pPr>
              <w:spacing w:after="0"/>
              <w:rPr>
                <w:sz w:val="1"/>
                <w:szCs w:val="1"/>
                <w:color w:val="auto"/>
              </w:rPr>
            </w:pPr>
          </w:p>
        </w:tc>
      </w:tr>
      <w:tr>
        <w:trPr>
          <w:trHeight w:val="504"/>
        </w:trPr>
        <w:tc>
          <w:tcPr>
            <w:tcW w:w="860" w:type="dxa"/>
            <w:vAlign w:val="bottom"/>
          </w:tcPr>
          <w:p>
            <w:pPr>
              <w:spacing w:after="0"/>
              <w:rPr>
                <w:sz w:val="24"/>
                <w:szCs w:val="24"/>
                <w:color w:val="auto"/>
              </w:rPr>
            </w:pPr>
          </w:p>
        </w:tc>
        <w:tc>
          <w:tcPr>
            <w:tcW w:w="9560" w:type="dxa"/>
            <w:vAlign w:val="bottom"/>
          </w:tcPr>
          <w:p>
            <w:pPr>
              <w:ind w:left="140"/>
              <w:spacing w:after="0"/>
              <w:rPr>
                <w:rFonts w:ascii="Arial" w:cs="Arial" w:eastAsia="Arial" w:hAnsi="Arial"/>
                <w:sz w:val="17"/>
                <w:szCs w:val="17"/>
                <w:color w:val="auto"/>
              </w:rPr>
            </w:pPr>
            <w:hyperlink w:anchor="page7">
              <w:r>
                <w:rPr>
                  <w:rFonts w:ascii="Arial" w:cs="Arial" w:eastAsia="Arial" w:hAnsi="Arial"/>
                  <w:sz w:val="17"/>
                  <w:szCs w:val="17"/>
                  <w:color w:val="auto"/>
                </w:rPr>
                <w:t>Consolidated Statements of Changes in Equity for the Three and Six Months Ended June 30, 2022 and 2021</w:t>
              </w:r>
            </w:hyperlink>
          </w:p>
        </w:tc>
        <w:tc>
          <w:tcPr>
            <w:tcW w:w="780" w:type="dxa"/>
            <w:vAlign w:val="bottom"/>
          </w:tcPr>
          <w:p>
            <w:pPr>
              <w:jc w:val="right"/>
              <w:spacing w:after="0"/>
              <w:rPr>
                <w:rFonts w:ascii="Arial" w:cs="Arial" w:eastAsia="Arial" w:hAnsi="Arial"/>
                <w:sz w:val="17"/>
                <w:szCs w:val="17"/>
                <w:color w:val="auto"/>
              </w:rPr>
            </w:pPr>
            <w:hyperlink w:anchor="page7">
              <w:r>
                <w:rPr>
                  <w:rFonts w:ascii="Arial" w:cs="Arial" w:eastAsia="Arial" w:hAnsi="Arial"/>
                  <w:sz w:val="17"/>
                  <w:szCs w:val="17"/>
                  <w:color w:val="auto"/>
                </w:rPr>
                <w:t>7</w:t>
              </w:r>
            </w:hyperlink>
          </w:p>
        </w:tc>
        <w:tc>
          <w:tcPr>
            <w:tcW w:w="0" w:type="dxa"/>
            <w:vAlign w:val="bottom"/>
          </w:tcPr>
          <w:p>
            <w:pPr>
              <w:spacing w:after="0"/>
              <w:rPr>
                <w:sz w:val="1"/>
                <w:szCs w:val="1"/>
                <w:color w:val="auto"/>
              </w:rPr>
            </w:pPr>
          </w:p>
        </w:tc>
      </w:tr>
      <w:tr>
        <w:trPr>
          <w:trHeight w:val="478"/>
        </w:trPr>
        <w:tc>
          <w:tcPr>
            <w:tcW w:w="860" w:type="dxa"/>
            <w:vAlign w:val="bottom"/>
          </w:tcPr>
          <w:p>
            <w:pPr>
              <w:spacing w:after="0"/>
              <w:rPr>
                <w:sz w:val="24"/>
                <w:szCs w:val="24"/>
                <w:color w:val="auto"/>
              </w:rPr>
            </w:pPr>
          </w:p>
        </w:tc>
        <w:tc>
          <w:tcPr>
            <w:tcW w:w="9560" w:type="dxa"/>
            <w:vAlign w:val="bottom"/>
          </w:tcPr>
          <w:p>
            <w:pPr>
              <w:ind w:left="140"/>
              <w:spacing w:after="0"/>
              <w:rPr>
                <w:rFonts w:ascii="Arial" w:cs="Arial" w:eastAsia="Arial" w:hAnsi="Arial"/>
                <w:sz w:val="17"/>
                <w:szCs w:val="17"/>
                <w:color w:val="auto"/>
              </w:rPr>
            </w:pPr>
            <w:hyperlink w:anchor="page9">
              <w:r>
                <w:rPr>
                  <w:rFonts w:ascii="Arial" w:cs="Arial" w:eastAsia="Arial" w:hAnsi="Arial"/>
                  <w:sz w:val="17"/>
                  <w:szCs w:val="17"/>
                  <w:color w:val="auto"/>
                </w:rPr>
                <w:t>Consolidated Statements of Cash Flows for the Six Months Ended June 30, 2022 and 2021</w:t>
              </w:r>
            </w:hyperlink>
          </w:p>
        </w:tc>
        <w:tc>
          <w:tcPr>
            <w:tcW w:w="780" w:type="dxa"/>
            <w:vAlign w:val="bottom"/>
          </w:tcPr>
          <w:p>
            <w:pPr>
              <w:jc w:val="right"/>
              <w:spacing w:after="0"/>
              <w:rPr>
                <w:rFonts w:ascii="Arial" w:cs="Arial" w:eastAsia="Arial" w:hAnsi="Arial"/>
                <w:sz w:val="17"/>
                <w:szCs w:val="17"/>
                <w:color w:val="auto"/>
              </w:rPr>
            </w:pPr>
            <w:hyperlink w:anchor="page9">
              <w:r>
                <w:rPr>
                  <w:rFonts w:ascii="Arial" w:cs="Arial" w:eastAsia="Arial" w:hAnsi="Arial"/>
                  <w:sz w:val="17"/>
                  <w:szCs w:val="17"/>
                  <w:color w:val="auto"/>
                </w:rPr>
                <w:t>9</w:t>
              </w:r>
            </w:hyperlink>
          </w:p>
        </w:tc>
        <w:tc>
          <w:tcPr>
            <w:tcW w:w="0" w:type="dxa"/>
            <w:vAlign w:val="bottom"/>
          </w:tcPr>
          <w:p>
            <w:pPr>
              <w:spacing w:after="0"/>
              <w:rPr>
                <w:sz w:val="1"/>
                <w:szCs w:val="1"/>
                <w:color w:val="auto"/>
              </w:rPr>
            </w:pPr>
          </w:p>
        </w:tc>
      </w:tr>
      <w:tr>
        <w:trPr>
          <w:trHeight w:val="478"/>
        </w:trPr>
        <w:tc>
          <w:tcPr>
            <w:tcW w:w="860" w:type="dxa"/>
            <w:vAlign w:val="bottom"/>
          </w:tcPr>
          <w:p>
            <w:pPr>
              <w:spacing w:after="0"/>
              <w:rPr>
                <w:sz w:val="24"/>
                <w:szCs w:val="24"/>
                <w:color w:val="auto"/>
              </w:rPr>
            </w:pPr>
          </w:p>
        </w:tc>
        <w:tc>
          <w:tcPr>
            <w:tcW w:w="9560" w:type="dxa"/>
            <w:vAlign w:val="bottom"/>
          </w:tcPr>
          <w:p>
            <w:pPr>
              <w:ind w:left="140"/>
              <w:spacing w:after="0"/>
              <w:rPr>
                <w:rFonts w:ascii="Arial" w:cs="Arial" w:eastAsia="Arial" w:hAnsi="Arial"/>
                <w:sz w:val="17"/>
                <w:szCs w:val="17"/>
                <w:color w:val="auto"/>
              </w:rPr>
            </w:pPr>
            <w:hyperlink w:anchor="page11">
              <w:r>
                <w:rPr>
                  <w:rFonts w:ascii="Arial" w:cs="Arial" w:eastAsia="Arial" w:hAnsi="Arial"/>
                  <w:sz w:val="17"/>
                  <w:szCs w:val="17"/>
                  <w:color w:val="auto"/>
                </w:rPr>
                <w:t>Notes to Unaudited Consolidated Financial Statements</w:t>
              </w:r>
            </w:hyperlink>
          </w:p>
        </w:tc>
        <w:tc>
          <w:tcPr>
            <w:tcW w:w="780" w:type="dxa"/>
            <w:vAlign w:val="bottom"/>
          </w:tcPr>
          <w:p>
            <w:pPr>
              <w:jc w:val="right"/>
              <w:spacing w:after="0"/>
              <w:rPr>
                <w:rFonts w:ascii="Arial" w:cs="Arial" w:eastAsia="Arial" w:hAnsi="Arial"/>
                <w:sz w:val="17"/>
                <w:szCs w:val="17"/>
                <w:color w:val="auto"/>
              </w:rPr>
            </w:pPr>
            <w:hyperlink w:anchor="page11">
              <w:r>
                <w:rPr>
                  <w:rFonts w:ascii="Arial" w:cs="Arial" w:eastAsia="Arial" w:hAnsi="Arial"/>
                  <w:sz w:val="17"/>
                  <w:szCs w:val="17"/>
                  <w:color w:val="auto"/>
                </w:rPr>
                <w:t>10</w:t>
              </w:r>
            </w:hyperlink>
          </w:p>
        </w:tc>
        <w:tc>
          <w:tcPr>
            <w:tcW w:w="0" w:type="dxa"/>
            <w:vAlign w:val="bottom"/>
          </w:tcPr>
          <w:p>
            <w:pPr>
              <w:spacing w:after="0"/>
              <w:rPr>
                <w:sz w:val="1"/>
                <w:szCs w:val="1"/>
                <w:color w:val="auto"/>
              </w:rPr>
            </w:pPr>
          </w:p>
        </w:tc>
      </w:tr>
      <w:tr>
        <w:trPr>
          <w:trHeight w:val="478"/>
        </w:trPr>
        <w:tc>
          <w:tcPr>
            <w:tcW w:w="860" w:type="dxa"/>
            <w:vAlign w:val="bottom"/>
          </w:tcPr>
          <w:p>
            <w:pPr>
              <w:spacing w:after="0"/>
              <w:rPr>
                <w:rFonts w:ascii="Arial" w:cs="Arial" w:eastAsia="Arial" w:hAnsi="Arial"/>
                <w:sz w:val="17"/>
                <w:szCs w:val="17"/>
                <w:color w:val="auto"/>
              </w:rPr>
            </w:pPr>
            <w:hyperlink w:anchor="page58">
              <w:r>
                <w:rPr>
                  <w:rFonts w:ascii="Arial" w:cs="Arial" w:eastAsia="Arial" w:hAnsi="Arial"/>
                  <w:sz w:val="17"/>
                  <w:szCs w:val="17"/>
                  <w:color w:val="auto"/>
                </w:rPr>
                <w:t>Item 2.</w:t>
              </w:r>
            </w:hyperlink>
          </w:p>
        </w:tc>
        <w:tc>
          <w:tcPr>
            <w:tcW w:w="9560" w:type="dxa"/>
            <w:vAlign w:val="bottom"/>
          </w:tcPr>
          <w:p>
            <w:pPr>
              <w:ind w:left="140"/>
              <w:spacing w:after="0"/>
              <w:rPr>
                <w:rFonts w:ascii="Arial" w:cs="Arial" w:eastAsia="Arial" w:hAnsi="Arial"/>
                <w:sz w:val="17"/>
                <w:szCs w:val="17"/>
                <w:color w:val="auto"/>
              </w:rPr>
            </w:pPr>
            <w:hyperlink w:anchor="page58">
              <w:r>
                <w:rPr>
                  <w:rFonts w:ascii="Arial" w:cs="Arial" w:eastAsia="Arial" w:hAnsi="Arial"/>
                  <w:sz w:val="17"/>
                  <w:szCs w:val="17"/>
                  <w:color w:val="auto"/>
                </w:rPr>
                <w:t>Management’s Discussion and Analysis of Financial Condition and Results of Operations</w:t>
              </w:r>
            </w:hyperlink>
          </w:p>
        </w:tc>
        <w:tc>
          <w:tcPr>
            <w:tcW w:w="780" w:type="dxa"/>
            <w:vAlign w:val="bottom"/>
          </w:tcPr>
          <w:p>
            <w:pPr>
              <w:jc w:val="right"/>
              <w:spacing w:after="0"/>
              <w:rPr>
                <w:rFonts w:ascii="Arial" w:cs="Arial" w:eastAsia="Arial" w:hAnsi="Arial"/>
                <w:sz w:val="17"/>
                <w:szCs w:val="17"/>
                <w:color w:val="auto"/>
              </w:rPr>
            </w:pPr>
            <w:hyperlink w:anchor="page58">
              <w:r>
                <w:rPr>
                  <w:rFonts w:ascii="Arial" w:cs="Arial" w:eastAsia="Arial" w:hAnsi="Arial"/>
                  <w:sz w:val="17"/>
                  <w:szCs w:val="17"/>
                  <w:color w:val="auto"/>
                </w:rPr>
                <w:t>56</w:t>
              </w:r>
            </w:hyperlink>
          </w:p>
        </w:tc>
        <w:tc>
          <w:tcPr>
            <w:tcW w:w="0" w:type="dxa"/>
            <w:vAlign w:val="bottom"/>
          </w:tcPr>
          <w:p>
            <w:pPr>
              <w:spacing w:after="0"/>
              <w:rPr>
                <w:sz w:val="1"/>
                <w:szCs w:val="1"/>
                <w:color w:val="auto"/>
              </w:rPr>
            </w:pPr>
          </w:p>
        </w:tc>
      </w:tr>
      <w:tr>
        <w:trPr>
          <w:trHeight w:val="439"/>
        </w:trPr>
        <w:tc>
          <w:tcPr>
            <w:tcW w:w="860" w:type="dxa"/>
            <w:vAlign w:val="bottom"/>
          </w:tcPr>
          <w:p>
            <w:pPr>
              <w:spacing w:after="0"/>
              <w:rPr>
                <w:rFonts w:ascii="Arial" w:cs="Arial" w:eastAsia="Arial" w:hAnsi="Arial"/>
                <w:sz w:val="17"/>
                <w:szCs w:val="17"/>
                <w:color w:val="auto"/>
              </w:rPr>
            </w:pPr>
            <w:hyperlink w:anchor="page95">
              <w:r>
                <w:rPr>
                  <w:rFonts w:ascii="Arial" w:cs="Arial" w:eastAsia="Arial" w:hAnsi="Arial"/>
                  <w:sz w:val="17"/>
                  <w:szCs w:val="17"/>
                  <w:color w:val="auto"/>
                </w:rPr>
                <w:t>Item 3.</w:t>
              </w:r>
            </w:hyperlink>
          </w:p>
        </w:tc>
        <w:tc>
          <w:tcPr>
            <w:tcW w:w="9560" w:type="dxa"/>
            <w:vAlign w:val="bottom"/>
          </w:tcPr>
          <w:p>
            <w:pPr>
              <w:ind w:left="140"/>
              <w:spacing w:after="0"/>
              <w:rPr>
                <w:rFonts w:ascii="Arial" w:cs="Arial" w:eastAsia="Arial" w:hAnsi="Arial"/>
                <w:sz w:val="17"/>
                <w:szCs w:val="17"/>
                <w:color w:val="auto"/>
              </w:rPr>
            </w:pPr>
            <w:hyperlink w:anchor="page95">
              <w:r>
                <w:rPr>
                  <w:rFonts w:ascii="Arial" w:cs="Arial" w:eastAsia="Arial" w:hAnsi="Arial"/>
                  <w:sz w:val="17"/>
                  <w:szCs w:val="17"/>
                  <w:color w:val="auto"/>
                </w:rPr>
                <w:t>Quantitative and Qualitative Disclosures about Market Risk</w:t>
              </w:r>
            </w:hyperlink>
          </w:p>
        </w:tc>
        <w:tc>
          <w:tcPr>
            <w:tcW w:w="780" w:type="dxa"/>
            <w:vAlign w:val="bottom"/>
          </w:tcPr>
          <w:p>
            <w:pPr>
              <w:jc w:val="right"/>
              <w:spacing w:after="0"/>
              <w:rPr>
                <w:rFonts w:ascii="Arial" w:cs="Arial" w:eastAsia="Arial" w:hAnsi="Arial"/>
                <w:sz w:val="17"/>
                <w:szCs w:val="17"/>
                <w:color w:val="auto"/>
              </w:rPr>
            </w:pPr>
            <w:hyperlink w:anchor="page95">
              <w:r>
                <w:rPr>
                  <w:rFonts w:ascii="Arial" w:cs="Arial" w:eastAsia="Arial" w:hAnsi="Arial"/>
                  <w:sz w:val="17"/>
                  <w:szCs w:val="17"/>
                  <w:color w:val="auto"/>
                </w:rPr>
                <w:t>93</w:t>
              </w:r>
            </w:hyperlink>
          </w:p>
        </w:tc>
        <w:tc>
          <w:tcPr>
            <w:tcW w:w="0" w:type="dxa"/>
            <w:vAlign w:val="bottom"/>
          </w:tcPr>
          <w:p>
            <w:pPr>
              <w:spacing w:after="0"/>
              <w:rPr>
                <w:sz w:val="1"/>
                <w:szCs w:val="1"/>
                <w:color w:val="auto"/>
              </w:rPr>
            </w:pPr>
          </w:p>
        </w:tc>
      </w:tr>
      <w:tr>
        <w:trPr>
          <w:trHeight w:val="439"/>
        </w:trPr>
        <w:tc>
          <w:tcPr>
            <w:tcW w:w="860" w:type="dxa"/>
            <w:vAlign w:val="bottom"/>
          </w:tcPr>
          <w:p>
            <w:pPr>
              <w:spacing w:after="0"/>
              <w:rPr>
                <w:rFonts w:ascii="Arial" w:cs="Arial" w:eastAsia="Arial" w:hAnsi="Arial"/>
                <w:sz w:val="17"/>
                <w:szCs w:val="17"/>
                <w:color w:val="auto"/>
              </w:rPr>
            </w:pPr>
            <w:hyperlink w:anchor="page99">
              <w:r>
                <w:rPr>
                  <w:rFonts w:ascii="Arial" w:cs="Arial" w:eastAsia="Arial" w:hAnsi="Arial"/>
                  <w:sz w:val="17"/>
                  <w:szCs w:val="17"/>
                  <w:color w:val="auto"/>
                </w:rPr>
                <w:t>Item 4.</w:t>
              </w:r>
            </w:hyperlink>
          </w:p>
        </w:tc>
        <w:tc>
          <w:tcPr>
            <w:tcW w:w="9560" w:type="dxa"/>
            <w:vAlign w:val="bottom"/>
          </w:tcPr>
          <w:p>
            <w:pPr>
              <w:ind w:left="140"/>
              <w:spacing w:after="0"/>
              <w:rPr>
                <w:rFonts w:ascii="Arial" w:cs="Arial" w:eastAsia="Arial" w:hAnsi="Arial"/>
                <w:sz w:val="17"/>
                <w:szCs w:val="17"/>
                <w:color w:val="auto"/>
              </w:rPr>
            </w:pPr>
            <w:hyperlink w:anchor="page99">
              <w:r>
                <w:rPr>
                  <w:rFonts w:ascii="Arial" w:cs="Arial" w:eastAsia="Arial" w:hAnsi="Arial"/>
                  <w:sz w:val="17"/>
                  <w:szCs w:val="17"/>
                  <w:color w:val="auto"/>
                </w:rPr>
                <w:t>Controls and Procedures</w:t>
              </w:r>
            </w:hyperlink>
          </w:p>
        </w:tc>
        <w:tc>
          <w:tcPr>
            <w:tcW w:w="780" w:type="dxa"/>
            <w:vAlign w:val="bottom"/>
          </w:tcPr>
          <w:p>
            <w:pPr>
              <w:jc w:val="right"/>
              <w:spacing w:after="0"/>
              <w:rPr>
                <w:rFonts w:ascii="Arial" w:cs="Arial" w:eastAsia="Arial" w:hAnsi="Arial"/>
                <w:sz w:val="17"/>
                <w:szCs w:val="17"/>
                <w:color w:val="auto"/>
              </w:rPr>
            </w:pPr>
            <w:hyperlink w:anchor="page99">
              <w:r>
                <w:rPr>
                  <w:rFonts w:ascii="Arial" w:cs="Arial" w:eastAsia="Arial" w:hAnsi="Arial"/>
                  <w:sz w:val="17"/>
                  <w:szCs w:val="17"/>
                  <w:color w:val="auto"/>
                </w:rPr>
                <w:t>97</w:t>
              </w:r>
            </w:hyperlink>
          </w:p>
        </w:tc>
        <w:tc>
          <w:tcPr>
            <w:tcW w:w="0" w:type="dxa"/>
            <w:vAlign w:val="bottom"/>
          </w:tcPr>
          <w:p>
            <w:pPr>
              <w:spacing w:after="0"/>
              <w:rPr>
                <w:sz w:val="1"/>
                <w:szCs w:val="1"/>
                <w:color w:val="auto"/>
              </w:rPr>
            </w:pPr>
          </w:p>
        </w:tc>
      </w:tr>
      <w:tr>
        <w:trPr>
          <w:trHeight w:val="439"/>
        </w:trPr>
        <w:tc>
          <w:tcPr>
            <w:tcW w:w="10420" w:type="dxa"/>
            <w:vAlign w:val="bottom"/>
            <w:gridSpan w:val="2"/>
          </w:tcPr>
          <w:p>
            <w:pPr>
              <w:spacing w:after="0"/>
              <w:rPr>
                <w:rFonts w:ascii="Arial" w:cs="Arial" w:eastAsia="Arial" w:hAnsi="Arial"/>
                <w:sz w:val="17"/>
                <w:szCs w:val="17"/>
                <w:b w:val="1"/>
                <w:bCs w:val="1"/>
                <w:color w:val="auto"/>
              </w:rPr>
            </w:pPr>
            <w:hyperlink w:anchor="page100">
              <w:r>
                <w:rPr>
                  <w:rFonts w:ascii="Arial" w:cs="Arial" w:eastAsia="Arial" w:hAnsi="Arial"/>
                  <w:sz w:val="17"/>
                  <w:szCs w:val="17"/>
                  <w:b w:val="1"/>
                  <w:bCs w:val="1"/>
                  <w:color w:val="auto"/>
                </w:rPr>
                <w:t>PART II - OTHER INFORMATION</w:t>
              </w:r>
            </w:hyperlink>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860" w:type="dxa"/>
            <w:vAlign w:val="bottom"/>
          </w:tcPr>
          <w:p>
            <w:pPr>
              <w:spacing w:after="0"/>
              <w:rPr>
                <w:rFonts w:ascii="Arial" w:cs="Arial" w:eastAsia="Arial" w:hAnsi="Arial"/>
                <w:sz w:val="17"/>
                <w:szCs w:val="17"/>
                <w:color w:val="auto"/>
              </w:rPr>
            </w:pPr>
            <w:hyperlink w:anchor="page100">
              <w:r>
                <w:rPr>
                  <w:rFonts w:ascii="Arial" w:cs="Arial" w:eastAsia="Arial" w:hAnsi="Arial"/>
                  <w:sz w:val="17"/>
                  <w:szCs w:val="17"/>
                  <w:color w:val="auto"/>
                </w:rPr>
                <w:t>Item 1.</w:t>
              </w:r>
            </w:hyperlink>
          </w:p>
        </w:tc>
        <w:tc>
          <w:tcPr>
            <w:tcW w:w="9560" w:type="dxa"/>
            <w:vAlign w:val="bottom"/>
          </w:tcPr>
          <w:p>
            <w:pPr>
              <w:ind w:left="140"/>
              <w:spacing w:after="0"/>
              <w:rPr>
                <w:rFonts w:ascii="Arial" w:cs="Arial" w:eastAsia="Arial" w:hAnsi="Arial"/>
                <w:sz w:val="17"/>
                <w:szCs w:val="17"/>
                <w:color w:val="auto"/>
              </w:rPr>
            </w:pPr>
            <w:hyperlink w:anchor="page100">
              <w:r>
                <w:rPr>
                  <w:rFonts w:ascii="Arial" w:cs="Arial" w:eastAsia="Arial" w:hAnsi="Arial"/>
                  <w:sz w:val="17"/>
                  <w:szCs w:val="17"/>
                  <w:color w:val="auto"/>
                </w:rPr>
                <w:t>Legal Proceedings</w:t>
              </w:r>
            </w:hyperlink>
          </w:p>
        </w:tc>
        <w:tc>
          <w:tcPr>
            <w:tcW w:w="780" w:type="dxa"/>
            <w:vAlign w:val="bottom"/>
          </w:tcPr>
          <w:p>
            <w:pPr>
              <w:jc w:val="right"/>
              <w:spacing w:after="0"/>
              <w:rPr>
                <w:rFonts w:ascii="Arial" w:cs="Arial" w:eastAsia="Arial" w:hAnsi="Arial"/>
                <w:sz w:val="17"/>
                <w:szCs w:val="17"/>
                <w:color w:val="auto"/>
              </w:rPr>
            </w:pPr>
            <w:hyperlink w:anchor="page100">
              <w:r>
                <w:rPr>
                  <w:rFonts w:ascii="Arial" w:cs="Arial" w:eastAsia="Arial" w:hAnsi="Arial"/>
                  <w:sz w:val="17"/>
                  <w:szCs w:val="17"/>
                  <w:color w:val="auto"/>
                </w:rPr>
                <w:t>98</w:t>
              </w:r>
            </w:hyperlink>
          </w:p>
        </w:tc>
        <w:tc>
          <w:tcPr>
            <w:tcW w:w="0" w:type="dxa"/>
            <w:vAlign w:val="bottom"/>
          </w:tcPr>
          <w:p>
            <w:pPr>
              <w:spacing w:after="0"/>
              <w:rPr>
                <w:sz w:val="1"/>
                <w:szCs w:val="1"/>
                <w:color w:val="auto"/>
              </w:rPr>
            </w:pPr>
          </w:p>
        </w:tc>
      </w:tr>
      <w:tr>
        <w:trPr>
          <w:trHeight w:val="439"/>
        </w:trPr>
        <w:tc>
          <w:tcPr>
            <w:tcW w:w="860" w:type="dxa"/>
            <w:vAlign w:val="bottom"/>
          </w:tcPr>
          <w:p>
            <w:pPr>
              <w:spacing w:after="0"/>
              <w:rPr>
                <w:rFonts w:ascii="Arial" w:cs="Arial" w:eastAsia="Arial" w:hAnsi="Arial"/>
                <w:sz w:val="17"/>
                <w:szCs w:val="17"/>
                <w:color w:val="auto"/>
              </w:rPr>
            </w:pPr>
            <w:hyperlink w:anchor="page100">
              <w:r>
                <w:rPr>
                  <w:rFonts w:ascii="Arial" w:cs="Arial" w:eastAsia="Arial" w:hAnsi="Arial"/>
                  <w:sz w:val="17"/>
                  <w:szCs w:val="17"/>
                  <w:color w:val="auto"/>
                </w:rPr>
                <w:t>Item 1A.</w:t>
              </w:r>
            </w:hyperlink>
          </w:p>
        </w:tc>
        <w:tc>
          <w:tcPr>
            <w:tcW w:w="9560" w:type="dxa"/>
            <w:vAlign w:val="bottom"/>
          </w:tcPr>
          <w:p>
            <w:pPr>
              <w:ind w:left="140"/>
              <w:spacing w:after="0"/>
              <w:rPr>
                <w:rFonts w:ascii="Arial" w:cs="Arial" w:eastAsia="Arial" w:hAnsi="Arial"/>
                <w:sz w:val="17"/>
                <w:szCs w:val="17"/>
                <w:color w:val="auto"/>
              </w:rPr>
            </w:pPr>
            <w:hyperlink w:anchor="page100">
              <w:r>
                <w:rPr>
                  <w:rFonts w:ascii="Arial" w:cs="Arial" w:eastAsia="Arial" w:hAnsi="Arial"/>
                  <w:sz w:val="17"/>
                  <w:szCs w:val="17"/>
                  <w:color w:val="auto"/>
                </w:rPr>
                <w:t>Risk Factors</w:t>
              </w:r>
            </w:hyperlink>
          </w:p>
        </w:tc>
        <w:tc>
          <w:tcPr>
            <w:tcW w:w="780" w:type="dxa"/>
            <w:vAlign w:val="bottom"/>
          </w:tcPr>
          <w:p>
            <w:pPr>
              <w:jc w:val="right"/>
              <w:spacing w:after="0"/>
              <w:rPr>
                <w:rFonts w:ascii="Arial" w:cs="Arial" w:eastAsia="Arial" w:hAnsi="Arial"/>
                <w:sz w:val="17"/>
                <w:szCs w:val="17"/>
                <w:color w:val="auto"/>
              </w:rPr>
            </w:pPr>
            <w:hyperlink w:anchor="page100">
              <w:r>
                <w:rPr>
                  <w:rFonts w:ascii="Arial" w:cs="Arial" w:eastAsia="Arial" w:hAnsi="Arial"/>
                  <w:sz w:val="17"/>
                  <w:szCs w:val="17"/>
                  <w:color w:val="auto"/>
                </w:rPr>
                <w:t>98</w:t>
              </w:r>
            </w:hyperlink>
          </w:p>
        </w:tc>
        <w:tc>
          <w:tcPr>
            <w:tcW w:w="0" w:type="dxa"/>
            <w:vAlign w:val="bottom"/>
          </w:tcPr>
          <w:p>
            <w:pPr>
              <w:spacing w:after="0"/>
              <w:rPr>
                <w:sz w:val="1"/>
                <w:szCs w:val="1"/>
                <w:color w:val="auto"/>
              </w:rPr>
            </w:pPr>
          </w:p>
        </w:tc>
      </w:tr>
      <w:tr>
        <w:trPr>
          <w:trHeight w:val="478"/>
        </w:trPr>
        <w:tc>
          <w:tcPr>
            <w:tcW w:w="860" w:type="dxa"/>
            <w:vAlign w:val="bottom"/>
          </w:tcPr>
          <w:p>
            <w:pPr>
              <w:spacing w:after="0"/>
              <w:rPr>
                <w:rFonts w:ascii="Arial" w:cs="Arial" w:eastAsia="Arial" w:hAnsi="Arial"/>
                <w:sz w:val="17"/>
                <w:szCs w:val="17"/>
                <w:color w:val="auto"/>
              </w:rPr>
            </w:pPr>
            <w:hyperlink w:anchor="page100">
              <w:r>
                <w:rPr>
                  <w:rFonts w:ascii="Arial" w:cs="Arial" w:eastAsia="Arial" w:hAnsi="Arial"/>
                  <w:sz w:val="17"/>
                  <w:szCs w:val="17"/>
                  <w:color w:val="auto"/>
                </w:rPr>
                <w:t>Item 2.</w:t>
              </w:r>
            </w:hyperlink>
          </w:p>
        </w:tc>
        <w:tc>
          <w:tcPr>
            <w:tcW w:w="9560" w:type="dxa"/>
            <w:vAlign w:val="bottom"/>
          </w:tcPr>
          <w:p>
            <w:pPr>
              <w:ind w:left="140"/>
              <w:spacing w:after="0"/>
              <w:rPr>
                <w:rFonts w:ascii="Arial" w:cs="Arial" w:eastAsia="Arial" w:hAnsi="Arial"/>
                <w:sz w:val="17"/>
                <w:szCs w:val="17"/>
                <w:color w:val="auto"/>
              </w:rPr>
            </w:pPr>
            <w:hyperlink w:anchor="page100">
              <w:r>
                <w:rPr>
                  <w:rFonts w:ascii="Arial" w:cs="Arial" w:eastAsia="Arial" w:hAnsi="Arial"/>
                  <w:sz w:val="17"/>
                  <w:szCs w:val="17"/>
                  <w:color w:val="auto"/>
                </w:rPr>
                <w:t>Unregistered Sales of Equity Securities and Use of Proceeds</w:t>
              </w:r>
            </w:hyperlink>
          </w:p>
        </w:tc>
        <w:tc>
          <w:tcPr>
            <w:tcW w:w="780" w:type="dxa"/>
            <w:vAlign w:val="bottom"/>
          </w:tcPr>
          <w:p>
            <w:pPr>
              <w:jc w:val="right"/>
              <w:spacing w:after="0"/>
              <w:rPr>
                <w:rFonts w:ascii="Arial" w:cs="Arial" w:eastAsia="Arial" w:hAnsi="Arial"/>
                <w:sz w:val="17"/>
                <w:szCs w:val="17"/>
                <w:color w:val="auto"/>
              </w:rPr>
            </w:pPr>
            <w:hyperlink w:anchor="page100">
              <w:r>
                <w:rPr>
                  <w:rFonts w:ascii="Arial" w:cs="Arial" w:eastAsia="Arial" w:hAnsi="Arial"/>
                  <w:sz w:val="17"/>
                  <w:szCs w:val="17"/>
                  <w:color w:val="auto"/>
                </w:rPr>
                <w:t>98</w:t>
              </w:r>
            </w:hyperlink>
          </w:p>
        </w:tc>
        <w:tc>
          <w:tcPr>
            <w:tcW w:w="0" w:type="dxa"/>
            <w:vAlign w:val="bottom"/>
          </w:tcPr>
          <w:p>
            <w:pPr>
              <w:spacing w:after="0"/>
              <w:rPr>
                <w:sz w:val="1"/>
                <w:szCs w:val="1"/>
                <w:color w:val="auto"/>
              </w:rPr>
            </w:pPr>
          </w:p>
        </w:tc>
      </w:tr>
      <w:tr>
        <w:trPr>
          <w:trHeight w:val="478"/>
        </w:trPr>
        <w:tc>
          <w:tcPr>
            <w:tcW w:w="860" w:type="dxa"/>
            <w:vAlign w:val="bottom"/>
          </w:tcPr>
          <w:p>
            <w:pPr>
              <w:spacing w:after="0"/>
              <w:rPr>
                <w:rFonts w:ascii="Arial" w:cs="Arial" w:eastAsia="Arial" w:hAnsi="Arial"/>
                <w:sz w:val="17"/>
                <w:szCs w:val="17"/>
                <w:color w:val="auto"/>
              </w:rPr>
            </w:pPr>
            <w:hyperlink w:anchor="page100">
              <w:r>
                <w:rPr>
                  <w:rFonts w:ascii="Arial" w:cs="Arial" w:eastAsia="Arial" w:hAnsi="Arial"/>
                  <w:sz w:val="17"/>
                  <w:szCs w:val="17"/>
                  <w:color w:val="auto"/>
                </w:rPr>
                <w:t>Item 6.</w:t>
              </w:r>
            </w:hyperlink>
          </w:p>
        </w:tc>
        <w:tc>
          <w:tcPr>
            <w:tcW w:w="9560" w:type="dxa"/>
            <w:vAlign w:val="bottom"/>
          </w:tcPr>
          <w:p>
            <w:pPr>
              <w:ind w:left="140"/>
              <w:spacing w:after="0"/>
              <w:rPr>
                <w:rFonts w:ascii="Arial" w:cs="Arial" w:eastAsia="Arial" w:hAnsi="Arial"/>
                <w:sz w:val="17"/>
                <w:szCs w:val="17"/>
                <w:color w:val="auto"/>
              </w:rPr>
            </w:pPr>
            <w:hyperlink w:anchor="page100">
              <w:r>
                <w:rPr>
                  <w:rFonts w:ascii="Arial" w:cs="Arial" w:eastAsia="Arial" w:hAnsi="Arial"/>
                  <w:sz w:val="17"/>
                  <w:szCs w:val="17"/>
                  <w:color w:val="auto"/>
                </w:rPr>
                <w:t>Exhibits</w:t>
              </w:r>
            </w:hyperlink>
          </w:p>
        </w:tc>
        <w:tc>
          <w:tcPr>
            <w:tcW w:w="780" w:type="dxa"/>
            <w:vAlign w:val="bottom"/>
          </w:tcPr>
          <w:p>
            <w:pPr>
              <w:jc w:val="right"/>
              <w:spacing w:after="0"/>
              <w:rPr>
                <w:rFonts w:ascii="Arial" w:cs="Arial" w:eastAsia="Arial" w:hAnsi="Arial"/>
                <w:sz w:val="17"/>
                <w:szCs w:val="17"/>
                <w:color w:val="auto"/>
              </w:rPr>
            </w:pPr>
            <w:hyperlink w:anchor="page100">
              <w:r>
                <w:rPr>
                  <w:rFonts w:ascii="Arial" w:cs="Arial" w:eastAsia="Arial" w:hAnsi="Arial"/>
                  <w:sz w:val="17"/>
                  <w:szCs w:val="17"/>
                  <w:color w:val="auto"/>
                </w:rPr>
                <w:t>98</w:t>
              </w:r>
            </w:hyperlink>
          </w:p>
        </w:tc>
        <w:tc>
          <w:tcPr>
            <w:tcW w:w="0" w:type="dxa"/>
            <w:vAlign w:val="bottom"/>
          </w:tcPr>
          <w:p>
            <w:pPr>
              <w:spacing w:after="0"/>
              <w:rPr>
                <w:sz w:val="1"/>
                <w:szCs w:val="1"/>
                <w:color w:val="auto"/>
              </w:rPr>
            </w:pPr>
          </w:p>
        </w:tc>
      </w:tr>
      <w:tr>
        <w:trPr>
          <w:trHeight w:val="439"/>
        </w:trPr>
        <w:tc>
          <w:tcPr>
            <w:tcW w:w="860" w:type="dxa"/>
            <w:vAlign w:val="bottom"/>
          </w:tcPr>
          <w:p>
            <w:pPr>
              <w:spacing w:after="0"/>
              <w:rPr>
                <w:rFonts w:ascii="Arial" w:cs="Arial" w:eastAsia="Arial" w:hAnsi="Arial"/>
                <w:sz w:val="17"/>
                <w:szCs w:val="17"/>
                <w:color w:val="auto"/>
              </w:rPr>
            </w:pPr>
            <w:hyperlink w:anchor="page101">
              <w:r>
                <w:rPr>
                  <w:rFonts w:ascii="Arial" w:cs="Arial" w:eastAsia="Arial" w:hAnsi="Arial"/>
                  <w:sz w:val="17"/>
                  <w:szCs w:val="17"/>
                  <w:color w:val="auto"/>
                </w:rPr>
                <w:t>Signatures</w:t>
              </w:r>
            </w:hyperlink>
          </w:p>
        </w:tc>
        <w:tc>
          <w:tcPr>
            <w:tcW w:w="9560" w:type="dxa"/>
            <w:vAlign w:val="bottom"/>
          </w:tcPr>
          <w:p>
            <w:pPr>
              <w:spacing w:after="0"/>
              <w:rPr>
                <w:sz w:val="24"/>
                <w:szCs w:val="24"/>
                <w:color w:val="auto"/>
              </w:rPr>
            </w:pPr>
          </w:p>
        </w:tc>
        <w:tc>
          <w:tcPr>
            <w:tcW w:w="780" w:type="dxa"/>
            <w:vAlign w:val="bottom"/>
          </w:tcPr>
          <w:p>
            <w:pPr>
              <w:jc w:val="right"/>
              <w:spacing w:after="0"/>
              <w:rPr>
                <w:rFonts w:ascii="Arial" w:cs="Arial" w:eastAsia="Arial" w:hAnsi="Arial"/>
                <w:sz w:val="17"/>
                <w:szCs w:val="17"/>
                <w:color w:val="auto"/>
              </w:rPr>
            </w:pPr>
            <w:hyperlink w:anchor="page101">
              <w:r>
                <w:rPr>
                  <w:rFonts w:ascii="Arial" w:cs="Arial" w:eastAsia="Arial" w:hAnsi="Arial"/>
                  <w:sz w:val="17"/>
                  <w:szCs w:val="17"/>
                  <w:color w:val="auto"/>
                </w:rPr>
                <w:t>100</w:t>
              </w:r>
            </w:hyperlink>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67945</wp:posOffset>
            </wp:positionV>
            <wp:extent cx="716343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40" w:top="858" w:right="359" w:bottom="1440" w:gutter="0" w:footer="0" w:header="0"/>
        </w:sectPr>
      </w:pPr>
    </w:p>
    <w:bookmarkStart w:id="2" w:name="page3"/>
    <w:bookmarkEnd w:id="2"/>
    <w:p>
      <w:pPr>
        <w:spacing w:after="0"/>
        <w:rPr>
          <w:sz w:val="20"/>
          <w:szCs w:val="20"/>
          <w:color w:val="auto"/>
        </w:rPr>
      </w:pPr>
      <w:r>
        <w:rPr>
          <w:rFonts w:ascii="Arial" w:cs="Arial" w:eastAsia="Arial" w:hAnsi="Arial"/>
          <w:sz w:val="17"/>
          <w:szCs w:val="17"/>
          <w:b w:val="1"/>
          <w:bCs w:val="1"/>
          <w:color w:val="auto"/>
        </w:rPr>
        <w:t>FORWARD-LOOKING STATEMENTS</w:t>
      </w:r>
    </w:p>
    <w:p>
      <w:pPr>
        <w:spacing w:after="0" w:line="121" w:lineRule="exact"/>
        <w:rPr>
          <w:sz w:val="20"/>
          <w:szCs w:val="20"/>
          <w:color w:val="auto"/>
        </w:rPr>
      </w:pPr>
    </w:p>
    <w:p>
      <w:pPr>
        <w:ind w:right="100"/>
        <w:spacing w:after="0" w:line="292" w:lineRule="auto"/>
        <w:rPr>
          <w:sz w:val="20"/>
          <w:szCs w:val="20"/>
          <w:color w:val="auto"/>
        </w:rPr>
      </w:pPr>
      <w:r>
        <w:rPr>
          <w:rFonts w:ascii="Arial" w:cs="Arial" w:eastAsia="Arial" w:hAnsi="Arial"/>
          <w:sz w:val="16"/>
          <w:szCs w:val="16"/>
          <w:color w:val="auto"/>
        </w:rPr>
        <w:t>This Quarterly Report contains forward-looking statements within the meaning of Section 27A of the Securities Act of 1933, as amended, and Section 21E of the Securities Exchange Act of 1934, as amended. All statements, other than statements of historical fact included in this report, including statements regarding our financial position, business strategy and other plans and objectives for our future operations, are forward-looking statements.</w:t>
      </w:r>
    </w:p>
    <w:p>
      <w:pPr>
        <w:spacing w:after="0" w:line="52" w:lineRule="exact"/>
        <w:rPr>
          <w:sz w:val="20"/>
          <w:szCs w:val="20"/>
          <w:color w:val="auto"/>
        </w:rPr>
      </w:pPr>
    </w:p>
    <w:p>
      <w:pPr>
        <w:spacing w:after="0" w:line="296" w:lineRule="auto"/>
        <w:rPr>
          <w:sz w:val="20"/>
          <w:szCs w:val="20"/>
          <w:color w:val="auto"/>
        </w:rPr>
      </w:pPr>
      <w:r>
        <w:rPr>
          <w:rFonts w:ascii="Arial" w:cs="Arial" w:eastAsia="Arial" w:hAnsi="Arial"/>
          <w:sz w:val="15"/>
          <w:szCs w:val="15"/>
          <w:color w:val="auto"/>
        </w:rPr>
        <w:t>Forward-looking statements may be identified by a reference to a future period or by the use of forward-looking terminology. Forward-looking statements are typically identified by words such as “expect”, “believe”, “foresee”, “anticipate”, “intend”, “estimate”, “goal”, “strategy”, “plan”, “target” and “project” or conditional verbs such as “will”, “may”, “should”, “could” or “would” or the negative of these terms, although not all forward-looking statements contain these words. Forward-looking statements by their nature address matters that are, to different degrees, uncertain. Readers should bear these factors in mind when considering forward-looking statements and should not place undue reliance on such statements. Forward-looking statements involve a number of assumptions, risks and uncertainties that could cause actual results to differ materially from those suggested by such statements. In the past, actual results have differed from those suggested by forward-looking statements and this may happen again. Important factors that could cause actual results to differ include, but are not limited to, the risks discussed under Part I, Item 1A, Risk Factors of our Annual Report on Form 10-K for the year ended December 31, 2021 and the following:</w:t>
      </w:r>
    </w:p>
    <w:p>
      <w:pPr>
        <w:spacing w:after="0" w:line="55" w:lineRule="exact"/>
        <w:rPr>
          <w:sz w:val="20"/>
          <w:szCs w:val="20"/>
          <w:color w:val="auto"/>
        </w:rPr>
      </w:pPr>
    </w:p>
    <w:p>
      <w:pPr>
        <w:ind w:left="620" w:right="560" w:hanging="307"/>
        <w:spacing w:after="0" w:line="246" w:lineRule="auto"/>
        <w:tabs>
          <w:tab w:leader="none" w:pos="616"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potential for ongoing disruption in the financial markets and in commercial activity generally related to changes in monetary and fiscal policy, international events including the conflict in Ukraine and other sources of instability;</w:t>
      </w:r>
    </w:p>
    <w:p>
      <w:pPr>
        <w:ind w:left="620" w:hanging="307"/>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impacts of inflation, employment disruption, and other financial difficulties facing our borrowers;</w:t>
      </w:r>
    </w:p>
    <w:p>
      <w:pPr>
        <w:spacing w:after="0" w:line="9" w:lineRule="exact"/>
        <w:rPr>
          <w:rFonts w:ascii="Arial" w:cs="Arial" w:eastAsia="Arial" w:hAnsi="Arial"/>
          <w:sz w:val="17"/>
          <w:szCs w:val="17"/>
          <w:color w:val="auto"/>
        </w:rPr>
      </w:pPr>
    </w:p>
    <w:p>
      <w:pPr>
        <w:ind w:left="620" w:right="80" w:hanging="307"/>
        <w:spacing w:after="0" w:line="238" w:lineRule="auto"/>
        <w:tabs>
          <w:tab w:leader="none" w:pos="616"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timely reduce operating costs, or generate offsetting revenue, in proportion to the recent industry-wide decrease in originations activity and the impact of cost-reduction initiatives on our business and operations;</w:t>
      </w:r>
    </w:p>
    <w:p>
      <w:pPr>
        <w:spacing w:after="0" w:line="1" w:lineRule="exact"/>
        <w:rPr>
          <w:rFonts w:ascii="Arial" w:cs="Arial" w:eastAsia="Arial" w:hAnsi="Arial"/>
          <w:sz w:val="17"/>
          <w:szCs w:val="17"/>
          <w:color w:val="auto"/>
        </w:rPr>
      </w:pPr>
    </w:p>
    <w:p>
      <w:pPr>
        <w:ind w:left="620" w:right="60" w:hanging="307"/>
        <w:spacing w:after="0" w:line="237" w:lineRule="auto"/>
        <w:tabs>
          <w:tab w:leader="none" w:pos="616"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amount of shares of common stock that we repurchase pursuant to our announced stock repurchase authorization, the timing of such repurchases, and the long-term impact, if any, on the trading price of our stock;</w:t>
      </w:r>
    </w:p>
    <w:p>
      <w:pPr>
        <w:spacing w:after="0" w:line="1" w:lineRule="exact"/>
        <w:rPr>
          <w:rFonts w:ascii="Arial" w:cs="Arial" w:eastAsia="Arial" w:hAnsi="Arial"/>
          <w:sz w:val="17"/>
          <w:szCs w:val="17"/>
          <w:color w:val="auto"/>
        </w:rPr>
      </w:pPr>
    </w:p>
    <w:p>
      <w:pPr>
        <w:ind w:left="620" w:right="340" w:hanging="307"/>
        <w:spacing w:after="0" w:line="237" w:lineRule="auto"/>
        <w:tabs>
          <w:tab w:leader="none" w:pos="616" w:val="left"/>
        </w:tabs>
        <w:numPr>
          <w:ilvl w:val="0"/>
          <w:numId w:val="3"/>
        </w:numPr>
        <w:rPr>
          <w:rFonts w:ascii="Arial" w:cs="Arial" w:eastAsia="Arial" w:hAnsi="Arial"/>
          <w:sz w:val="17"/>
          <w:szCs w:val="17"/>
          <w:color w:val="auto"/>
        </w:rPr>
      </w:pPr>
      <w:r>
        <w:rPr>
          <w:rFonts w:ascii="Arial" w:cs="Arial" w:eastAsia="Arial" w:hAnsi="Arial"/>
          <w:sz w:val="17"/>
          <w:szCs w:val="17"/>
          <w:color w:val="auto"/>
        </w:rPr>
        <w:t>uncertainty relating to the continuing impacts of the COVID-19 pandemic, including with respect to the response of the U.S. government, state governments, the Federal National Mortgage Association (Fannie Mae), and Federal Home Loan Mortgage Corporation (Freddie Mac) (together, the GSEs), the Government National Mortgage Association (Ginnie Mae) and regulators;</w:t>
      </w:r>
    </w:p>
    <w:p>
      <w:pPr>
        <w:spacing w:after="0" w:line="2" w:lineRule="exact"/>
        <w:rPr>
          <w:rFonts w:ascii="Arial" w:cs="Arial" w:eastAsia="Arial" w:hAnsi="Arial"/>
          <w:sz w:val="17"/>
          <w:szCs w:val="17"/>
          <w:color w:val="auto"/>
        </w:rPr>
      </w:pPr>
    </w:p>
    <w:p>
      <w:pPr>
        <w:ind w:left="620" w:hanging="307"/>
        <w:spacing w:after="0"/>
        <w:tabs>
          <w:tab w:leader="none" w:pos="62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proportion of borrowers who enter into forbearance plans, the financial ability of borrowers to resume repayment and their timing for doing so;</w:t>
      </w:r>
    </w:p>
    <w:p>
      <w:pPr>
        <w:spacing w:after="0" w:line="9" w:lineRule="exact"/>
        <w:rPr>
          <w:rFonts w:ascii="Arial" w:cs="Arial" w:eastAsia="Arial" w:hAnsi="Arial"/>
          <w:sz w:val="16"/>
          <w:szCs w:val="16"/>
          <w:color w:val="auto"/>
        </w:rPr>
      </w:pPr>
    </w:p>
    <w:p>
      <w:pPr>
        <w:ind w:left="620" w:right="820" w:hanging="307"/>
        <w:spacing w:after="0" w:line="235" w:lineRule="auto"/>
        <w:tabs>
          <w:tab w:leader="none" w:pos="616"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extent to which our mortgage servicing right (MSR) joint venture with Oaktree Capital Management L.P. and its affiliates (Oaktree), other transactions and our enterprise sales initiatives will generate additional subservicing volume and result in increased profitability;</w:t>
      </w:r>
    </w:p>
    <w:p>
      <w:pPr>
        <w:spacing w:after="0" w:line="1" w:lineRule="exact"/>
        <w:rPr>
          <w:rFonts w:ascii="Arial" w:cs="Arial" w:eastAsia="Arial" w:hAnsi="Arial"/>
          <w:sz w:val="16"/>
          <w:szCs w:val="16"/>
          <w:color w:val="auto"/>
        </w:rPr>
      </w:pPr>
    </w:p>
    <w:p>
      <w:pPr>
        <w:ind w:left="620" w:right="220" w:hanging="307"/>
        <w:spacing w:after="0" w:line="222" w:lineRule="auto"/>
        <w:tabs>
          <w:tab w:leader="none" w:pos="616"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and the ability of MSR Asset Vehicle LLC (MAV), to bid competitively for, and close acquisitions of, MSRs on terms that will enable us to achieve our growth objectives and a favorable return on our investment in MAV;</w:t>
      </w:r>
    </w:p>
    <w:p>
      <w:pPr>
        <w:ind w:left="620" w:hanging="307"/>
        <w:spacing w:after="0" w:line="222" w:lineRule="auto"/>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reach an agreement to upsize MAV and the timing and terms of any such agreement;</w:t>
      </w:r>
    </w:p>
    <w:p>
      <w:pPr>
        <w:ind w:left="620" w:right="460" w:hanging="307"/>
        <w:spacing w:after="0" w:line="222" w:lineRule="auto"/>
        <w:tabs>
          <w:tab w:leader="none" w:pos="616"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identify, enter into and close additional strategic transactions, including the ability to obtain regulatory approvals, enter into definitive financing arrangements, and satisfy closing conditions, and the timing for doing so;</w:t>
      </w:r>
    </w:p>
    <w:p>
      <w:pPr>
        <w:ind w:left="620" w:hanging="307"/>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efficiently integrate the operations and assets of acquired businesses and to retain their employees and customers over time;</w:t>
      </w:r>
    </w:p>
    <w:p>
      <w:pPr>
        <w:spacing w:after="0" w:line="9" w:lineRule="exact"/>
        <w:rPr>
          <w:rFonts w:ascii="Arial" w:cs="Arial" w:eastAsia="Arial" w:hAnsi="Arial"/>
          <w:sz w:val="17"/>
          <w:szCs w:val="17"/>
          <w:color w:val="auto"/>
        </w:rPr>
      </w:pPr>
    </w:p>
    <w:p>
      <w:pPr>
        <w:ind w:left="620" w:hanging="307"/>
        <w:spacing w:after="0" w:line="206" w:lineRule="auto"/>
        <w:tabs>
          <w:tab w:leader="none" w:pos="620" w:val="left"/>
        </w:tabs>
        <w:numPr>
          <w:ilvl w:val="0"/>
          <w:numId w:val="3"/>
        </w:numPr>
        <w:rPr>
          <w:rFonts w:ascii="Arial" w:cs="Arial" w:eastAsia="Arial" w:hAnsi="Arial"/>
          <w:sz w:val="21"/>
          <w:szCs w:val="21"/>
          <w:color w:val="auto"/>
        </w:rPr>
      </w:pPr>
      <w:r>
        <w:rPr>
          <w:rFonts w:ascii="Arial" w:cs="Arial" w:eastAsia="Arial" w:hAnsi="Arial"/>
          <w:sz w:val="17"/>
          <w:szCs w:val="17"/>
          <w:color w:val="auto"/>
        </w:rPr>
        <w:t>the extent to which we will be able to execute call rights transactions, and whether such transactions will generate the returns anticipated;</w:t>
      </w:r>
    </w:p>
    <w:p>
      <w:pPr>
        <w:ind w:left="620" w:hanging="307"/>
        <w:spacing w:after="0" w:line="253" w:lineRule="auto"/>
        <w:tabs>
          <w:tab w:leader="none" w:pos="616"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adequacy of our financial resources, including our sources of liquidity and ability to sell, fund and recover servicing advances, forward and reverse whole loans, and Home Equity Conversion Mortgage (HECM) and forward loan buyouts and put-backs, as well as repay, renew and extend borrowings, borrow additional amounts as and when required, meet our MSR or other asset investment objectives and comply with our debt agreements, including the financial and other covenants contained in them;</w:t>
      </w:r>
    </w:p>
    <w:p>
      <w:pPr>
        <w:spacing w:after="0" w:line="1" w:lineRule="exact"/>
        <w:rPr>
          <w:rFonts w:ascii="Arial" w:cs="Arial" w:eastAsia="Arial" w:hAnsi="Arial"/>
          <w:sz w:val="17"/>
          <w:szCs w:val="17"/>
          <w:color w:val="auto"/>
        </w:rPr>
      </w:pPr>
    </w:p>
    <w:p>
      <w:pPr>
        <w:ind w:left="620" w:right="600" w:hanging="307"/>
        <w:spacing w:after="0" w:line="253" w:lineRule="auto"/>
        <w:tabs>
          <w:tab w:leader="none" w:pos="616" w:val="left"/>
        </w:tabs>
        <w:numPr>
          <w:ilvl w:val="0"/>
          <w:numId w:val="3"/>
        </w:numPr>
        <w:rPr>
          <w:rFonts w:ascii="Arial" w:cs="Arial" w:eastAsia="Arial" w:hAnsi="Arial"/>
          <w:sz w:val="17"/>
          <w:szCs w:val="17"/>
          <w:color w:val="auto"/>
        </w:rPr>
      </w:pPr>
      <w:r>
        <w:rPr>
          <w:rFonts w:ascii="Arial" w:cs="Arial" w:eastAsia="Arial" w:hAnsi="Arial"/>
          <w:sz w:val="17"/>
          <w:szCs w:val="17"/>
          <w:color w:val="auto"/>
        </w:rPr>
        <w:t>increased servicing costs based on rising borrower delinquency levels or other factors, including an increase in severe weather events resulting in property damage and financial hardship to our borrowers;</w:t>
      </w:r>
    </w:p>
    <w:p>
      <w:pPr>
        <w:spacing w:after="0" w:line="1" w:lineRule="exact"/>
        <w:rPr>
          <w:rFonts w:ascii="Arial" w:cs="Arial" w:eastAsia="Arial" w:hAnsi="Arial"/>
          <w:sz w:val="17"/>
          <w:szCs w:val="17"/>
          <w:color w:val="auto"/>
        </w:rPr>
      </w:pPr>
    </w:p>
    <w:p>
      <w:pPr>
        <w:ind w:left="620" w:right="220" w:hanging="307"/>
        <w:spacing w:after="0" w:line="253" w:lineRule="auto"/>
        <w:tabs>
          <w:tab w:leader="none" w:pos="616" w:val="left"/>
        </w:tabs>
        <w:numPr>
          <w:ilvl w:val="0"/>
          <w:numId w:val="3"/>
        </w:numPr>
        <w:rPr>
          <w:rFonts w:ascii="Arial" w:cs="Arial" w:eastAsia="Arial" w:hAnsi="Arial"/>
          <w:sz w:val="17"/>
          <w:szCs w:val="17"/>
          <w:color w:val="auto"/>
        </w:rPr>
      </w:pPr>
      <w:r>
        <w:rPr>
          <w:rFonts w:ascii="Arial" w:cs="Arial" w:eastAsia="Arial" w:hAnsi="Arial"/>
          <w:sz w:val="17"/>
          <w:szCs w:val="17"/>
          <w:color w:val="auto"/>
        </w:rPr>
        <w:t>reduced collection of servicing fees and ancillary income and delayed collection of servicing revenue as a result of forbearance plans and moratoria on evictions and foreclosure proceedings;</w:t>
      </w:r>
    </w:p>
    <w:p>
      <w:pPr>
        <w:spacing w:after="0" w:line="1" w:lineRule="exact"/>
        <w:rPr>
          <w:rFonts w:ascii="Arial" w:cs="Arial" w:eastAsia="Arial" w:hAnsi="Arial"/>
          <w:sz w:val="17"/>
          <w:szCs w:val="17"/>
          <w:color w:val="auto"/>
        </w:rPr>
      </w:pPr>
    </w:p>
    <w:p>
      <w:pPr>
        <w:ind w:left="620" w:hanging="307"/>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improve our financial performance through cost re-engineering initiatives and other actions;</w:t>
      </w:r>
    </w:p>
    <w:p>
      <w:pPr>
        <w:spacing w:after="0" w:line="11" w:lineRule="exact"/>
        <w:rPr>
          <w:rFonts w:ascii="Arial" w:cs="Arial" w:eastAsia="Arial" w:hAnsi="Arial"/>
          <w:sz w:val="17"/>
          <w:szCs w:val="17"/>
          <w:color w:val="auto"/>
        </w:rPr>
      </w:pPr>
    </w:p>
    <w:p>
      <w:pPr>
        <w:ind w:left="620" w:hanging="307"/>
        <w:spacing w:after="0" w:line="206" w:lineRule="auto"/>
        <w:tabs>
          <w:tab w:leader="none" w:pos="620" w:val="left"/>
        </w:tabs>
        <w:numPr>
          <w:ilvl w:val="0"/>
          <w:numId w:val="3"/>
        </w:numPr>
        <w:rPr>
          <w:rFonts w:ascii="Arial" w:cs="Arial" w:eastAsia="Arial" w:hAnsi="Arial"/>
          <w:sz w:val="21"/>
          <w:szCs w:val="21"/>
          <w:color w:val="auto"/>
        </w:rPr>
      </w:pPr>
      <w:r>
        <w:rPr>
          <w:rFonts w:ascii="Arial" w:cs="Arial" w:eastAsia="Arial" w:hAnsi="Arial"/>
          <w:sz w:val="17"/>
          <w:szCs w:val="17"/>
          <w:color w:val="auto"/>
        </w:rPr>
        <w:t>our ability to maintain and increase market share in our target markets, including in forward and reverse servicing;</w:t>
      </w:r>
    </w:p>
    <w:p>
      <w:pPr>
        <w:ind w:left="620" w:hanging="307"/>
        <w:spacing w:after="0" w:line="222" w:lineRule="auto"/>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reduce expenses in our mortgage origination business in response to market adjustments;</w:t>
      </w:r>
    </w:p>
    <w:p>
      <w:pPr>
        <w:ind w:left="620" w:right="320" w:hanging="307"/>
        <w:spacing w:after="0" w:line="222" w:lineRule="auto"/>
        <w:tabs>
          <w:tab w:leader="none" w:pos="616" w:val="left"/>
        </w:tabs>
        <w:numPr>
          <w:ilvl w:val="0"/>
          <w:numId w:val="3"/>
        </w:numPr>
        <w:rPr>
          <w:rFonts w:ascii="Arial" w:cs="Arial" w:eastAsia="Arial" w:hAnsi="Arial"/>
          <w:sz w:val="17"/>
          <w:szCs w:val="17"/>
          <w:color w:val="auto"/>
        </w:rPr>
      </w:pPr>
      <w:r>
        <w:rPr>
          <w:rFonts w:ascii="Arial" w:cs="Arial" w:eastAsia="Arial" w:hAnsi="Arial"/>
          <w:sz w:val="17"/>
          <w:szCs w:val="17"/>
          <w:color w:val="auto"/>
        </w:rPr>
        <w:t>uncertainty related to our long-term relationship with Rithm Capital Corp. (formerly New Residential Investment Corp. and referenced throughout as NRZ), our largest servicing client;</w:t>
      </w:r>
    </w:p>
    <w:p>
      <w:pPr>
        <w:ind w:left="620" w:hanging="307"/>
        <w:spacing w:after="0" w:line="237" w:lineRule="auto"/>
        <w:tabs>
          <w:tab w:leader="none" w:pos="616" w:val="left"/>
        </w:tabs>
        <w:numPr>
          <w:ilvl w:val="0"/>
          <w:numId w:val="3"/>
        </w:numPr>
        <w:rPr>
          <w:rFonts w:ascii="Arial" w:cs="Arial" w:eastAsia="Arial" w:hAnsi="Arial"/>
          <w:sz w:val="17"/>
          <w:szCs w:val="17"/>
          <w:color w:val="auto"/>
        </w:rPr>
      </w:pPr>
      <w:r>
        <w:rPr>
          <w:rFonts w:ascii="Arial" w:cs="Arial" w:eastAsia="Arial" w:hAnsi="Arial"/>
          <w:sz w:val="17"/>
          <w:szCs w:val="17"/>
          <w:color w:val="auto"/>
        </w:rPr>
        <w:t>uncertainty related to past, present or future claims, litigation, cease and desist orders and investigations relating to our business practices, including those brought by private parties and state regulators, the Consumer Financial Protection</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961" w:right="359" w:bottom="1440" w:gutter="0" w:footer="0" w:header="0"/>
        </w:sectPr>
      </w:pPr>
    </w:p>
    <w:bookmarkStart w:id="3" w:name="page4"/>
    <w:bookmarkEnd w:id="3"/>
    <w:p>
      <w:pPr>
        <w:ind w:left="620" w:right="100"/>
        <w:spacing w:after="0" w:line="238" w:lineRule="auto"/>
        <w:rPr>
          <w:sz w:val="20"/>
          <w:szCs w:val="20"/>
          <w:color w:val="auto"/>
        </w:rPr>
      </w:pPr>
      <w:r>
        <w:rPr>
          <w:rFonts w:ascii="Arial" w:cs="Arial" w:eastAsia="Arial" w:hAnsi="Arial"/>
          <w:sz w:val="17"/>
          <w:szCs w:val="17"/>
          <w:color w:val="auto"/>
        </w:rPr>
        <w:t>Bureau (CFPB), State Attorneys General, the Securities and Exchange Commission (SEC), the Department of Justice or the Department of Housing and Urban Development (HUD);</w:t>
      </w:r>
    </w:p>
    <w:p>
      <w:pPr>
        <w:spacing w:after="0" w:line="1" w:lineRule="exact"/>
        <w:rPr>
          <w:sz w:val="20"/>
          <w:szCs w:val="20"/>
          <w:color w:val="auto"/>
        </w:rPr>
      </w:pPr>
    </w:p>
    <w:p>
      <w:pPr>
        <w:ind w:left="620" w:right="740" w:hanging="307"/>
        <w:spacing w:after="0" w:line="237" w:lineRule="auto"/>
        <w:tabs>
          <w:tab w:leader="none" w:pos="616" w:val="left"/>
        </w:tabs>
        <w:numPr>
          <w:ilvl w:val="0"/>
          <w:numId w:val="4"/>
        </w:numPr>
        <w:rPr>
          <w:rFonts w:ascii="Arial" w:cs="Arial" w:eastAsia="Arial" w:hAnsi="Arial"/>
          <w:sz w:val="17"/>
          <w:szCs w:val="17"/>
          <w:color w:val="auto"/>
        </w:rPr>
      </w:pPr>
      <w:r>
        <w:rPr>
          <w:rFonts w:ascii="Arial" w:cs="Arial" w:eastAsia="Arial" w:hAnsi="Arial"/>
          <w:sz w:val="17"/>
          <w:szCs w:val="17"/>
          <w:color w:val="auto"/>
        </w:rPr>
        <w:t>adverse effects on our business as a result of regulatory investigations, litigation, cease and desist orders or settlements and the reactions of key counterparties, including lenders, the GSEs and Ginnie Mae;</w:t>
      </w:r>
    </w:p>
    <w:p>
      <w:pPr>
        <w:spacing w:after="0" w:line="1" w:lineRule="exact"/>
        <w:rPr>
          <w:rFonts w:ascii="Arial" w:cs="Arial" w:eastAsia="Arial" w:hAnsi="Arial"/>
          <w:sz w:val="17"/>
          <w:szCs w:val="17"/>
          <w:color w:val="auto"/>
        </w:rPr>
      </w:pPr>
    </w:p>
    <w:p>
      <w:pPr>
        <w:ind w:left="620" w:hanging="307"/>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costs of complying with the terms of our settlements with regulatory agencies and disputes as to whether we have fully complied;</w:t>
      </w:r>
    </w:p>
    <w:p>
      <w:pPr>
        <w:spacing w:after="0" w:line="9" w:lineRule="exact"/>
        <w:rPr>
          <w:rFonts w:ascii="Arial" w:cs="Arial" w:eastAsia="Arial" w:hAnsi="Arial"/>
          <w:sz w:val="17"/>
          <w:szCs w:val="17"/>
          <w:color w:val="auto"/>
        </w:rPr>
      </w:pPr>
    </w:p>
    <w:p>
      <w:pPr>
        <w:ind w:left="620" w:hanging="307"/>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any adverse developments in existing legal proceedings or the initiation of new legal proceedings;</w:t>
      </w:r>
    </w:p>
    <w:p>
      <w:pPr>
        <w:spacing w:after="0" w:line="11" w:lineRule="exact"/>
        <w:rPr>
          <w:rFonts w:ascii="Arial" w:cs="Arial" w:eastAsia="Arial" w:hAnsi="Arial"/>
          <w:sz w:val="17"/>
          <w:szCs w:val="17"/>
          <w:color w:val="auto"/>
        </w:rPr>
      </w:pPr>
    </w:p>
    <w:p>
      <w:pPr>
        <w:ind w:left="620" w:hanging="307"/>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efficiently manage our regulatory and contractual compliance obligations and fully comply with all applicable requirements;</w:t>
      </w:r>
    </w:p>
    <w:p>
      <w:pPr>
        <w:spacing w:after="0" w:line="11" w:lineRule="exact"/>
        <w:rPr>
          <w:rFonts w:ascii="Arial" w:cs="Arial" w:eastAsia="Arial" w:hAnsi="Arial"/>
          <w:sz w:val="17"/>
          <w:szCs w:val="17"/>
          <w:color w:val="auto"/>
        </w:rPr>
      </w:pPr>
    </w:p>
    <w:p>
      <w:pPr>
        <w:ind w:left="620" w:right="20" w:hanging="307"/>
        <w:spacing w:after="0" w:line="238" w:lineRule="auto"/>
        <w:tabs>
          <w:tab w:leader="none" w:pos="616" w:val="left"/>
        </w:tabs>
        <w:numPr>
          <w:ilvl w:val="0"/>
          <w:numId w:val="4"/>
        </w:numPr>
        <w:rPr>
          <w:rFonts w:ascii="Arial" w:cs="Arial" w:eastAsia="Arial" w:hAnsi="Arial"/>
          <w:sz w:val="17"/>
          <w:szCs w:val="17"/>
          <w:color w:val="auto"/>
        </w:rPr>
      </w:pPr>
      <w:r>
        <w:rPr>
          <w:rFonts w:ascii="Arial" w:cs="Arial" w:eastAsia="Arial" w:hAnsi="Arial"/>
          <w:sz w:val="17"/>
          <w:szCs w:val="17"/>
          <w:color w:val="auto"/>
        </w:rPr>
        <w:t>uncertainty related to changes in legislation, regulations, government programs and policies, industry initiatives, best servicing and lending practices, and media scrutiny of our business and industry;</w:t>
      </w:r>
    </w:p>
    <w:p>
      <w:pPr>
        <w:spacing w:after="0" w:line="1" w:lineRule="exact"/>
        <w:rPr>
          <w:rFonts w:ascii="Arial" w:cs="Arial" w:eastAsia="Arial" w:hAnsi="Arial"/>
          <w:sz w:val="17"/>
          <w:szCs w:val="17"/>
          <w:color w:val="auto"/>
        </w:rPr>
      </w:pPr>
    </w:p>
    <w:p>
      <w:pPr>
        <w:ind w:left="620" w:right="260" w:hanging="307"/>
        <w:spacing w:after="0" w:line="237" w:lineRule="auto"/>
        <w:tabs>
          <w:tab w:leader="none" w:pos="616"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extent to which changes in the law as well as changes in the interpretation of law may require us to modify our business practices and expose us to increased expense and litigation risk;</w:t>
      </w:r>
    </w:p>
    <w:p>
      <w:pPr>
        <w:spacing w:after="0" w:line="1" w:lineRule="exact"/>
        <w:rPr>
          <w:rFonts w:ascii="Arial" w:cs="Arial" w:eastAsia="Arial" w:hAnsi="Arial"/>
          <w:sz w:val="17"/>
          <w:szCs w:val="17"/>
          <w:color w:val="auto"/>
        </w:rPr>
      </w:pPr>
    </w:p>
    <w:p>
      <w:pPr>
        <w:ind w:left="620" w:right="80" w:hanging="307"/>
        <w:spacing w:after="0" w:line="253" w:lineRule="auto"/>
        <w:tabs>
          <w:tab w:leader="none" w:pos="616"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interpret correctly and comply with current or future liquidity, net worth and other financial and other requirements of regulators, the GSEs and Ginnie Mae, as well as those set forth in our debt and other agreements;</w:t>
      </w:r>
    </w:p>
    <w:p>
      <w:pPr>
        <w:ind w:left="620" w:right="220" w:hanging="307"/>
        <w:spacing w:after="0" w:line="253" w:lineRule="auto"/>
        <w:tabs>
          <w:tab w:leader="none" w:pos="616"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comply with our servicing agreements, including our ability to comply with our agreements with the GSEs and Ginnie Mae and maintain our seller/servicer and other statuses with them;</w:t>
      </w:r>
    </w:p>
    <w:p>
      <w:pPr>
        <w:spacing w:after="0" w:line="1" w:lineRule="exact"/>
        <w:rPr>
          <w:rFonts w:ascii="Arial" w:cs="Arial" w:eastAsia="Arial" w:hAnsi="Arial"/>
          <w:sz w:val="17"/>
          <w:szCs w:val="17"/>
          <w:color w:val="auto"/>
        </w:rPr>
      </w:pPr>
    </w:p>
    <w:p>
      <w:pPr>
        <w:ind w:left="620" w:right="260" w:hanging="307"/>
        <w:spacing w:after="0" w:line="253" w:lineRule="auto"/>
        <w:tabs>
          <w:tab w:leader="none" w:pos="616"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servicer and credit ratings as well as other actions from various rating agencies, including the impact of prior or future downgrades of our servicer and credit ratings;</w:t>
      </w:r>
    </w:p>
    <w:p>
      <w:pPr>
        <w:spacing w:after="0" w:line="1" w:lineRule="exact"/>
        <w:rPr>
          <w:rFonts w:ascii="Arial" w:cs="Arial" w:eastAsia="Arial" w:hAnsi="Arial"/>
          <w:sz w:val="17"/>
          <w:szCs w:val="17"/>
          <w:color w:val="auto"/>
        </w:rPr>
      </w:pPr>
    </w:p>
    <w:p>
      <w:pPr>
        <w:ind w:left="620" w:right="360" w:hanging="307"/>
        <w:spacing w:after="0" w:line="253" w:lineRule="auto"/>
        <w:tabs>
          <w:tab w:leader="none" w:pos="616" w:val="left"/>
        </w:tabs>
        <w:numPr>
          <w:ilvl w:val="0"/>
          <w:numId w:val="4"/>
        </w:numPr>
        <w:rPr>
          <w:rFonts w:ascii="Arial" w:cs="Arial" w:eastAsia="Arial" w:hAnsi="Arial"/>
          <w:sz w:val="17"/>
          <w:szCs w:val="17"/>
          <w:color w:val="auto"/>
        </w:rPr>
      </w:pPr>
      <w:r>
        <w:rPr>
          <w:rFonts w:ascii="Arial" w:cs="Arial" w:eastAsia="Arial" w:hAnsi="Arial"/>
          <w:sz w:val="17"/>
          <w:szCs w:val="17"/>
          <w:color w:val="auto"/>
        </w:rPr>
        <w:t>failure of our, or our vendors’, information technology or other security systems or breach of our, or our vendors’, privacy protections, including any failure to protect customers’ data;</w:t>
      </w:r>
    </w:p>
    <w:p>
      <w:pPr>
        <w:spacing w:after="0" w:line="1" w:lineRule="exact"/>
        <w:rPr>
          <w:rFonts w:ascii="Arial" w:cs="Arial" w:eastAsia="Arial" w:hAnsi="Arial"/>
          <w:sz w:val="17"/>
          <w:szCs w:val="17"/>
          <w:color w:val="auto"/>
        </w:rPr>
      </w:pPr>
    </w:p>
    <w:p>
      <w:pPr>
        <w:jc w:val="both"/>
        <w:ind w:left="620" w:right="120" w:hanging="307"/>
        <w:spacing w:after="0" w:line="249" w:lineRule="auto"/>
        <w:tabs>
          <w:tab w:leader="none" w:pos="616"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reliance on our technology vendors to adequately maintain and support our systems, including our servicing systems, loan originations and financial reporting systems, and uncertainty relating to our ability to transition to alternative vendors, if necessary, without incurring significant cost or disruption to our operations;</w:t>
      </w:r>
    </w:p>
    <w:p>
      <w:pPr>
        <w:ind w:left="620" w:hanging="307"/>
        <w:spacing w:after="0" w:line="222" w:lineRule="auto"/>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increased difficulty recruiting and retaining existing or new senior managers and key employees;</w:t>
      </w:r>
    </w:p>
    <w:p>
      <w:pPr>
        <w:ind w:left="620" w:hanging="307"/>
        <w:spacing w:after="0" w:line="237" w:lineRule="auto"/>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increased compensation and benefits expense as a result of rising inflation and labor market trends;</w:t>
      </w:r>
    </w:p>
    <w:p>
      <w:pPr>
        <w:ind w:left="620" w:right="400" w:hanging="307"/>
        <w:spacing w:after="0" w:line="253" w:lineRule="auto"/>
        <w:tabs>
          <w:tab w:leader="none" w:pos="616" w:val="left"/>
        </w:tabs>
        <w:numPr>
          <w:ilvl w:val="0"/>
          <w:numId w:val="4"/>
        </w:numPr>
        <w:rPr>
          <w:rFonts w:ascii="Arial" w:cs="Arial" w:eastAsia="Arial" w:hAnsi="Arial"/>
          <w:sz w:val="17"/>
          <w:szCs w:val="17"/>
          <w:color w:val="auto"/>
        </w:rPr>
      </w:pPr>
      <w:r>
        <w:rPr>
          <w:rFonts w:ascii="Arial" w:cs="Arial" w:eastAsia="Arial" w:hAnsi="Arial"/>
          <w:sz w:val="17"/>
          <w:szCs w:val="17"/>
          <w:color w:val="auto"/>
        </w:rPr>
        <w:t>uncertainty related to the actions of loan owners and guarantors, including mortgage-backed securities investors, the GSEs, Ginnie Mae and trustees regarding loan put-backs, penalties and legal actions;</w:t>
      </w:r>
    </w:p>
    <w:p>
      <w:pPr>
        <w:ind w:left="620" w:right="220" w:hanging="307"/>
        <w:spacing w:after="0" w:line="287" w:lineRule="auto"/>
        <w:tabs>
          <w:tab w:leader="none" w:pos="616" w:val="left"/>
        </w:tabs>
        <w:numPr>
          <w:ilvl w:val="0"/>
          <w:numId w:val="4"/>
        </w:numPr>
        <w:rPr>
          <w:rFonts w:ascii="Arial" w:cs="Arial" w:eastAsia="Arial" w:hAnsi="Arial"/>
          <w:sz w:val="15"/>
          <w:szCs w:val="15"/>
          <w:color w:val="auto"/>
        </w:rPr>
      </w:pPr>
      <w:r>
        <w:rPr>
          <w:rFonts w:ascii="Arial" w:cs="Arial" w:eastAsia="Arial" w:hAnsi="Arial"/>
          <w:sz w:val="15"/>
          <w:szCs w:val="15"/>
          <w:color w:val="auto"/>
        </w:rPr>
        <w:t>uncertainty related to the GSEs substantially curtailing or ceasing to purchase our conforming loan originations or the Federal Housing Administration (FHA) of the HUD, Department of Veterans Affairs (VA) or United States Department of Agriculture (USDA) ceasing to provide insurance;</w:t>
      </w:r>
    </w:p>
    <w:p>
      <w:pPr>
        <w:ind w:left="620" w:hanging="307"/>
        <w:spacing w:after="0"/>
        <w:tabs>
          <w:tab w:leader="none" w:pos="620" w:val="left"/>
        </w:tabs>
        <w:numPr>
          <w:ilvl w:val="0"/>
          <w:numId w:val="4"/>
        </w:numPr>
        <w:rPr>
          <w:rFonts w:ascii="Arial" w:cs="Arial" w:eastAsia="Arial" w:hAnsi="Arial"/>
          <w:sz w:val="16"/>
          <w:szCs w:val="16"/>
          <w:color w:val="auto"/>
        </w:rPr>
      </w:pPr>
      <w:r>
        <w:rPr>
          <w:rFonts w:ascii="Arial" w:cs="Arial" w:eastAsia="Arial" w:hAnsi="Arial"/>
          <w:sz w:val="16"/>
          <w:szCs w:val="16"/>
          <w:color w:val="auto"/>
        </w:rPr>
        <w:t>uncertainty related to our ability to continue to collect certain expedited payment or convenience fees and potential liability for charging such fees;</w:t>
      </w:r>
    </w:p>
    <w:p>
      <w:pPr>
        <w:spacing w:after="0" w:line="22" w:lineRule="exact"/>
        <w:rPr>
          <w:rFonts w:ascii="Arial" w:cs="Arial" w:eastAsia="Arial" w:hAnsi="Arial"/>
          <w:sz w:val="16"/>
          <w:szCs w:val="16"/>
          <w:color w:val="auto"/>
        </w:rPr>
      </w:pPr>
    </w:p>
    <w:p>
      <w:pPr>
        <w:ind w:left="620" w:hanging="307"/>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uncertainty related to our reserves, valuations, provisions and anticipated realization of assets;</w:t>
      </w:r>
    </w:p>
    <w:p>
      <w:pPr>
        <w:spacing w:after="0" w:line="11" w:lineRule="exact"/>
        <w:rPr>
          <w:rFonts w:ascii="Arial" w:cs="Arial" w:eastAsia="Arial" w:hAnsi="Arial"/>
          <w:sz w:val="17"/>
          <w:szCs w:val="17"/>
          <w:color w:val="auto"/>
        </w:rPr>
      </w:pPr>
    </w:p>
    <w:p>
      <w:pPr>
        <w:ind w:left="620" w:hanging="307"/>
        <w:spacing w:after="0"/>
        <w:tabs>
          <w:tab w:leader="none" w:pos="620" w:val="left"/>
        </w:tabs>
        <w:numPr>
          <w:ilvl w:val="0"/>
          <w:numId w:val="4"/>
        </w:numPr>
        <w:rPr>
          <w:rFonts w:ascii="Arial" w:cs="Arial" w:eastAsia="Arial" w:hAnsi="Arial"/>
          <w:sz w:val="16"/>
          <w:szCs w:val="16"/>
          <w:color w:val="auto"/>
        </w:rPr>
      </w:pPr>
      <w:r>
        <w:rPr>
          <w:rFonts w:ascii="Arial" w:cs="Arial" w:eastAsia="Arial" w:hAnsi="Arial"/>
          <w:sz w:val="16"/>
          <w:szCs w:val="16"/>
          <w:color w:val="auto"/>
        </w:rPr>
        <w:t>uncertainty related to the ability of third-party obligors and financing sources to fund servicing advances on a timely basis on loans serviced by us;</w:t>
      </w:r>
    </w:p>
    <w:p>
      <w:pPr>
        <w:spacing w:after="0" w:line="22" w:lineRule="exact"/>
        <w:rPr>
          <w:rFonts w:ascii="Arial" w:cs="Arial" w:eastAsia="Arial" w:hAnsi="Arial"/>
          <w:sz w:val="16"/>
          <w:szCs w:val="16"/>
          <w:color w:val="auto"/>
        </w:rPr>
      </w:pPr>
    </w:p>
    <w:p>
      <w:pPr>
        <w:ind w:left="620" w:hanging="307"/>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characteristics of our servicing portfolio, including prepayment speeds along with delinquency and advance rates;</w:t>
      </w:r>
    </w:p>
    <w:p>
      <w:pPr>
        <w:spacing w:after="0" w:line="11" w:lineRule="exact"/>
        <w:rPr>
          <w:rFonts w:ascii="Arial" w:cs="Arial" w:eastAsia="Arial" w:hAnsi="Arial"/>
          <w:sz w:val="17"/>
          <w:szCs w:val="17"/>
          <w:color w:val="auto"/>
        </w:rPr>
      </w:pPr>
    </w:p>
    <w:p>
      <w:pPr>
        <w:ind w:left="620" w:hanging="307"/>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successfully modify delinquent loans, manage foreclosures and sell foreclosed properties;</w:t>
      </w:r>
    </w:p>
    <w:p>
      <w:pPr>
        <w:spacing w:after="0" w:line="11" w:lineRule="exact"/>
        <w:rPr>
          <w:rFonts w:ascii="Arial" w:cs="Arial" w:eastAsia="Arial" w:hAnsi="Arial"/>
          <w:sz w:val="17"/>
          <w:szCs w:val="17"/>
          <w:color w:val="auto"/>
        </w:rPr>
      </w:pPr>
    </w:p>
    <w:p>
      <w:pPr>
        <w:ind w:left="620" w:right="20" w:hanging="307"/>
        <w:spacing w:after="0" w:line="253" w:lineRule="auto"/>
        <w:tabs>
          <w:tab w:leader="none" w:pos="616" w:val="left"/>
        </w:tabs>
        <w:numPr>
          <w:ilvl w:val="0"/>
          <w:numId w:val="4"/>
        </w:numPr>
        <w:rPr>
          <w:rFonts w:ascii="Arial" w:cs="Arial" w:eastAsia="Arial" w:hAnsi="Arial"/>
          <w:sz w:val="17"/>
          <w:szCs w:val="17"/>
          <w:color w:val="auto"/>
        </w:rPr>
      </w:pPr>
      <w:r>
        <w:rPr>
          <w:rFonts w:ascii="Arial" w:cs="Arial" w:eastAsia="Arial" w:hAnsi="Arial"/>
          <w:sz w:val="17"/>
          <w:szCs w:val="17"/>
          <w:color w:val="auto"/>
        </w:rPr>
        <w:t>uncertainty related to the processes for judicial and non-judicial foreclosure proceedings, including potential additional costs or delays or moratoria in the future or claims pertaining to past practices;</w:t>
      </w:r>
    </w:p>
    <w:p>
      <w:pPr>
        <w:spacing w:after="0" w:line="1" w:lineRule="exact"/>
        <w:rPr>
          <w:rFonts w:ascii="Arial" w:cs="Arial" w:eastAsia="Arial" w:hAnsi="Arial"/>
          <w:sz w:val="17"/>
          <w:szCs w:val="17"/>
          <w:color w:val="auto"/>
        </w:rPr>
      </w:pPr>
    </w:p>
    <w:p>
      <w:pPr>
        <w:ind w:left="620" w:hanging="307"/>
        <w:spacing w:after="0"/>
        <w:tabs>
          <w:tab w:leader="none" w:pos="62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ability to adequately manage and maintain real estate owned (REO) properties and vacant properties collateralizing loans that we service;</w:t>
      </w:r>
    </w:p>
    <w:p>
      <w:pPr>
        <w:spacing w:after="0" w:line="22" w:lineRule="exact"/>
        <w:rPr>
          <w:rFonts w:ascii="Arial" w:cs="Arial" w:eastAsia="Arial" w:hAnsi="Arial"/>
          <w:sz w:val="16"/>
          <w:szCs w:val="16"/>
          <w:color w:val="auto"/>
        </w:rPr>
      </w:pPr>
    </w:p>
    <w:p>
      <w:pPr>
        <w:ind w:left="620" w:hanging="307"/>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realize anticipated future gains from future draws on existing loans in our reverse mortgage portfolio;</w:t>
      </w:r>
    </w:p>
    <w:p>
      <w:pPr>
        <w:spacing w:after="0" w:line="11" w:lineRule="exact"/>
        <w:rPr>
          <w:rFonts w:ascii="Arial" w:cs="Arial" w:eastAsia="Arial" w:hAnsi="Arial"/>
          <w:sz w:val="17"/>
          <w:szCs w:val="17"/>
          <w:color w:val="auto"/>
        </w:rPr>
      </w:pPr>
    </w:p>
    <w:p>
      <w:pPr>
        <w:ind w:left="620" w:hanging="307"/>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effectively manage our exposure to interest rate changes and foreign exchange fluctuations;</w:t>
      </w:r>
    </w:p>
    <w:p>
      <w:pPr>
        <w:spacing w:after="0" w:line="11" w:lineRule="exact"/>
        <w:rPr>
          <w:rFonts w:ascii="Arial" w:cs="Arial" w:eastAsia="Arial" w:hAnsi="Arial"/>
          <w:sz w:val="17"/>
          <w:szCs w:val="17"/>
          <w:color w:val="auto"/>
        </w:rPr>
      </w:pPr>
    </w:p>
    <w:p>
      <w:pPr>
        <w:ind w:left="620" w:right="20" w:hanging="307"/>
        <w:spacing w:after="0" w:line="253" w:lineRule="auto"/>
        <w:tabs>
          <w:tab w:leader="none" w:pos="616"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effectively transform our operations in response to changing business needs, including our ability to do so without unanticipated adverse tax consequences;</w:t>
      </w:r>
    </w:p>
    <w:p>
      <w:pPr>
        <w:spacing w:after="0" w:line="1" w:lineRule="exact"/>
        <w:rPr>
          <w:rFonts w:ascii="Arial" w:cs="Arial" w:eastAsia="Arial" w:hAnsi="Arial"/>
          <w:sz w:val="17"/>
          <w:szCs w:val="17"/>
          <w:color w:val="auto"/>
        </w:rPr>
      </w:pPr>
    </w:p>
    <w:p>
      <w:pPr>
        <w:ind w:left="620" w:hanging="307"/>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increasingly frequent and costly disruptions to our operations as a result of severe weather events;</w:t>
      </w:r>
    </w:p>
    <w:p>
      <w:pPr>
        <w:spacing w:after="0" w:line="11" w:lineRule="exact"/>
        <w:rPr>
          <w:rFonts w:ascii="Arial" w:cs="Arial" w:eastAsia="Arial" w:hAnsi="Arial"/>
          <w:sz w:val="17"/>
          <w:szCs w:val="17"/>
          <w:color w:val="auto"/>
        </w:rPr>
      </w:pPr>
    </w:p>
    <w:p>
      <w:pPr>
        <w:ind w:left="620" w:hanging="307"/>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uncertainty related to the political or economic stability of the United States and of the foreign countries in which we have operations; and</w:t>
      </w:r>
    </w:p>
    <w:p>
      <w:pPr>
        <w:spacing w:after="0" w:line="11" w:lineRule="exact"/>
        <w:rPr>
          <w:rFonts w:ascii="Arial" w:cs="Arial" w:eastAsia="Arial" w:hAnsi="Arial"/>
          <w:sz w:val="17"/>
          <w:szCs w:val="17"/>
          <w:color w:val="auto"/>
        </w:rPr>
      </w:pPr>
    </w:p>
    <w:p>
      <w:pPr>
        <w:ind w:left="620" w:right="560" w:hanging="307"/>
        <w:spacing w:after="0" w:line="267" w:lineRule="auto"/>
        <w:tabs>
          <w:tab w:leader="none" w:pos="616"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maintain positive relationships with our large shareholders and obtain their support for management proposals requiring shareholder approval.</w:t>
      </w:r>
    </w:p>
    <w:p>
      <w:pPr>
        <w:spacing w:after="0" w:line="69"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Further information on the risks specific to our business is detailed within this report and our other reports and filings with the SEC including our Annual Report on Form 10-K for the year ended December 31, 2021, our Quarterly Report on Form 10-Q and our Current Reports on Form 8-K since such date. Forward-looking statements speak only as of the date they were made and we disclaim any obligation to update or revise forward-looking statements whether because of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851" w:right="35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7"/>
          <w:szCs w:val="17"/>
          <w:b w:val="1"/>
          <w:bCs w:val="1"/>
          <w:color w:val="auto"/>
        </w:rPr>
        <w:t>PART I – FINANCIAL INFORMATION</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ITEM 1. UNAUDITED CONSOLIDATED FINANCIAL STATEMENTS</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OCWEN FINANCIAL CORPORATION AND SUBSIDIARIES</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UNAUDITED CONSOLIDATED BALANCE SHEETS</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(Dollars in thousands, except per share data)</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gridSpan w:val="2"/>
          </w:tcPr>
          <w:p>
            <w:pPr>
              <w:ind w:left="80"/>
              <w:spacing w:after="0"/>
              <w:rPr>
                <w:sz w:val="20"/>
                <w:szCs w:val="20"/>
                <w:color w:val="auto"/>
              </w:rPr>
            </w:pPr>
            <w:r>
              <w:rPr>
                <w:rFonts w:ascii="Arial" w:cs="Arial" w:eastAsia="Arial" w:hAnsi="Arial"/>
                <w:sz w:val="17"/>
                <w:szCs w:val="17"/>
                <w:b w:val="1"/>
                <w:bCs w:val="1"/>
                <w:color w:val="auto"/>
              </w:rPr>
              <w:t>June 30, 2022</w:t>
            </w:r>
          </w:p>
        </w:tc>
        <w:tc>
          <w:tcPr>
            <w:tcW w:w="1520" w:type="dxa"/>
            <w:vAlign w:val="bottom"/>
            <w:gridSpan w:val="2"/>
          </w:tcPr>
          <w:p>
            <w:pPr>
              <w:jc w:val="right"/>
              <w:spacing w:after="0"/>
              <w:rPr>
                <w:sz w:val="20"/>
                <w:szCs w:val="20"/>
                <w:color w:val="auto"/>
              </w:rPr>
            </w:pPr>
            <w:r>
              <w:rPr>
                <w:rFonts w:ascii="Arial" w:cs="Arial" w:eastAsia="Arial" w:hAnsi="Arial"/>
                <w:sz w:val="17"/>
                <w:szCs w:val="17"/>
                <w:b w:val="1"/>
                <w:bCs w:val="1"/>
                <w:color w:val="auto"/>
                <w:w w:val="94"/>
              </w:rPr>
              <w:t>December 31, 2021</w:t>
            </w:r>
          </w:p>
        </w:tc>
        <w:tc>
          <w:tcPr>
            <w:tcW w:w="0" w:type="dxa"/>
            <w:vAlign w:val="bottom"/>
          </w:tcPr>
          <w:p>
            <w:pPr>
              <w:spacing w:after="0"/>
              <w:rPr>
                <w:sz w:val="1"/>
                <w:szCs w:val="1"/>
                <w:color w:val="auto"/>
              </w:rPr>
            </w:pPr>
          </w:p>
        </w:tc>
      </w:tr>
      <w:tr>
        <w:trPr>
          <w:trHeight w:val="213"/>
        </w:trPr>
        <w:tc>
          <w:tcPr>
            <w:tcW w:w="8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18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8060" w:type="dxa"/>
            <w:vAlign w:val="bottom"/>
          </w:tcPr>
          <w:p>
            <w:pPr>
              <w:ind w:left="120"/>
              <w:spacing w:after="0"/>
              <w:rPr>
                <w:sz w:val="20"/>
                <w:szCs w:val="20"/>
                <w:color w:val="auto"/>
              </w:rPr>
            </w:pPr>
            <w:r>
              <w:rPr>
                <w:rFonts w:ascii="Arial" w:cs="Arial" w:eastAsia="Arial" w:hAnsi="Arial"/>
                <w:sz w:val="17"/>
                <w:szCs w:val="17"/>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255,885</w:t>
            </w:r>
          </w:p>
        </w:tc>
        <w:tc>
          <w:tcPr>
            <w:tcW w:w="100" w:type="dxa"/>
            <w:vAlign w:val="bottom"/>
          </w:tcPr>
          <w:p>
            <w:pPr>
              <w:spacing w:after="0"/>
              <w:rPr>
                <w:sz w:val="19"/>
                <w:szCs w:val="19"/>
                <w:color w:val="auto"/>
              </w:rPr>
            </w:pPr>
          </w:p>
        </w:tc>
        <w:tc>
          <w:tcPr>
            <w:tcW w:w="380" w:type="dxa"/>
            <w:vAlign w:val="bottom"/>
          </w:tcPr>
          <w:p>
            <w:pPr>
              <w:jc w:val="right"/>
              <w:ind w:right="194"/>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192,792</w:t>
            </w:r>
          </w:p>
        </w:tc>
        <w:tc>
          <w:tcPr>
            <w:tcW w:w="0" w:type="dxa"/>
            <w:vAlign w:val="bottom"/>
          </w:tcPr>
          <w:p>
            <w:pPr>
              <w:spacing w:after="0"/>
              <w:rPr>
                <w:sz w:val="1"/>
                <w:szCs w:val="1"/>
                <w:color w:val="auto"/>
              </w:rPr>
            </w:pPr>
          </w:p>
        </w:tc>
      </w:tr>
      <w:tr>
        <w:trPr>
          <w:trHeight w:val="220"/>
        </w:trPr>
        <w:tc>
          <w:tcPr>
            <w:tcW w:w="80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Restricted cash ($9,032 and $9,759 related to variable interest entities (VIEs))</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66,690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70,654</w:t>
            </w:r>
          </w:p>
        </w:tc>
        <w:tc>
          <w:tcPr>
            <w:tcW w:w="0" w:type="dxa"/>
            <w:vAlign w:val="bottom"/>
          </w:tcPr>
          <w:p>
            <w:pPr>
              <w:spacing w:after="0"/>
              <w:rPr>
                <w:sz w:val="1"/>
                <w:szCs w:val="1"/>
                <w:color w:val="auto"/>
              </w:rPr>
            </w:pPr>
          </w:p>
        </w:tc>
      </w:tr>
      <w:tr>
        <w:trPr>
          <w:trHeight w:val="220"/>
        </w:trPr>
        <w:tc>
          <w:tcPr>
            <w:tcW w:w="8060" w:type="dxa"/>
            <w:vAlign w:val="bottom"/>
          </w:tcPr>
          <w:p>
            <w:pPr>
              <w:ind w:left="120"/>
              <w:spacing w:after="0"/>
              <w:rPr>
                <w:sz w:val="20"/>
                <w:szCs w:val="20"/>
                <w:color w:val="auto"/>
              </w:rPr>
            </w:pPr>
            <w:r>
              <w:rPr>
                <w:rFonts w:ascii="Arial" w:cs="Arial" w:eastAsia="Arial" w:hAnsi="Arial"/>
                <w:sz w:val="17"/>
                <w:szCs w:val="17"/>
                <w:color w:val="auto"/>
              </w:rPr>
              <w:t>Mortgage servicing rights (MSRs), at fair value</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2,485,679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2,250,147</w:t>
            </w:r>
          </w:p>
        </w:tc>
        <w:tc>
          <w:tcPr>
            <w:tcW w:w="0" w:type="dxa"/>
            <w:vAlign w:val="bottom"/>
          </w:tcPr>
          <w:p>
            <w:pPr>
              <w:spacing w:after="0"/>
              <w:rPr>
                <w:sz w:val="1"/>
                <w:szCs w:val="1"/>
                <w:color w:val="auto"/>
              </w:rPr>
            </w:pPr>
          </w:p>
        </w:tc>
      </w:tr>
      <w:tr>
        <w:trPr>
          <w:trHeight w:val="220"/>
        </w:trPr>
        <w:tc>
          <w:tcPr>
            <w:tcW w:w="80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Advances, net ($550,978 and $587,059 related to VIEs)</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647,167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772,433</w:t>
            </w:r>
          </w:p>
        </w:tc>
        <w:tc>
          <w:tcPr>
            <w:tcW w:w="0" w:type="dxa"/>
            <w:vAlign w:val="bottom"/>
          </w:tcPr>
          <w:p>
            <w:pPr>
              <w:spacing w:after="0"/>
              <w:rPr>
                <w:sz w:val="1"/>
                <w:szCs w:val="1"/>
                <w:color w:val="auto"/>
              </w:rPr>
            </w:pPr>
          </w:p>
        </w:tc>
      </w:tr>
      <w:tr>
        <w:trPr>
          <w:trHeight w:val="220"/>
        </w:trPr>
        <w:tc>
          <w:tcPr>
            <w:tcW w:w="8060" w:type="dxa"/>
            <w:vAlign w:val="bottom"/>
          </w:tcPr>
          <w:p>
            <w:pPr>
              <w:ind w:left="120"/>
              <w:spacing w:after="0"/>
              <w:rPr>
                <w:sz w:val="20"/>
                <w:szCs w:val="20"/>
                <w:color w:val="auto"/>
              </w:rPr>
            </w:pPr>
            <w:r>
              <w:rPr>
                <w:rFonts w:ascii="Arial" w:cs="Arial" w:eastAsia="Arial" w:hAnsi="Arial"/>
                <w:sz w:val="17"/>
                <w:szCs w:val="17"/>
                <w:color w:val="auto"/>
                <w:w w:val="98"/>
              </w:rPr>
              <w:t>Loans held for sale ($683,140 and $917,534 carried at fair value) ($127,138 and $462,144 related to VIEs)</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687,465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928,527</w:t>
            </w:r>
          </w:p>
        </w:tc>
        <w:tc>
          <w:tcPr>
            <w:tcW w:w="0" w:type="dxa"/>
            <w:vAlign w:val="bottom"/>
          </w:tcPr>
          <w:p>
            <w:pPr>
              <w:spacing w:after="0"/>
              <w:rPr>
                <w:sz w:val="1"/>
                <w:szCs w:val="1"/>
                <w:color w:val="auto"/>
              </w:rPr>
            </w:pPr>
          </w:p>
        </w:tc>
      </w:tr>
      <w:tr>
        <w:trPr>
          <w:trHeight w:val="220"/>
        </w:trPr>
        <w:tc>
          <w:tcPr>
            <w:tcW w:w="80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Loans held for investment, at fair value ($7,289 and $7,879 related to VIEs)</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7,383,817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7,207,641</w:t>
            </w:r>
          </w:p>
        </w:tc>
        <w:tc>
          <w:tcPr>
            <w:tcW w:w="0" w:type="dxa"/>
            <w:vAlign w:val="bottom"/>
          </w:tcPr>
          <w:p>
            <w:pPr>
              <w:spacing w:after="0"/>
              <w:rPr>
                <w:sz w:val="1"/>
                <w:szCs w:val="1"/>
                <w:color w:val="auto"/>
              </w:rPr>
            </w:pPr>
          </w:p>
        </w:tc>
      </w:tr>
      <w:tr>
        <w:trPr>
          <w:trHeight w:val="220"/>
        </w:trPr>
        <w:tc>
          <w:tcPr>
            <w:tcW w:w="8060" w:type="dxa"/>
            <w:vAlign w:val="bottom"/>
          </w:tcPr>
          <w:p>
            <w:pPr>
              <w:ind w:left="120"/>
              <w:spacing w:after="0"/>
              <w:rPr>
                <w:sz w:val="20"/>
                <w:szCs w:val="20"/>
                <w:color w:val="auto"/>
              </w:rPr>
            </w:pPr>
            <w:r>
              <w:rPr>
                <w:rFonts w:ascii="Arial" w:cs="Arial" w:eastAsia="Arial" w:hAnsi="Arial"/>
                <w:sz w:val="17"/>
                <w:szCs w:val="17"/>
                <w:color w:val="auto"/>
              </w:rPr>
              <w:t>Receivables, net</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178,480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180,707</w:t>
            </w:r>
          </w:p>
        </w:tc>
        <w:tc>
          <w:tcPr>
            <w:tcW w:w="0" w:type="dxa"/>
            <w:vAlign w:val="bottom"/>
          </w:tcPr>
          <w:p>
            <w:pPr>
              <w:spacing w:after="0"/>
              <w:rPr>
                <w:sz w:val="1"/>
                <w:szCs w:val="1"/>
                <w:color w:val="auto"/>
              </w:rPr>
            </w:pPr>
          </w:p>
        </w:tc>
      </w:tr>
      <w:tr>
        <w:trPr>
          <w:trHeight w:val="220"/>
        </w:trPr>
        <w:tc>
          <w:tcPr>
            <w:tcW w:w="80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Investment in equity method investee</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38,821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23,297</w:t>
            </w:r>
          </w:p>
        </w:tc>
        <w:tc>
          <w:tcPr>
            <w:tcW w:w="0" w:type="dxa"/>
            <w:vAlign w:val="bottom"/>
          </w:tcPr>
          <w:p>
            <w:pPr>
              <w:spacing w:after="0"/>
              <w:rPr>
                <w:sz w:val="1"/>
                <w:szCs w:val="1"/>
                <w:color w:val="auto"/>
              </w:rPr>
            </w:pPr>
          </w:p>
        </w:tc>
      </w:tr>
      <w:tr>
        <w:trPr>
          <w:trHeight w:val="220"/>
        </w:trPr>
        <w:tc>
          <w:tcPr>
            <w:tcW w:w="8060" w:type="dxa"/>
            <w:vAlign w:val="bottom"/>
          </w:tcPr>
          <w:p>
            <w:pPr>
              <w:ind w:left="120"/>
              <w:spacing w:after="0"/>
              <w:rPr>
                <w:sz w:val="20"/>
                <w:szCs w:val="20"/>
                <w:color w:val="auto"/>
              </w:rPr>
            </w:pPr>
            <w:r>
              <w:rPr>
                <w:rFonts w:ascii="Arial" w:cs="Arial" w:eastAsia="Arial" w:hAnsi="Arial"/>
                <w:sz w:val="17"/>
                <w:szCs w:val="17"/>
                <w:color w:val="auto"/>
              </w:rPr>
              <w:t>Premises and equipment, net</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19,200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13,674</w:t>
            </w:r>
          </w:p>
        </w:tc>
        <w:tc>
          <w:tcPr>
            <w:tcW w:w="0" w:type="dxa"/>
            <w:vAlign w:val="bottom"/>
          </w:tcPr>
          <w:p>
            <w:pPr>
              <w:spacing w:after="0"/>
              <w:rPr>
                <w:sz w:val="1"/>
                <w:szCs w:val="1"/>
                <w:color w:val="auto"/>
              </w:rPr>
            </w:pPr>
          </w:p>
        </w:tc>
      </w:tr>
      <w:tr>
        <w:trPr>
          <w:trHeight w:val="220"/>
        </w:trPr>
        <w:tc>
          <w:tcPr>
            <w:tcW w:w="80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Other assets ($13,899 and $21,886 carried at fair value) ($465 and $1,530 related to VIEs)</w:t>
            </w: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344,486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507,250</w:t>
            </w:r>
          </w:p>
        </w:tc>
        <w:tc>
          <w:tcPr>
            <w:tcW w:w="0" w:type="dxa"/>
            <w:vAlign w:val="bottom"/>
          </w:tcPr>
          <w:p>
            <w:pPr>
              <w:spacing w:after="0"/>
              <w:rPr>
                <w:sz w:val="1"/>
                <w:szCs w:val="1"/>
                <w:color w:val="auto"/>
              </w:rPr>
            </w:pPr>
          </w:p>
        </w:tc>
      </w:tr>
      <w:tr>
        <w:trPr>
          <w:trHeight w:val="213"/>
        </w:trPr>
        <w:tc>
          <w:tcPr>
            <w:tcW w:w="8060" w:type="dxa"/>
            <w:vAlign w:val="bottom"/>
          </w:tcPr>
          <w:p>
            <w:pPr>
              <w:ind w:left="220"/>
              <w:spacing w:after="0"/>
              <w:rPr>
                <w:sz w:val="20"/>
                <w:szCs w:val="20"/>
                <w:color w:val="auto"/>
              </w:rPr>
            </w:pPr>
            <w:r>
              <w:rPr>
                <w:rFonts w:ascii="Arial" w:cs="Arial" w:eastAsia="Arial" w:hAnsi="Arial"/>
                <w:sz w:val="17"/>
                <w:szCs w:val="17"/>
                <w:color w:val="auto"/>
              </w:rPr>
              <w:t>Total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12,107,690</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12,147,123</w:t>
            </w:r>
          </w:p>
        </w:tc>
        <w:tc>
          <w:tcPr>
            <w:tcW w:w="0" w:type="dxa"/>
            <w:vAlign w:val="bottom"/>
          </w:tcPr>
          <w:p>
            <w:pPr>
              <w:spacing w:after="0"/>
              <w:rPr>
                <w:sz w:val="1"/>
                <w:szCs w:val="1"/>
                <w:color w:val="auto"/>
              </w:rPr>
            </w:pP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80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20"/>
        </w:trPr>
        <w:tc>
          <w:tcPr>
            <w:tcW w:w="8060" w:type="dxa"/>
            <w:vAlign w:val="bottom"/>
          </w:tcPr>
          <w:p>
            <w:pPr>
              <w:ind w:left="20"/>
              <w:spacing w:after="0"/>
              <w:rPr>
                <w:sz w:val="20"/>
                <w:szCs w:val="20"/>
                <w:color w:val="auto"/>
              </w:rPr>
            </w:pPr>
            <w:r>
              <w:rPr>
                <w:rFonts w:ascii="Arial" w:cs="Arial" w:eastAsia="Arial" w:hAnsi="Arial"/>
                <w:sz w:val="17"/>
                <w:szCs w:val="17"/>
                <w:b w:val="1"/>
                <w:bCs w:val="1"/>
                <w:color w:val="auto"/>
              </w:rPr>
              <w:t>Liabilities and Equity</w:t>
            </w: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8060" w:type="dxa"/>
            <w:vAlign w:val="bottom"/>
            <w:shd w:val="clear" w:color="auto" w:fill="CCEEFF"/>
          </w:tcPr>
          <w:p>
            <w:pPr>
              <w:ind w:left="140"/>
              <w:spacing w:after="0"/>
              <w:rPr>
                <w:sz w:val="20"/>
                <w:szCs w:val="20"/>
                <w:color w:val="auto"/>
              </w:rPr>
            </w:pPr>
            <w:r>
              <w:rPr>
                <w:rFonts w:ascii="Arial" w:cs="Arial" w:eastAsia="Arial" w:hAnsi="Arial"/>
                <w:sz w:val="17"/>
                <w:szCs w:val="17"/>
                <w:b w:val="1"/>
                <w:bCs w:val="1"/>
                <w:color w:val="auto"/>
              </w:rPr>
              <w:t>Liabilities</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8060" w:type="dxa"/>
            <w:vAlign w:val="bottom"/>
          </w:tcPr>
          <w:p>
            <w:pPr>
              <w:ind w:left="160"/>
              <w:spacing w:after="0"/>
              <w:rPr>
                <w:sz w:val="20"/>
                <w:szCs w:val="20"/>
                <w:color w:val="auto"/>
              </w:rPr>
            </w:pPr>
            <w:r>
              <w:rPr>
                <w:rFonts w:ascii="Arial" w:cs="Arial" w:eastAsia="Arial" w:hAnsi="Arial"/>
                <w:sz w:val="17"/>
                <w:szCs w:val="17"/>
                <w:color w:val="auto"/>
              </w:rPr>
              <w:t>Home Equity Conversion Mortgage-Backed Securities (HMBS) related borrowings, at fair value</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7,155,251</w:t>
            </w:r>
          </w:p>
        </w:tc>
        <w:tc>
          <w:tcPr>
            <w:tcW w:w="100" w:type="dxa"/>
            <w:vAlign w:val="bottom"/>
          </w:tcPr>
          <w:p>
            <w:pPr>
              <w:spacing w:after="0"/>
              <w:rPr>
                <w:sz w:val="19"/>
                <w:szCs w:val="19"/>
                <w:color w:val="auto"/>
              </w:rPr>
            </w:pPr>
          </w:p>
        </w:tc>
        <w:tc>
          <w:tcPr>
            <w:tcW w:w="380" w:type="dxa"/>
            <w:vAlign w:val="bottom"/>
          </w:tcPr>
          <w:p>
            <w:pPr>
              <w:jc w:val="right"/>
              <w:ind w:right="194"/>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6,885,022</w:t>
            </w:r>
          </w:p>
        </w:tc>
        <w:tc>
          <w:tcPr>
            <w:tcW w:w="0" w:type="dxa"/>
            <w:vAlign w:val="bottom"/>
          </w:tcPr>
          <w:p>
            <w:pPr>
              <w:spacing w:after="0"/>
              <w:rPr>
                <w:sz w:val="1"/>
                <w:szCs w:val="1"/>
                <w:color w:val="auto"/>
              </w:rPr>
            </w:pPr>
          </w:p>
        </w:tc>
      </w:tr>
      <w:tr>
        <w:trPr>
          <w:trHeight w:val="168"/>
        </w:trPr>
        <w:tc>
          <w:tcPr>
            <w:tcW w:w="8060" w:type="dxa"/>
            <w:vAlign w:val="bottom"/>
            <w:shd w:val="clear" w:color="auto" w:fill="CCEEFF"/>
          </w:tcPr>
          <w:p>
            <w:pPr>
              <w:ind w:left="180"/>
              <w:spacing w:after="0" w:line="168" w:lineRule="exact"/>
              <w:rPr>
                <w:sz w:val="20"/>
                <w:szCs w:val="20"/>
                <w:color w:val="auto"/>
              </w:rPr>
            </w:pPr>
            <w:r>
              <w:rPr>
                <w:rFonts w:ascii="Arial" w:cs="Arial" w:eastAsia="Arial" w:hAnsi="Arial"/>
                <w:sz w:val="17"/>
                <w:szCs w:val="17"/>
                <w:color w:val="auto"/>
                <w:w w:val="93"/>
              </w:rPr>
              <w:t>Other financing liabilities, at fair value ($355,530 and $238,144 due to related party) ($7,289 and $7,879 related</w:t>
            </w:r>
          </w:p>
        </w:tc>
        <w:tc>
          <w:tcPr>
            <w:tcW w:w="180" w:type="dxa"/>
            <w:vAlign w:val="bottom"/>
            <w:shd w:val="clear" w:color="auto" w:fill="CCEEFF"/>
          </w:tcPr>
          <w:p>
            <w:pPr>
              <w:spacing w:after="0"/>
              <w:rPr>
                <w:sz w:val="14"/>
                <w:szCs w:val="14"/>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913,627</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804,963</w:t>
            </w:r>
          </w:p>
        </w:tc>
        <w:tc>
          <w:tcPr>
            <w:tcW w:w="0" w:type="dxa"/>
            <w:vAlign w:val="bottom"/>
          </w:tcPr>
          <w:p>
            <w:pPr>
              <w:spacing w:after="0"/>
              <w:rPr>
                <w:sz w:val="1"/>
                <w:szCs w:val="1"/>
                <w:color w:val="auto"/>
              </w:rPr>
            </w:pPr>
          </w:p>
        </w:tc>
      </w:tr>
      <w:tr>
        <w:trPr>
          <w:trHeight w:val="219"/>
        </w:trPr>
        <w:tc>
          <w:tcPr>
            <w:tcW w:w="80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to VIEs )</w:t>
            </w:r>
          </w:p>
        </w:tc>
        <w:tc>
          <w:tcPr>
            <w:tcW w:w="180" w:type="dxa"/>
            <w:vAlign w:val="bottom"/>
            <w:shd w:val="clear" w:color="auto" w:fill="CCEEFF"/>
          </w:tcPr>
          <w:p>
            <w:pPr>
              <w:spacing w:after="0"/>
              <w:rPr>
                <w:sz w:val="19"/>
                <w:szCs w:val="19"/>
                <w:color w:val="auto"/>
              </w:rPr>
            </w:pPr>
          </w:p>
        </w:tc>
        <w:tc>
          <w:tcPr>
            <w:tcW w:w="13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8060" w:type="dxa"/>
            <w:vAlign w:val="bottom"/>
          </w:tcPr>
          <w:p>
            <w:pPr>
              <w:ind w:left="120"/>
              <w:spacing w:after="0"/>
              <w:rPr>
                <w:sz w:val="20"/>
                <w:szCs w:val="20"/>
                <w:color w:val="auto"/>
              </w:rPr>
            </w:pPr>
            <w:r>
              <w:rPr>
                <w:rFonts w:ascii="Arial" w:cs="Arial" w:eastAsia="Arial" w:hAnsi="Arial"/>
                <w:sz w:val="17"/>
                <w:szCs w:val="17"/>
                <w:color w:val="auto"/>
              </w:rPr>
              <w:t>Advance match funded liabilities ($475,487 and $512,297 related to VIEs)</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476,978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512,297</w:t>
            </w:r>
          </w:p>
        </w:tc>
        <w:tc>
          <w:tcPr>
            <w:tcW w:w="0" w:type="dxa"/>
            <w:vAlign w:val="bottom"/>
          </w:tcPr>
          <w:p>
            <w:pPr>
              <w:spacing w:after="0"/>
              <w:rPr>
                <w:sz w:val="1"/>
                <w:szCs w:val="1"/>
                <w:color w:val="auto"/>
              </w:rPr>
            </w:pPr>
          </w:p>
        </w:tc>
      </w:tr>
      <w:tr>
        <w:trPr>
          <w:trHeight w:val="220"/>
        </w:trPr>
        <w:tc>
          <w:tcPr>
            <w:tcW w:w="80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Mortgage loan warehouse facilities</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779,270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1,085,076</w:t>
            </w:r>
          </w:p>
        </w:tc>
        <w:tc>
          <w:tcPr>
            <w:tcW w:w="0" w:type="dxa"/>
            <w:vAlign w:val="bottom"/>
          </w:tcPr>
          <w:p>
            <w:pPr>
              <w:spacing w:after="0"/>
              <w:rPr>
                <w:sz w:val="1"/>
                <w:szCs w:val="1"/>
                <w:color w:val="auto"/>
              </w:rPr>
            </w:pPr>
          </w:p>
        </w:tc>
      </w:tr>
      <w:tr>
        <w:trPr>
          <w:trHeight w:val="220"/>
        </w:trPr>
        <w:tc>
          <w:tcPr>
            <w:tcW w:w="8060" w:type="dxa"/>
            <w:vAlign w:val="bottom"/>
          </w:tcPr>
          <w:p>
            <w:pPr>
              <w:ind w:left="120"/>
              <w:spacing w:after="0"/>
              <w:rPr>
                <w:sz w:val="20"/>
                <w:szCs w:val="20"/>
                <w:color w:val="auto"/>
              </w:rPr>
            </w:pPr>
            <w:r>
              <w:rPr>
                <w:rFonts w:ascii="Arial" w:cs="Arial" w:eastAsia="Arial" w:hAnsi="Arial"/>
                <w:sz w:val="17"/>
                <w:szCs w:val="17"/>
                <w:color w:val="auto"/>
              </w:rPr>
              <w:t>MSR financing facilities, net</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987,712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900,760</w:t>
            </w:r>
          </w:p>
        </w:tc>
        <w:tc>
          <w:tcPr>
            <w:tcW w:w="0" w:type="dxa"/>
            <w:vAlign w:val="bottom"/>
          </w:tcPr>
          <w:p>
            <w:pPr>
              <w:spacing w:after="0"/>
              <w:rPr>
                <w:sz w:val="1"/>
                <w:szCs w:val="1"/>
                <w:color w:val="auto"/>
              </w:rPr>
            </w:pPr>
          </w:p>
        </w:tc>
      </w:tr>
      <w:tr>
        <w:trPr>
          <w:trHeight w:val="220"/>
        </w:trPr>
        <w:tc>
          <w:tcPr>
            <w:tcW w:w="80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Senior notes, net ($226,165 and $222,242 due to related party)</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594,889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614,797</w:t>
            </w:r>
          </w:p>
        </w:tc>
        <w:tc>
          <w:tcPr>
            <w:tcW w:w="0" w:type="dxa"/>
            <w:vAlign w:val="bottom"/>
          </w:tcPr>
          <w:p>
            <w:pPr>
              <w:spacing w:after="0"/>
              <w:rPr>
                <w:sz w:val="1"/>
                <w:szCs w:val="1"/>
                <w:color w:val="auto"/>
              </w:rPr>
            </w:pPr>
          </w:p>
        </w:tc>
      </w:tr>
      <w:tr>
        <w:trPr>
          <w:trHeight w:val="220"/>
        </w:trPr>
        <w:tc>
          <w:tcPr>
            <w:tcW w:w="806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Other liabilities ($9,646 and $3,080 carried at fair value)</w:t>
            </w: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656,048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867,514</w:t>
            </w:r>
          </w:p>
        </w:tc>
        <w:tc>
          <w:tcPr>
            <w:tcW w:w="0" w:type="dxa"/>
            <w:vAlign w:val="bottom"/>
          </w:tcPr>
          <w:p>
            <w:pPr>
              <w:spacing w:after="0"/>
              <w:rPr>
                <w:sz w:val="1"/>
                <w:szCs w:val="1"/>
                <w:color w:val="auto"/>
              </w:rPr>
            </w:pPr>
          </w:p>
        </w:tc>
      </w:tr>
      <w:tr>
        <w:trPr>
          <w:trHeight w:val="213"/>
        </w:trPr>
        <w:tc>
          <w:tcPr>
            <w:tcW w:w="80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Total liabilities</w:t>
            </w:r>
          </w:p>
        </w:tc>
        <w:tc>
          <w:tcPr>
            <w:tcW w:w="1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11,563,775</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11,670,429</w:t>
            </w:r>
          </w:p>
        </w:tc>
        <w:tc>
          <w:tcPr>
            <w:tcW w:w="0" w:type="dxa"/>
            <w:vAlign w:val="bottom"/>
          </w:tcPr>
          <w:p>
            <w:pPr>
              <w:spacing w:after="0"/>
              <w:rPr>
                <w:sz w:val="1"/>
                <w:szCs w:val="1"/>
                <w:color w:val="auto"/>
              </w:rPr>
            </w:pPr>
          </w:p>
        </w:tc>
      </w:tr>
      <w:tr>
        <w:trPr>
          <w:trHeight w:val="135"/>
        </w:trPr>
        <w:tc>
          <w:tcPr>
            <w:tcW w:w="80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0"/>
        </w:trPr>
        <w:tc>
          <w:tcPr>
            <w:tcW w:w="8060" w:type="dxa"/>
            <w:vAlign w:val="bottom"/>
            <w:shd w:val="clear" w:color="auto" w:fill="CCEEFF"/>
          </w:tcPr>
          <w:p>
            <w:pPr>
              <w:ind w:left="140"/>
              <w:spacing w:after="0"/>
              <w:rPr>
                <w:sz w:val="20"/>
                <w:szCs w:val="20"/>
                <w:color w:val="auto"/>
              </w:rPr>
            </w:pPr>
            <w:r>
              <w:rPr>
                <w:rFonts w:ascii="Arial" w:cs="Arial" w:eastAsia="Arial" w:hAnsi="Arial"/>
                <w:sz w:val="17"/>
                <w:szCs w:val="17"/>
                <w:b w:val="1"/>
                <w:bCs w:val="1"/>
                <w:color w:val="auto"/>
              </w:rPr>
              <w:t>Commitments and Contingencies (Notes 21 and 22)</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8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8060" w:type="dxa"/>
            <w:vAlign w:val="bottom"/>
            <w:shd w:val="clear" w:color="auto" w:fill="CCEEFF"/>
          </w:tcPr>
          <w:p>
            <w:pPr>
              <w:ind w:left="140"/>
              <w:spacing w:after="0"/>
              <w:rPr>
                <w:sz w:val="20"/>
                <w:szCs w:val="20"/>
                <w:color w:val="auto"/>
              </w:rPr>
            </w:pPr>
            <w:r>
              <w:rPr>
                <w:rFonts w:ascii="Arial" w:cs="Arial" w:eastAsia="Arial" w:hAnsi="Arial"/>
                <w:sz w:val="17"/>
                <w:szCs w:val="17"/>
                <w:b w:val="1"/>
                <w:bCs w:val="1"/>
                <w:color w:val="auto"/>
              </w:rPr>
              <w:t>Stockholders’ Equity</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8060" w:type="dxa"/>
            <w:vAlign w:val="bottom"/>
          </w:tcPr>
          <w:p>
            <w:pPr>
              <w:ind w:left="160"/>
              <w:spacing w:after="0" w:line="168" w:lineRule="exact"/>
              <w:rPr>
                <w:sz w:val="20"/>
                <w:szCs w:val="20"/>
                <w:color w:val="auto"/>
              </w:rPr>
            </w:pPr>
            <w:r>
              <w:rPr>
                <w:rFonts w:ascii="Arial" w:cs="Arial" w:eastAsia="Arial" w:hAnsi="Arial"/>
                <w:sz w:val="17"/>
                <w:szCs w:val="17"/>
                <w:color w:val="auto"/>
                <w:w w:val="97"/>
              </w:rPr>
              <w:t>Common stock, $.01 par value; 13,333,333 shares authorized; 9,189,005 and 9,208,312 shares issued and</w:t>
            </w:r>
          </w:p>
        </w:tc>
        <w:tc>
          <w:tcPr>
            <w:tcW w:w="180" w:type="dxa"/>
            <w:vAlign w:val="bottom"/>
          </w:tcPr>
          <w:p>
            <w:pPr>
              <w:spacing w:after="0"/>
              <w:rPr>
                <w:sz w:val="14"/>
                <w:szCs w:val="14"/>
                <w:color w:val="auto"/>
              </w:rPr>
            </w:pPr>
          </w:p>
        </w:tc>
        <w:tc>
          <w:tcPr>
            <w:tcW w:w="1360" w:type="dxa"/>
            <w:vAlign w:val="bottom"/>
            <w:vMerge w:val="restart"/>
          </w:tcPr>
          <w:p>
            <w:pPr>
              <w:jc w:val="right"/>
              <w:spacing w:after="0"/>
              <w:rPr>
                <w:sz w:val="20"/>
                <w:szCs w:val="20"/>
                <w:color w:val="auto"/>
              </w:rPr>
            </w:pPr>
            <w:r>
              <w:rPr>
                <w:rFonts w:ascii="Arial" w:cs="Arial" w:eastAsia="Arial" w:hAnsi="Arial"/>
                <w:sz w:val="17"/>
                <w:szCs w:val="17"/>
                <w:color w:val="auto"/>
              </w:rPr>
              <w:t>92</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7"/>
                <w:szCs w:val="17"/>
                <w:color w:val="auto"/>
              </w:rPr>
              <w:t>92</w:t>
            </w:r>
          </w:p>
        </w:tc>
        <w:tc>
          <w:tcPr>
            <w:tcW w:w="0" w:type="dxa"/>
            <w:vAlign w:val="bottom"/>
          </w:tcPr>
          <w:p>
            <w:pPr>
              <w:spacing w:after="0"/>
              <w:rPr>
                <w:sz w:val="1"/>
                <w:szCs w:val="1"/>
                <w:color w:val="auto"/>
              </w:rPr>
            </w:pPr>
          </w:p>
        </w:tc>
      </w:tr>
      <w:tr>
        <w:trPr>
          <w:trHeight w:val="219"/>
        </w:trPr>
        <w:tc>
          <w:tcPr>
            <w:tcW w:w="8060" w:type="dxa"/>
            <w:vAlign w:val="bottom"/>
          </w:tcPr>
          <w:p>
            <w:pPr>
              <w:ind w:left="160"/>
              <w:spacing w:after="0"/>
              <w:rPr>
                <w:sz w:val="20"/>
                <w:szCs w:val="20"/>
                <w:color w:val="auto"/>
              </w:rPr>
            </w:pPr>
            <w:r>
              <w:rPr>
                <w:rFonts w:ascii="Arial" w:cs="Arial" w:eastAsia="Arial" w:hAnsi="Arial"/>
                <w:sz w:val="17"/>
                <w:szCs w:val="17"/>
                <w:color w:val="auto"/>
              </w:rPr>
              <w:t>outstanding at June 30, 2022 and December 31, 2021, respectively.</w:t>
            </w:r>
          </w:p>
        </w:tc>
        <w:tc>
          <w:tcPr>
            <w:tcW w:w="180" w:type="dxa"/>
            <w:vAlign w:val="bottom"/>
          </w:tcPr>
          <w:p>
            <w:pPr>
              <w:spacing w:after="0"/>
              <w:rPr>
                <w:sz w:val="19"/>
                <w:szCs w:val="19"/>
                <w:color w:val="auto"/>
              </w:rPr>
            </w:pPr>
          </w:p>
        </w:tc>
        <w:tc>
          <w:tcPr>
            <w:tcW w:w="13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80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Additional paid-in capital</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591,132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592,572</w:t>
            </w:r>
          </w:p>
        </w:tc>
        <w:tc>
          <w:tcPr>
            <w:tcW w:w="0" w:type="dxa"/>
            <w:vAlign w:val="bottom"/>
          </w:tcPr>
          <w:p>
            <w:pPr>
              <w:spacing w:after="0"/>
              <w:rPr>
                <w:sz w:val="1"/>
                <w:szCs w:val="1"/>
                <w:color w:val="auto"/>
              </w:rPr>
            </w:pPr>
          </w:p>
        </w:tc>
      </w:tr>
      <w:tr>
        <w:trPr>
          <w:trHeight w:val="220"/>
        </w:trPr>
        <w:tc>
          <w:tcPr>
            <w:tcW w:w="8060" w:type="dxa"/>
            <w:vAlign w:val="bottom"/>
          </w:tcPr>
          <w:p>
            <w:pPr>
              <w:ind w:left="220"/>
              <w:spacing w:after="0"/>
              <w:rPr>
                <w:sz w:val="20"/>
                <w:szCs w:val="20"/>
                <w:color w:val="auto"/>
              </w:rPr>
            </w:pPr>
            <w:r>
              <w:rPr>
                <w:rFonts w:ascii="Arial" w:cs="Arial" w:eastAsia="Arial" w:hAnsi="Arial"/>
                <w:sz w:val="17"/>
                <w:szCs w:val="17"/>
                <w:color w:val="auto"/>
              </w:rPr>
              <w:t>Accumulated deficit</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(45,168)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(113,604)</w:t>
            </w:r>
          </w:p>
        </w:tc>
        <w:tc>
          <w:tcPr>
            <w:tcW w:w="0" w:type="dxa"/>
            <w:vAlign w:val="bottom"/>
          </w:tcPr>
          <w:p>
            <w:pPr>
              <w:spacing w:after="0"/>
              <w:rPr>
                <w:sz w:val="1"/>
                <w:szCs w:val="1"/>
                <w:color w:val="auto"/>
              </w:rPr>
            </w:pPr>
          </w:p>
        </w:tc>
      </w:tr>
      <w:tr>
        <w:trPr>
          <w:trHeight w:val="220"/>
        </w:trPr>
        <w:tc>
          <w:tcPr>
            <w:tcW w:w="80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Accumulated other comprehensive loss, net of income taxes</w:t>
            </w: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(2,141)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(2,366)</w:t>
            </w:r>
          </w:p>
        </w:tc>
        <w:tc>
          <w:tcPr>
            <w:tcW w:w="0" w:type="dxa"/>
            <w:vAlign w:val="bottom"/>
          </w:tcPr>
          <w:p>
            <w:pPr>
              <w:spacing w:after="0"/>
              <w:rPr>
                <w:sz w:val="1"/>
                <w:szCs w:val="1"/>
                <w:color w:val="auto"/>
              </w:rPr>
            </w:pPr>
          </w:p>
        </w:tc>
      </w:tr>
      <w:tr>
        <w:trPr>
          <w:trHeight w:val="213"/>
        </w:trPr>
        <w:tc>
          <w:tcPr>
            <w:tcW w:w="8060" w:type="dxa"/>
            <w:vAlign w:val="bottom"/>
            <w:tcBorders>
              <w:bottom w:val="single" w:sz="8" w:color="CCEEFF"/>
            </w:tcBorders>
          </w:tcPr>
          <w:p>
            <w:pPr>
              <w:ind w:left="340"/>
              <w:spacing w:after="0"/>
              <w:rPr>
                <w:sz w:val="20"/>
                <w:szCs w:val="20"/>
                <w:color w:val="auto"/>
              </w:rPr>
            </w:pPr>
            <w:r>
              <w:rPr>
                <w:rFonts w:ascii="Arial" w:cs="Arial" w:eastAsia="Arial" w:hAnsi="Arial"/>
                <w:sz w:val="17"/>
                <w:szCs w:val="17"/>
                <w:color w:val="auto"/>
              </w:rPr>
              <w:t>Total stockholders’ equity</w:t>
            </w: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543,915</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476,694</w:t>
            </w:r>
          </w:p>
        </w:tc>
        <w:tc>
          <w:tcPr>
            <w:tcW w:w="0" w:type="dxa"/>
            <w:vAlign w:val="bottom"/>
          </w:tcPr>
          <w:p>
            <w:pPr>
              <w:spacing w:after="0"/>
              <w:rPr>
                <w:sz w:val="1"/>
                <w:szCs w:val="1"/>
                <w:color w:val="auto"/>
              </w:rPr>
            </w:pPr>
          </w:p>
        </w:tc>
      </w:tr>
      <w:tr>
        <w:trPr>
          <w:trHeight w:val="238"/>
        </w:trPr>
        <w:tc>
          <w:tcPr>
            <w:tcW w:w="80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Total liabilities and stockholders’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12,107,690</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12,147,123</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The accompanying notes are an integral part of these unaudited consolidated financial statements</w:t>
      </w: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 w:name="page6"/>
    <w:bookmarkEnd w:id="5"/>
    <w:p>
      <w:pPr>
        <w:jc w:val="center"/>
        <w:spacing w:after="0"/>
        <w:rPr>
          <w:sz w:val="20"/>
          <w:szCs w:val="20"/>
          <w:color w:val="auto"/>
        </w:rPr>
      </w:pPr>
      <w:r>
        <w:rPr>
          <w:rFonts w:ascii="Arial" w:cs="Arial" w:eastAsia="Arial" w:hAnsi="Arial"/>
          <w:sz w:val="17"/>
          <w:szCs w:val="17"/>
          <w:b w:val="1"/>
          <w:bCs w:val="1"/>
          <w:color w:val="auto"/>
        </w:rPr>
        <w:t>OCWEN FINANCIAL CORPORATION AND SUBSIDIARIES</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 CONSOLIDATED STATEMENTS OF OPERATIONS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(Dollars in thousands, except per share data)</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120" w:type="dxa"/>
            <w:vAlign w:val="bottom"/>
            <w:gridSpan w:val="5"/>
          </w:tcPr>
          <w:p>
            <w:pPr>
              <w:ind w:left="20"/>
              <w:spacing w:after="0"/>
              <w:rPr>
                <w:sz w:val="20"/>
                <w:szCs w:val="20"/>
                <w:color w:val="auto"/>
              </w:rPr>
            </w:pPr>
            <w:r>
              <w:rPr>
                <w:rFonts w:ascii="Arial" w:cs="Arial" w:eastAsia="Arial" w:hAnsi="Arial"/>
                <w:sz w:val="17"/>
                <w:szCs w:val="17"/>
                <w:b w:val="1"/>
                <w:bCs w:val="1"/>
                <w:color w:val="auto"/>
              </w:rPr>
              <w:t>For the Three Months Ended June 30,</w:t>
            </w:r>
          </w:p>
        </w:tc>
        <w:tc>
          <w:tcPr>
            <w:tcW w:w="180" w:type="dxa"/>
            <w:vAlign w:val="bottom"/>
          </w:tcPr>
          <w:p>
            <w:pPr>
              <w:spacing w:after="0"/>
              <w:rPr>
                <w:sz w:val="19"/>
                <w:szCs w:val="19"/>
                <w:color w:val="auto"/>
              </w:rPr>
            </w:pPr>
          </w:p>
        </w:tc>
        <w:tc>
          <w:tcPr>
            <w:tcW w:w="2960" w:type="dxa"/>
            <w:vAlign w:val="bottom"/>
            <w:gridSpan w:val="4"/>
          </w:tcPr>
          <w:p>
            <w:pPr>
              <w:jc w:val="right"/>
              <w:ind w:right="194"/>
              <w:spacing w:after="0"/>
              <w:rPr>
                <w:sz w:val="20"/>
                <w:szCs w:val="20"/>
                <w:color w:val="auto"/>
              </w:rPr>
            </w:pPr>
            <w:r>
              <w:rPr>
                <w:rFonts w:ascii="Arial" w:cs="Arial" w:eastAsia="Arial" w:hAnsi="Arial"/>
                <w:sz w:val="17"/>
                <w:szCs w:val="17"/>
                <w:b w:val="1"/>
                <w:bCs w:val="1"/>
                <w:color w:val="auto"/>
                <w:w w:val="94"/>
              </w:rPr>
              <w:t>For the Six Months Ended June 30,</w:t>
            </w:r>
          </w:p>
        </w:tc>
        <w:tc>
          <w:tcPr>
            <w:tcW w:w="0" w:type="dxa"/>
            <w:vAlign w:val="bottom"/>
          </w:tcPr>
          <w:p>
            <w:pPr>
              <w:spacing w:after="0"/>
              <w:rPr>
                <w:sz w:val="1"/>
                <w:szCs w:val="1"/>
                <w:color w:val="auto"/>
              </w:rPr>
            </w:pPr>
          </w:p>
        </w:tc>
      </w:tr>
      <w:tr>
        <w:trPr>
          <w:trHeight w:val="213"/>
        </w:trPr>
        <w:tc>
          <w:tcPr>
            <w:tcW w:w="48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7"/>
                <w:szCs w:val="17"/>
                <w:b w:val="1"/>
                <w:bCs w:val="1"/>
                <w:color w:val="auto"/>
              </w:rPr>
              <w:t>2021</w:t>
            </w:r>
          </w:p>
        </w:tc>
        <w:tc>
          <w:tcPr>
            <w:tcW w:w="1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7"/>
                <w:szCs w:val="17"/>
                <w:b w:val="1"/>
                <w:bCs w:val="1"/>
                <w:color w:val="auto"/>
              </w:rPr>
              <w:t>2021</w:t>
            </w:r>
          </w:p>
        </w:tc>
        <w:tc>
          <w:tcPr>
            <w:tcW w:w="0" w:type="dxa"/>
            <w:vAlign w:val="bottom"/>
          </w:tcPr>
          <w:p>
            <w:pPr>
              <w:spacing w:after="0"/>
              <w:rPr>
                <w:sz w:val="1"/>
                <w:szCs w:val="1"/>
                <w:color w:val="auto"/>
              </w:rPr>
            </w:pPr>
          </w:p>
        </w:tc>
      </w:tr>
      <w:tr>
        <w:trPr>
          <w:trHeight w:val="200"/>
        </w:trPr>
        <w:tc>
          <w:tcPr>
            <w:tcW w:w="48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Revenue</w:t>
            </w:r>
          </w:p>
        </w:tc>
        <w:tc>
          <w:tcPr>
            <w:tcW w:w="1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840" w:type="dxa"/>
            <w:vAlign w:val="bottom"/>
          </w:tcPr>
          <w:p>
            <w:pPr>
              <w:ind w:left="140"/>
              <w:spacing w:after="0"/>
              <w:rPr>
                <w:sz w:val="20"/>
                <w:szCs w:val="20"/>
                <w:color w:val="auto"/>
              </w:rPr>
            </w:pPr>
            <w:r>
              <w:rPr>
                <w:rFonts w:ascii="Arial" w:cs="Arial" w:eastAsia="Arial" w:hAnsi="Arial"/>
                <w:sz w:val="17"/>
                <w:szCs w:val="17"/>
                <w:color w:val="auto"/>
              </w:rPr>
              <w:t>Servicing and subservicing fees</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215,131</w:t>
            </w:r>
          </w:p>
        </w:tc>
        <w:tc>
          <w:tcPr>
            <w:tcW w:w="100" w:type="dxa"/>
            <w:vAlign w:val="bottom"/>
          </w:tcPr>
          <w:p>
            <w:pPr>
              <w:spacing w:after="0"/>
              <w:rPr>
                <w:sz w:val="19"/>
                <w:szCs w:val="19"/>
                <w:color w:val="auto"/>
              </w:rPr>
            </w:pPr>
          </w:p>
        </w:tc>
        <w:tc>
          <w:tcPr>
            <w:tcW w:w="360" w:type="dxa"/>
            <w:vAlign w:val="bottom"/>
          </w:tcPr>
          <w:p>
            <w:pPr>
              <w:jc w:val="right"/>
              <w:ind w:right="174"/>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184,441</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427,754</w:t>
            </w:r>
          </w:p>
        </w:tc>
        <w:tc>
          <w:tcPr>
            <w:tcW w:w="100" w:type="dxa"/>
            <w:vAlign w:val="bottom"/>
          </w:tcPr>
          <w:p>
            <w:pPr>
              <w:spacing w:after="0"/>
              <w:rPr>
                <w:sz w:val="19"/>
                <w:szCs w:val="19"/>
                <w:color w:val="auto"/>
              </w:rPr>
            </w:pP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356,179</w:t>
            </w:r>
          </w:p>
        </w:tc>
        <w:tc>
          <w:tcPr>
            <w:tcW w:w="0" w:type="dxa"/>
            <w:vAlign w:val="bottom"/>
          </w:tcPr>
          <w:p>
            <w:pPr>
              <w:spacing w:after="0"/>
              <w:rPr>
                <w:sz w:val="1"/>
                <w:szCs w:val="1"/>
                <w:color w:val="auto"/>
              </w:rPr>
            </w:pPr>
          </w:p>
        </w:tc>
      </w:tr>
      <w:tr>
        <w:trPr>
          <w:trHeight w:val="220"/>
        </w:trPr>
        <w:tc>
          <w:tcPr>
            <w:tcW w:w="48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Reverse mortgage revenue, net</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(2,616)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29,301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10,494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51,127</w:t>
            </w:r>
          </w:p>
        </w:tc>
        <w:tc>
          <w:tcPr>
            <w:tcW w:w="0" w:type="dxa"/>
            <w:vAlign w:val="bottom"/>
          </w:tcPr>
          <w:p>
            <w:pPr>
              <w:spacing w:after="0"/>
              <w:rPr>
                <w:sz w:val="1"/>
                <w:szCs w:val="1"/>
                <w:color w:val="auto"/>
              </w:rPr>
            </w:pPr>
          </w:p>
        </w:tc>
      </w:tr>
      <w:tr>
        <w:trPr>
          <w:trHeight w:val="220"/>
        </w:trPr>
        <w:tc>
          <w:tcPr>
            <w:tcW w:w="4840" w:type="dxa"/>
            <w:vAlign w:val="bottom"/>
          </w:tcPr>
          <w:p>
            <w:pPr>
              <w:ind w:left="140"/>
              <w:spacing w:after="0"/>
              <w:rPr>
                <w:sz w:val="20"/>
                <w:szCs w:val="20"/>
                <w:color w:val="auto"/>
              </w:rPr>
            </w:pPr>
            <w:r>
              <w:rPr>
                <w:rFonts w:ascii="Arial" w:cs="Arial" w:eastAsia="Arial" w:hAnsi="Arial"/>
                <w:sz w:val="17"/>
                <w:szCs w:val="17"/>
                <w:color w:val="auto"/>
              </w:rPr>
              <w:t>Gain (loss) on loans held for sale, net</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940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42,713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(2,266)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48,434</w:t>
            </w:r>
          </w:p>
        </w:tc>
        <w:tc>
          <w:tcPr>
            <w:tcW w:w="0" w:type="dxa"/>
            <w:vAlign w:val="bottom"/>
          </w:tcPr>
          <w:p>
            <w:pPr>
              <w:spacing w:after="0"/>
              <w:rPr>
                <w:sz w:val="1"/>
                <w:szCs w:val="1"/>
                <w:color w:val="auto"/>
              </w:rPr>
            </w:pPr>
          </w:p>
        </w:tc>
      </w:tr>
      <w:tr>
        <w:trPr>
          <w:trHeight w:val="220"/>
        </w:trPr>
        <w:tc>
          <w:tcPr>
            <w:tcW w:w="48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Other revenue, net</w:t>
            </w: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8,704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8,990</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17,740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17,299</w:t>
            </w:r>
          </w:p>
        </w:tc>
        <w:tc>
          <w:tcPr>
            <w:tcW w:w="0" w:type="dxa"/>
            <w:vAlign w:val="bottom"/>
          </w:tcPr>
          <w:p>
            <w:pPr>
              <w:spacing w:after="0"/>
              <w:rPr>
                <w:sz w:val="1"/>
                <w:szCs w:val="1"/>
                <w:color w:val="auto"/>
              </w:rPr>
            </w:pPr>
          </w:p>
        </w:tc>
      </w:tr>
      <w:tr>
        <w:trPr>
          <w:trHeight w:val="213"/>
        </w:trPr>
        <w:tc>
          <w:tcPr>
            <w:tcW w:w="484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Total revenue</w:t>
            </w: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222,159</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265,445</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453,722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473,039</w:t>
            </w:r>
          </w:p>
        </w:tc>
        <w:tc>
          <w:tcPr>
            <w:tcW w:w="0" w:type="dxa"/>
            <w:vAlign w:val="bottom"/>
          </w:tcPr>
          <w:p>
            <w:pPr>
              <w:spacing w:after="0"/>
              <w:rPr>
                <w:sz w:val="1"/>
                <w:szCs w:val="1"/>
                <w:color w:val="auto"/>
              </w:rPr>
            </w:pPr>
          </w:p>
        </w:tc>
      </w:tr>
      <w:tr>
        <w:trPr>
          <w:trHeight w:val="135"/>
        </w:trPr>
        <w:tc>
          <w:tcPr>
            <w:tcW w:w="4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20"/>
        </w:trPr>
        <w:tc>
          <w:tcPr>
            <w:tcW w:w="4840" w:type="dxa"/>
            <w:vAlign w:val="bottom"/>
          </w:tcPr>
          <w:p>
            <w:pPr>
              <w:ind w:left="20"/>
              <w:spacing w:after="0"/>
              <w:rPr>
                <w:sz w:val="20"/>
                <w:szCs w:val="20"/>
                <w:color w:val="auto"/>
              </w:rPr>
            </w:pPr>
            <w:r>
              <w:rPr>
                <w:rFonts w:ascii="Arial" w:cs="Arial" w:eastAsia="Arial" w:hAnsi="Arial"/>
                <w:sz w:val="17"/>
                <w:szCs w:val="17"/>
                <w:b w:val="1"/>
                <w:bCs w:val="1"/>
                <w:color w:val="auto"/>
              </w:rPr>
              <w:t>MSR valuation adjustments, net</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33,198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(72,450)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95,830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(51,242)</w:t>
            </w:r>
          </w:p>
        </w:tc>
        <w:tc>
          <w:tcPr>
            <w:tcW w:w="0" w:type="dxa"/>
            <w:vAlign w:val="bottom"/>
          </w:tcPr>
          <w:p>
            <w:pPr>
              <w:spacing w:after="0"/>
              <w:rPr>
                <w:sz w:val="1"/>
                <w:szCs w:val="1"/>
                <w:color w:val="auto"/>
              </w:rPr>
            </w:pPr>
          </w:p>
        </w:tc>
      </w:tr>
      <w:tr>
        <w:trPr>
          <w:trHeight w:val="155"/>
        </w:trPr>
        <w:tc>
          <w:tcPr>
            <w:tcW w:w="48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4840" w:type="dxa"/>
            <w:vAlign w:val="bottom"/>
          </w:tcPr>
          <w:p>
            <w:pPr>
              <w:ind w:left="20"/>
              <w:spacing w:after="0"/>
              <w:rPr>
                <w:sz w:val="20"/>
                <w:szCs w:val="20"/>
                <w:color w:val="auto"/>
              </w:rPr>
            </w:pPr>
            <w:r>
              <w:rPr>
                <w:rFonts w:ascii="Arial" w:cs="Arial" w:eastAsia="Arial" w:hAnsi="Arial"/>
                <w:sz w:val="17"/>
                <w:szCs w:val="17"/>
                <w:b w:val="1"/>
                <w:bCs w:val="1"/>
                <w:color w:val="auto"/>
              </w:rPr>
              <w:t>Operating expenses</w:t>
            </w: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8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Compensation and benefits</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83,879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72,172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151,882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140,453</w:t>
            </w:r>
          </w:p>
        </w:tc>
        <w:tc>
          <w:tcPr>
            <w:tcW w:w="0" w:type="dxa"/>
            <w:vAlign w:val="bottom"/>
          </w:tcPr>
          <w:p>
            <w:pPr>
              <w:spacing w:after="0"/>
              <w:rPr>
                <w:sz w:val="1"/>
                <w:szCs w:val="1"/>
                <w:color w:val="auto"/>
              </w:rPr>
            </w:pPr>
          </w:p>
        </w:tc>
      </w:tr>
      <w:tr>
        <w:trPr>
          <w:trHeight w:val="220"/>
        </w:trPr>
        <w:tc>
          <w:tcPr>
            <w:tcW w:w="4840" w:type="dxa"/>
            <w:vAlign w:val="bottom"/>
          </w:tcPr>
          <w:p>
            <w:pPr>
              <w:ind w:left="140"/>
              <w:spacing w:after="0"/>
              <w:rPr>
                <w:sz w:val="20"/>
                <w:szCs w:val="20"/>
                <w:color w:val="auto"/>
              </w:rPr>
            </w:pPr>
            <w:r>
              <w:rPr>
                <w:rFonts w:ascii="Arial" w:cs="Arial" w:eastAsia="Arial" w:hAnsi="Arial"/>
                <w:sz w:val="17"/>
                <w:szCs w:val="17"/>
                <w:color w:val="auto"/>
              </w:rPr>
              <w:t>Servicing and origination</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19,099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26,642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33,266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54,112</w:t>
            </w:r>
          </w:p>
        </w:tc>
        <w:tc>
          <w:tcPr>
            <w:tcW w:w="0" w:type="dxa"/>
            <w:vAlign w:val="bottom"/>
          </w:tcPr>
          <w:p>
            <w:pPr>
              <w:spacing w:after="0"/>
              <w:rPr>
                <w:sz w:val="1"/>
                <w:szCs w:val="1"/>
                <w:color w:val="auto"/>
              </w:rPr>
            </w:pPr>
          </w:p>
        </w:tc>
      </w:tr>
      <w:tr>
        <w:trPr>
          <w:trHeight w:val="220"/>
        </w:trPr>
        <w:tc>
          <w:tcPr>
            <w:tcW w:w="48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Technology and communications</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14,691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13,170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29,603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26,313</w:t>
            </w:r>
          </w:p>
        </w:tc>
        <w:tc>
          <w:tcPr>
            <w:tcW w:w="0" w:type="dxa"/>
            <w:vAlign w:val="bottom"/>
          </w:tcPr>
          <w:p>
            <w:pPr>
              <w:spacing w:after="0"/>
              <w:rPr>
                <w:sz w:val="1"/>
                <w:szCs w:val="1"/>
                <w:color w:val="auto"/>
              </w:rPr>
            </w:pPr>
          </w:p>
        </w:tc>
      </w:tr>
      <w:tr>
        <w:trPr>
          <w:trHeight w:val="220"/>
        </w:trPr>
        <w:tc>
          <w:tcPr>
            <w:tcW w:w="4840" w:type="dxa"/>
            <w:vAlign w:val="bottom"/>
          </w:tcPr>
          <w:p>
            <w:pPr>
              <w:ind w:left="140"/>
              <w:spacing w:after="0"/>
              <w:rPr>
                <w:sz w:val="20"/>
                <w:szCs w:val="20"/>
                <w:color w:val="auto"/>
              </w:rPr>
            </w:pPr>
            <w:r>
              <w:rPr>
                <w:rFonts w:ascii="Arial" w:cs="Arial" w:eastAsia="Arial" w:hAnsi="Arial"/>
                <w:sz w:val="17"/>
                <w:szCs w:val="17"/>
                <w:color w:val="auto"/>
              </w:rPr>
              <w:t>Professional services</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8,686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25,544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20,853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42,866</w:t>
            </w:r>
          </w:p>
        </w:tc>
        <w:tc>
          <w:tcPr>
            <w:tcW w:w="0" w:type="dxa"/>
            <w:vAlign w:val="bottom"/>
          </w:tcPr>
          <w:p>
            <w:pPr>
              <w:spacing w:after="0"/>
              <w:rPr>
                <w:sz w:val="1"/>
                <w:szCs w:val="1"/>
                <w:color w:val="auto"/>
              </w:rPr>
            </w:pPr>
          </w:p>
        </w:tc>
      </w:tr>
      <w:tr>
        <w:trPr>
          <w:trHeight w:val="220"/>
        </w:trPr>
        <w:tc>
          <w:tcPr>
            <w:tcW w:w="48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Occupancy and equipment</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9,658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7,885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19,725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16,737</w:t>
            </w:r>
          </w:p>
        </w:tc>
        <w:tc>
          <w:tcPr>
            <w:tcW w:w="0" w:type="dxa"/>
            <w:vAlign w:val="bottom"/>
          </w:tcPr>
          <w:p>
            <w:pPr>
              <w:spacing w:after="0"/>
              <w:rPr>
                <w:sz w:val="1"/>
                <w:szCs w:val="1"/>
                <w:color w:val="auto"/>
              </w:rPr>
            </w:pPr>
          </w:p>
        </w:tc>
      </w:tr>
      <w:tr>
        <w:trPr>
          <w:trHeight w:val="220"/>
        </w:trPr>
        <w:tc>
          <w:tcPr>
            <w:tcW w:w="484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Other expenses</w:t>
            </w: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8,358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4,395</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16,060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8,956</w:t>
            </w:r>
          </w:p>
        </w:tc>
        <w:tc>
          <w:tcPr>
            <w:tcW w:w="0" w:type="dxa"/>
            <w:vAlign w:val="bottom"/>
          </w:tcPr>
          <w:p>
            <w:pPr>
              <w:spacing w:after="0"/>
              <w:rPr>
                <w:sz w:val="1"/>
                <w:szCs w:val="1"/>
                <w:color w:val="auto"/>
              </w:rPr>
            </w:pPr>
          </w:p>
        </w:tc>
      </w:tr>
      <w:tr>
        <w:trPr>
          <w:trHeight w:val="213"/>
        </w:trPr>
        <w:tc>
          <w:tcPr>
            <w:tcW w:w="48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Total operating expenses</w:t>
            </w:r>
          </w:p>
        </w:tc>
        <w:tc>
          <w:tcPr>
            <w:tcW w:w="1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144,371</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149,808</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271,389</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289,437</w:t>
            </w:r>
          </w:p>
        </w:tc>
        <w:tc>
          <w:tcPr>
            <w:tcW w:w="0" w:type="dxa"/>
            <w:vAlign w:val="bottom"/>
          </w:tcPr>
          <w:p>
            <w:pPr>
              <w:spacing w:after="0"/>
              <w:rPr>
                <w:sz w:val="1"/>
                <w:szCs w:val="1"/>
                <w:color w:val="auto"/>
              </w:rPr>
            </w:pPr>
          </w:p>
        </w:tc>
      </w:tr>
      <w:tr>
        <w:trPr>
          <w:trHeight w:val="135"/>
        </w:trPr>
        <w:tc>
          <w:tcPr>
            <w:tcW w:w="4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0"/>
        </w:trPr>
        <w:tc>
          <w:tcPr>
            <w:tcW w:w="48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Other income (expense)</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840" w:type="dxa"/>
            <w:vAlign w:val="bottom"/>
          </w:tcPr>
          <w:p>
            <w:pPr>
              <w:ind w:left="140"/>
              <w:spacing w:after="0"/>
              <w:rPr>
                <w:sz w:val="20"/>
                <w:szCs w:val="20"/>
                <w:color w:val="auto"/>
              </w:rPr>
            </w:pPr>
            <w:r>
              <w:rPr>
                <w:rFonts w:ascii="Arial" w:cs="Arial" w:eastAsia="Arial" w:hAnsi="Arial"/>
                <w:sz w:val="17"/>
                <w:szCs w:val="17"/>
                <w:color w:val="auto"/>
              </w:rPr>
              <w:t>Interest income</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9,746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4,188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16,858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8,124</w:t>
            </w:r>
          </w:p>
        </w:tc>
        <w:tc>
          <w:tcPr>
            <w:tcW w:w="0" w:type="dxa"/>
            <w:vAlign w:val="bottom"/>
          </w:tcPr>
          <w:p>
            <w:pPr>
              <w:spacing w:after="0"/>
              <w:rPr>
                <w:sz w:val="1"/>
                <w:szCs w:val="1"/>
                <w:color w:val="auto"/>
              </w:rPr>
            </w:pPr>
          </w:p>
        </w:tc>
      </w:tr>
      <w:tr>
        <w:trPr>
          <w:trHeight w:val="168"/>
        </w:trPr>
        <w:tc>
          <w:tcPr>
            <w:tcW w:w="4840" w:type="dxa"/>
            <w:vAlign w:val="bottom"/>
            <w:shd w:val="clear" w:color="auto" w:fill="CCEEFF"/>
          </w:tcPr>
          <w:p>
            <w:pPr>
              <w:ind w:left="180"/>
              <w:spacing w:after="0" w:line="168" w:lineRule="exact"/>
              <w:rPr>
                <w:sz w:val="20"/>
                <w:szCs w:val="20"/>
                <w:color w:val="auto"/>
              </w:rPr>
            </w:pPr>
            <w:r>
              <w:rPr>
                <w:rFonts w:ascii="Arial" w:cs="Arial" w:eastAsia="Arial" w:hAnsi="Arial"/>
                <w:sz w:val="17"/>
                <w:szCs w:val="17"/>
                <w:color w:val="auto"/>
              </w:rPr>
              <w:t>Interest expense ($10,487, $8,748, $20,883 and $11,114 on</w:t>
            </w:r>
          </w:p>
        </w:tc>
        <w:tc>
          <w:tcPr>
            <w:tcW w:w="140" w:type="dxa"/>
            <w:vAlign w:val="bottom"/>
            <w:shd w:val="clear" w:color="auto" w:fill="CCEEFF"/>
          </w:tcPr>
          <w:p>
            <w:pPr>
              <w:spacing w:after="0"/>
              <w:rPr>
                <w:sz w:val="14"/>
                <w:szCs w:val="14"/>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(37,861)</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(33,516)</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(75,736)</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(61,968)</w:t>
            </w:r>
          </w:p>
        </w:tc>
        <w:tc>
          <w:tcPr>
            <w:tcW w:w="0" w:type="dxa"/>
            <w:vAlign w:val="bottom"/>
          </w:tcPr>
          <w:p>
            <w:pPr>
              <w:spacing w:after="0"/>
              <w:rPr>
                <w:sz w:val="1"/>
                <w:szCs w:val="1"/>
                <w:color w:val="auto"/>
              </w:rPr>
            </w:pPr>
          </w:p>
        </w:tc>
      </w:tr>
      <w:tr>
        <w:trPr>
          <w:trHeight w:val="219"/>
        </w:trPr>
        <w:tc>
          <w:tcPr>
            <w:tcW w:w="48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amounts due to related party)</w:t>
            </w:r>
          </w:p>
        </w:tc>
        <w:tc>
          <w:tcPr>
            <w:tcW w:w="140" w:type="dxa"/>
            <w:vAlign w:val="bottom"/>
            <w:shd w:val="clear" w:color="auto" w:fill="CCEEFF"/>
          </w:tcPr>
          <w:p>
            <w:pPr>
              <w:spacing w:after="0"/>
              <w:rPr>
                <w:sz w:val="19"/>
                <w:szCs w:val="19"/>
                <w:color w:val="auto"/>
              </w:rPr>
            </w:pPr>
          </w:p>
        </w:tc>
        <w:tc>
          <w:tcPr>
            <w:tcW w:w="13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4840" w:type="dxa"/>
            <w:vAlign w:val="bottom"/>
          </w:tcPr>
          <w:p>
            <w:pPr>
              <w:ind w:left="180"/>
              <w:spacing w:after="0" w:line="168" w:lineRule="exact"/>
              <w:rPr>
                <w:sz w:val="20"/>
                <w:szCs w:val="20"/>
                <w:color w:val="auto"/>
              </w:rPr>
            </w:pPr>
            <w:r>
              <w:rPr>
                <w:rFonts w:ascii="Arial" w:cs="Arial" w:eastAsia="Arial" w:hAnsi="Arial"/>
                <w:sz w:val="17"/>
                <w:szCs w:val="17"/>
                <w:color w:val="auto"/>
                <w:w w:val="92"/>
              </w:rPr>
              <w:t>Pledged MSR liability expense ($20,843, $—, $75,356, and $— on</w:t>
            </w:r>
          </w:p>
        </w:tc>
        <w:tc>
          <w:tcPr>
            <w:tcW w:w="140" w:type="dxa"/>
            <w:vAlign w:val="bottom"/>
          </w:tcPr>
          <w:p>
            <w:pPr>
              <w:spacing w:after="0"/>
              <w:rPr>
                <w:sz w:val="14"/>
                <w:szCs w:val="14"/>
                <w:color w:val="auto"/>
              </w:rPr>
            </w:pPr>
          </w:p>
        </w:tc>
        <w:tc>
          <w:tcPr>
            <w:tcW w:w="1380" w:type="dxa"/>
            <w:vAlign w:val="bottom"/>
            <w:vMerge w:val="restart"/>
          </w:tcPr>
          <w:p>
            <w:pPr>
              <w:jc w:val="right"/>
              <w:spacing w:after="0"/>
              <w:rPr>
                <w:sz w:val="20"/>
                <w:szCs w:val="20"/>
                <w:color w:val="auto"/>
              </w:rPr>
            </w:pPr>
            <w:r>
              <w:rPr>
                <w:rFonts w:ascii="Arial" w:cs="Arial" w:eastAsia="Arial" w:hAnsi="Arial"/>
                <w:sz w:val="17"/>
                <w:szCs w:val="17"/>
                <w:color w:val="auto"/>
              </w:rPr>
              <w:t>(74,083)</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Arial" w:cs="Arial" w:eastAsia="Arial" w:hAnsi="Arial"/>
                <w:sz w:val="17"/>
                <w:szCs w:val="17"/>
                <w:color w:val="auto"/>
              </w:rPr>
              <w:t>(39,810)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vMerge w:val="restart"/>
          </w:tcPr>
          <w:p>
            <w:pPr>
              <w:jc w:val="right"/>
              <w:spacing w:after="0"/>
              <w:rPr>
                <w:sz w:val="20"/>
                <w:szCs w:val="20"/>
                <w:color w:val="auto"/>
              </w:rPr>
            </w:pPr>
            <w:r>
              <w:rPr>
                <w:rFonts w:ascii="Arial" w:cs="Arial" w:eastAsia="Arial" w:hAnsi="Arial"/>
                <w:sz w:val="17"/>
                <w:szCs w:val="17"/>
                <w:color w:val="auto"/>
              </w:rPr>
              <w:t>(160,980)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7"/>
                <w:szCs w:val="17"/>
                <w:color w:val="auto"/>
              </w:rPr>
              <w:t>(77,660)</w:t>
            </w:r>
          </w:p>
        </w:tc>
        <w:tc>
          <w:tcPr>
            <w:tcW w:w="0" w:type="dxa"/>
            <w:vAlign w:val="bottom"/>
          </w:tcPr>
          <w:p>
            <w:pPr>
              <w:spacing w:after="0"/>
              <w:rPr>
                <w:sz w:val="1"/>
                <w:szCs w:val="1"/>
                <w:color w:val="auto"/>
              </w:rPr>
            </w:pPr>
          </w:p>
        </w:tc>
      </w:tr>
      <w:tr>
        <w:trPr>
          <w:trHeight w:val="219"/>
        </w:trPr>
        <w:tc>
          <w:tcPr>
            <w:tcW w:w="4840" w:type="dxa"/>
            <w:vAlign w:val="bottom"/>
          </w:tcPr>
          <w:p>
            <w:pPr>
              <w:ind w:left="340"/>
              <w:spacing w:after="0"/>
              <w:rPr>
                <w:sz w:val="20"/>
                <w:szCs w:val="20"/>
                <w:color w:val="auto"/>
              </w:rPr>
            </w:pPr>
            <w:r>
              <w:rPr>
                <w:rFonts w:ascii="Arial" w:cs="Arial" w:eastAsia="Arial" w:hAnsi="Arial"/>
                <w:sz w:val="17"/>
                <w:szCs w:val="17"/>
                <w:color w:val="auto"/>
              </w:rPr>
              <w:t>amounts due to related party)</w:t>
            </w:r>
          </w:p>
        </w:tc>
        <w:tc>
          <w:tcPr>
            <w:tcW w:w="140" w:type="dxa"/>
            <w:vAlign w:val="bottom"/>
          </w:tcPr>
          <w:p>
            <w:pPr>
              <w:spacing w:after="0"/>
              <w:rPr>
                <w:sz w:val="19"/>
                <w:szCs w:val="19"/>
                <w:color w:val="auto"/>
              </w:rPr>
            </w:pPr>
          </w:p>
        </w:tc>
        <w:tc>
          <w:tcPr>
            <w:tcW w:w="13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8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Earnings of equity method investee</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3,932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15,935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350</w:t>
            </w:r>
          </w:p>
        </w:tc>
        <w:tc>
          <w:tcPr>
            <w:tcW w:w="0" w:type="dxa"/>
            <w:vAlign w:val="bottom"/>
          </w:tcPr>
          <w:p>
            <w:pPr>
              <w:spacing w:after="0"/>
              <w:rPr>
                <w:sz w:val="1"/>
                <w:szCs w:val="1"/>
                <w:color w:val="auto"/>
              </w:rPr>
            </w:pPr>
          </w:p>
        </w:tc>
      </w:tr>
      <w:tr>
        <w:trPr>
          <w:trHeight w:val="220"/>
        </w:trPr>
        <w:tc>
          <w:tcPr>
            <w:tcW w:w="4840" w:type="dxa"/>
            <w:vAlign w:val="bottom"/>
          </w:tcPr>
          <w:p>
            <w:pPr>
              <w:ind w:left="140"/>
              <w:spacing w:after="0"/>
              <w:rPr>
                <w:sz w:val="20"/>
                <w:szCs w:val="20"/>
                <w:color w:val="auto"/>
              </w:rPr>
            </w:pPr>
            <w:r>
              <w:rPr>
                <w:rFonts w:ascii="Arial" w:cs="Arial" w:eastAsia="Arial" w:hAnsi="Arial"/>
                <w:sz w:val="17"/>
                <w:szCs w:val="17"/>
                <w:color w:val="auto"/>
              </w:rPr>
              <w:t>Gain (loss) on extinguishment of debt</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947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914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(15,458)</w:t>
            </w:r>
          </w:p>
        </w:tc>
        <w:tc>
          <w:tcPr>
            <w:tcW w:w="0" w:type="dxa"/>
            <w:vAlign w:val="bottom"/>
          </w:tcPr>
          <w:p>
            <w:pPr>
              <w:spacing w:after="0"/>
              <w:rPr>
                <w:sz w:val="1"/>
                <w:szCs w:val="1"/>
                <w:color w:val="auto"/>
              </w:rPr>
            </w:pPr>
          </w:p>
        </w:tc>
      </w:tr>
      <w:tr>
        <w:trPr>
          <w:trHeight w:val="220"/>
        </w:trPr>
        <w:tc>
          <w:tcPr>
            <w:tcW w:w="48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Other, net</w:t>
            </w: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(4,237)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3,364</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(4,399)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3,654</w:t>
            </w:r>
          </w:p>
        </w:tc>
        <w:tc>
          <w:tcPr>
            <w:tcW w:w="0" w:type="dxa"/>
            <w:vAlign w:val="bottom"/>
          </w:tcPr>
          <w:p>
            <w:pPr>
              <w:spacing w:after="0"/>
              <w:rPr>
                <w:sz w:val="1"/>
                <w:szCs w:val="1"/>
                <w:color w:val="auto"/>
              </w:rPr>
            </w:pPr>
          </w:p>
        </w:tc>
      </w:tr>
      <w:tr>
        <w:trPr>
          <w:trHeight w:val="213"/>
        </w:trPr>
        <w:tc>
          <w:tcPr>
            <w:tcW w:w="484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Total other income (expense), net</w:t>
            </w: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(101,556)</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(65,424)</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(207,408)</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(142,958)</w:t>
            </w:r>
          </w:p>
        </w:tc>
        <w:tc>
          <w:tcPr>
            <w:tcW w:w="0" w:type="dxa"/>
            <w:vAlign w:val="bottom"/>
          </w:tcPr>
          <w:p>
            <w:pPr>
              <w:spacing w:after="0"/>
              <w:rPr>
                <w:sz w:val="1"/>
                <w:szCs w:val="1"/>
                <w:color w:val="auto"/>
              </w:rPr>
            </w:pPr>
          </w:p>
        </w:tc>
      </w:tr>
      <w:tr>
        <w:trPr>
          <w:trHeight w:val="213"/>
        </w:trPr>
        <w:tc>
          <w:tcPr>
            <w:tcW w:w="4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840" w:type="dxa"/>
            <w:vAlign w:val="bottom"/>
          </w:tcPr>
          <w:p>
            <w:pPr>
              <w:ind w:left="20"/>
              <w:spacing w:after="0"/>
              <w:rPr>
                <w:sz w:val="20"/>
                <w:szCs w:val="20"/>
                <w:color w:val="auto"/>
              </w:rPr>
            </w:pPr>
            <w:r>
              <w:rPr>
                <w:rFonts w:ascii="Arial" w:cs="Arial" w:eastAsia="Arial" w:hAnsi="Arial"/>
                <w:sz w:val="17"/>
                <w:szCs w:val="17"/>
                <w:color w:val="auto"/>
              </w:rPr>
              <w:t>Income (loss) before income taxes</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9,430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(22,237)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70,755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(10,598)</w:t>
            </w:r>
          </w:p>
        </w:tc>
        <w:tc>
          <w:tcPr>
            <w:tcW w:w="0" w:type="dxa"/>
            <w:vAlign w:val="bottom"/>
          </w:tcPr>
          <w:p>
            <w:pPr>
              <w:spacing w:after="0"/>
              <w:rPr>
                <w:sz w:val="1"/>
                <w:szCs w:val="1"/>
                <w:color w:val="auto"/>
              </w:rPr>
            </w:pPr>
          </w:p>
        </w:tc>
      </w:tr>
      <w:tr>
        <w:trPr>
          <w:trHeight w:val="220"/>
        </w:trPr>
        <w:tc>
          <w:tcPr>
            <w:tcW w:w="4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tax expense (benefit)</w:t>
            </w: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(924)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(11,915)</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2,319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(8,819)</w:t>
            </w:r>
          </w:p>
        </w:tc>
        <w:tc>
          <w:tcPr>
            <w:tcW w:w="0" w:type="dxa"/>
            <w:vAlign w:val="bottom"/>
          </w:tcPr>
          <w:p>
            <w:pPr>
              <w:spacing w:after="0"/>
              <w:rPr>
                <w:sz w:val="1"/>
                <w:szCs w:val="1"/>
                <w:color w:val="auto"/>
              </w:rPr>
            </w:pPr>
          </w:p>
        </w:tc>
      </w:tr>
      <w:tr>
        <w:trPr>
          <w:trHeight w:val="187"/>
        </w:trPr>
        <w:tc>
          <w:tcPr>
            <w:tcW w:w="4840" w:type="dxa"/>
            <w:vAlign w:val="bottom"/>
          </w:tcPr>
          <w:p>
            <w:pPr>
              <w:ind w:left="220"/>
              <w:spacing w:after="0" w:line="187" w:lineRule="exact"/>
              <w:rPr>
                <w:sz w:val="20"/>
                <w:szCs w:val="20"/>
                <w:color w:val="auto"/>
              </w:rPr>
            </w:pPr>
            <w:r>
              <w:rPr>
                <w:rFonts w:ascii="Arial" w:cs="Arial" w:eastAsia="Arial" w:hAnsi="Arial"/>
                <w:sz w:val="17"/>
                <w:szCs w:val="17"/>
                <w:b w:val="1"/>
                <w:bCs w:val="1"/>
                <w:color w:val="auto"/>
              </w:rPr>
              <w:t>Net income (loss)</w:t>
            </w:r>
          </w:p>
        </w:tc>
        <w:tc>
          <w:tcPr>
            <w:tcW w:w="14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w w:val="84"/>
              </w:rPr>
              <w:t>$</w:t>
            </w:r>
          </w:p>
        </w:tc>
        <w:tc>
          <w:tcPr>
            <w:tcW w:w="138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10,354</w:t>
            </w:r>
          </w:p>
        </w:tc>
        <w:tc>
          <w:tcPr>
            <w:tcW w:w="100" w:type="dxa"/>
            <w:vAlign w:val="bottom"/>
          </w:tcPr>
          <w:p>
            <w:pPr>
              <w:spacing w:after="0"/>
              <w:rPr>
                <w:sz w:val="16"/>
                <w:szCs w:val="16"/>
                <w:color w:val="auto"/>
              </w:rPr>
            </w:pPr>
          </w:p>
        </w:tc>
        <w:tc>
          <w:tcPr>
            <w:tcW w:w="360" w:type="dxa"/>
            <w:vAlign w:val="bottom"/>
            <w:tcBorders>
              <w:bottom w:val="single" w:sz="8" w:color="auto"/>
            </w:tcBorders>
          </w:tcPr>
          <w:p>
            <w:pPr>
              <w:jc w:val="right"/>
              <w:ind w:right="174"/>
              <w:spacing w:after="0" w:line="187" w:lineRule="exact"/>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(10,322)</w:t>
            </w:r>
          </w:p>
        </w:tc>
        <w:tc>
          <w:tcPr>
            <w:tcW w:w="120" w:type="dxa"/>
            <w:vAlign w:val="bottom"/>
          </w:tcPr>
          <w:p>
            <w:pPr>
              <w:spacing w:after="0"/>
              <w:rPr>
                <w:sz w:val="16"/>
                <w:szCs w:val="16"/>
                <w:color w:val="auto"/>
              </w:rPr>
            </w:pPr>
          </w:p>
        </w:tc>
        <w:tc>
          <w:tcPr>
            <w:tcW w:w="18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68,436</w:t>
            </w:r>
          </w:p>
        </w:tc>
        <w:tc>
          <w:tcPr>
            <w:tcW w:w="100" w:type="dxa"/>
            <w:vAlign w:val="bottom"/>
          </w:tcPr>
          <w:p>
            <w:pPr>
              <w:spacing w:after="0"/>
              <w:rPr>
                <w:sz w:val="16"/>
                <w:szCs w:val="16"/>
                <w:color w:val="auto"/>
              </w:rPr>
            </w:pPr>
          </w:p>
        </w:tc>
        <w:tc>
          <w:tcPr>
            <w:tcW w:w="340" w:type="dxa"/>
            <w:vAlign w:val="bottom"/>
            <w:tcBorders>
              <w:bottom w:val="single" w:sz="8" w:color="auto"/>
            </w:tcBorders>
          </w:tcPr>
          <w:p>
            <w:pPr>
              <w:jc w:val="right"/>
              <w:ind w:right="154"/>
              <w:spacing w:after="0" w:line="187" w:lineRule="exact"/>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(1,779)</w:t>
            </w:r>
          </w:p>
        </w:tc>
        <w:tc>
          <w:tcPr>
            <w:tcW w:w="0" w:type="dxa"/>
            <w:vAlign w:val="bottom"/>
          </w:tcPr>
          <w:p>
            <w:pPr>
              <w:spacing w:after="0"/>
              <w:rPr>
                <w:sz w:val="1"/>
                <w:szCs w:val="1"/>
                <w:color w:val="auto"/>
              </w:rPr>
            </w:pPr>
          </w:p>
        </w:tc>
      </w:tr>
      <w:tr>
        <w:trPr>
          <w:trHeight w:val="20"/>
        </w:trPr>
        <w:tc>
          <w:tcPr>
            <w:tcW w:w="48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48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20"/>
        </w:trPr>
        <w:tc>
          <w:tcPr>
            <w:tcW w:w="4840" w:type="dxa"/>
            <w:vAlign w:val="bottom"/>
          </w:tcPr>
          <w:p>
            <w:pPr>
              <w:ind w:left="20"/>
              <w:spacing w:after="0"/>
              <w:rPr>
                <w:sz w:val="20"/>
                <w:szCs w:val="20"/>
                <w:color w:val="auto"/>
              </w:rPr>
            </w:pPr>
            <w:r>
              <w:rPr>
                <w:rFonts w:ascii="Arial" w:cs="Arial" w:eastAsia="Arial" w:hAnsi="Arial"/>
                <w:sz w:val="17"/>
                <w:szCs w:val="17"/>
                <w:b w:val="1"/>
                <w:bCs w:val="1"/>
                <w:color w:val="auto"/>
              </w:rPr>
              <w:t>Earnings (loss) per share</w:t>
            </w: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8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Basic</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(0.20)</w:t>
            </w:r>
          </w:p>
        </w:tc>
        <w:tc>
          <w:tcPr>
            <w:tcW w:w="0" w:type="dxa"/>
            <w:vAlign w:val="bottom"/>
          </w:tcPr>
          <w:p>
            <w:pPr>
              <w:spacing w:after="0"/>
              <w:rPr>
                <w:sz w:val="1"/>
                <w:szCs w:val="1"/>
                <w:color w:val="auto"/>
              </w:rPr>
            </w:pPr>
          </w:p>
        </w:tc>
      </w:tr>
      <w:tr>
        <w:trPr>
          <w:trHeight w:val="220"/>
        </w:trPr>
        <w:tc>
          <w:tcPr>
            <w:tcW w:w="4840" w:type="dxa"/>
            <w:vAlign w:val="bottom"/>
          </w:tcPr>
          <w:p>
            <w:pPr>
              <w:ind w:left="140"/>
              <w:spacing w:after="0"/>
              <w:rPr>
                <w:sz w:val="20"/>
                <w:szCs w:val="20"/>
                <w:color w:val="auto"/>
              </w:rPr>
            </w:pPr>
            <w:r>
              <w:rPr>
                <w:rFonts w:ascii="Arial" w:cs="Arial" w:eastAsia="Arial" w:hAnsi="Arial"/>
                <w:sz w:val="17"/>
                <w:szCs w:val="17"/>
                <w:color w:val="auto"/>
              </w:rPr>
              <w:t>Diluted</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1.11</w:t>
            </w:r>
          </w:p>
        </w:tc>
        <w:tc>
          <w:tcPr>
            <w:tcW w:w="100" w:type="dxa"/>
            <w:vAlign w:val="bottom"/>
          </w:tcPr>
          <w:p>
            <w:pPr>
              <w:spacing w:after="0"/>
              <w:rPr>
                <w:sz w:val="19"/>
                <w:szCs w:val="19"/>
                <w:color w:val="auto"/>
              </w:rPr>
            </w:pPr>
          </w:p>
        </w:tc>
        <w:tc>
          <w:tcPr>
            <w:tcW w:w="360" w:type="dxa"/>
            <w:vAlign w:val="bottom"/>
          </w:tcPr>
          <w:p>
            <w:pPr>
              <w:jc w:val="right"/>
              <w:ind w:right="174"/>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(1.15)</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7.19</w:t>
            </w:r>
          </w:p>
        </w:tc>
        <w:tc>
          <w:tcPr>
            <w:tcW w:w="100" w:type="dxa"/>
            <w:vAlign w:val="bottom"/>
          </w:tcPr>
          <w:p>
            <w:pPr>
              <w:spacing w:after="0"/>
              <w:rPr>
                <w:sz w:val="19"/>
                <w:szCs w:val="19"/>
                <w:color w:val="auto"/>
              </w:rPr>
            </w:pP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(0.20)</w:t>
            </w:r>
          </w:p>
        </w:tc>
        <w:tc>
          <w:tcPr>
            <w:tcW w:w="0" w:type="dxa"/>
            <w:vAlign w:val="bottom"/>
          </w:tcPr>
          <w:p>
            <w:pPr>
              <w:spacing w:after="0"/>
              <w:rPr>
                <w:sz w:val="1"/>
                <w:szCs w:val="1"/>
                <w:color w:val="auto"/>
              </w:rPr>
            </w:pPr>
          </w:p>
        </w:tc>
      </w:tr>
      <w:tr>
        <w:trPr>
          <w:trHeight w:val="155"/>
        </w:trPr>
        <w:tc>
          <w:tcPr>
            <w:tcW w:w="48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4840" w:type="dxa"/>
            <w:vAlign w:val="bottom"/>
          </w:tcPr>
          <w:p>
            <w:pPr>
              <w:ind w:left="20"/>
              <w:spacing w:after="0"/>
              <w:rPr>
                <w:sz w:val="20"/>
                <w:szCs w:val="20"/>
                <w:color w:val="auto"/>
              </w:rPr>
            </w:pPr>
            <w:r>
              <w:rPr>
                <w:rFonts w:ascii="Arial" w:cs="Arial" w:eastAsia="Arial" w:hAnsi="Arial"/>
                <w:sz w:val="17"/>
                <w:szCs w:val="17"/>
                <w:b w:val="1"/>
                <w:bCs w:val="1"/>
                <w:color w:val="auto"/>
              </w:rPr>
              <w:t>Weighted average common shares outstanding</w:t>
            </w: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8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Basic</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9,257,089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8,999,544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9,236,221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8,844,637</w:t>
            </w:r>
          </w:p>
        </w:tc>
        <w:tc>
          <w:tcPr>
            <w:tcW w:w="0" w:type="dxa"/>
            <w:vAlign w:val="bottom"/>
          </w:tcPr>
          <w:p>
            <w:pPr>
              <w:spacing w:after="0"/>
              <w:rPr>
                <w:sz w:val="1"/>
                <w:szCs w:val="1"/>
                <w:color w:val="auto"/>
              </w:rPr>
            </w:pPr>
          </w:p>
        </w:tc>
      </w:tr>
      <w:tr>
        <w:trPr>
          <w:trHeight w:val="220"/>
        </w:trPr>
        <w:tc>
          <w:tcPr>
            <w:tcW w:w="4840" w:type="dxa"/>
            <w:vAlign w:val="bottom"/>
          </w:tcPr>
          <w:p>
            <w:pPr>
              <w:ind w:left="140"/>
              <w:spacing w:after="0"/>
              <w:rPr>
                <w:sz w:val="20"/>
                <w:szCs w:val="20"/>
                <w:color w:val="auto"/>
              </w:rPr>
            </w:pPr>
            <w:r>
              <w:rPr>
                <w:rFonts w:ascii="Arial" w:cs="Arial" w:eastAsia="Arial" w:hAnsi="Arial"/>
                <w:sz w:val="17"/>
                <w:szCs w:val="17"/>
                <w:color w:val="auto"/>
              </w:rPr>
              <w:t>Diluted</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9,366,606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8,999,544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9,514,202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8,844,637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accompanying notes are an integral part of these unaudited consolidated financial statements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354" w:right="339" w:bottom="1440" w:gutter="0" w:footer="0" w:header="0"/>
        </w:sectPr>
      </w:pPr>
    </w:p>
    <w:bookmarkStart w:id="6" w:name="page7"/>
    <w:bookmarkEnd w:id="6"/>
    <w:p>
      <w:pPr>
        <w:jc w:val="center"/>
        <w:ind w:left="340" w:right="2160"/>
        <w:spacing w:after="0" w:line="272" w:lineRule="auto"/>
        <w:rPr>
          <w:sz w:val="20"/>
          <w:szCs w:val="20"/>
          <w:color w:val="auto"/>
        </w:rPr>
      </w:pPr>
      <w:r>
        <w:rPr>
          <w:rFonts w:ascii="Arial" w:cs="Arial" w:eastAsia="Arial" w:hAnsi="Arial"/>
          <w:sz w:val="17"/>
          <w:szCs w:val="17"/>
          <w:b w:val="1"/>
          <w:bCs w:val="1"/>
          <w:color w:val="auto"/>
        </w:rPr>
        <w:t>OCWEN FINANCIAL CORPORATION AND SUBSIDIARIES UNAUDITED CONSOLIDATED STATEMENTS OF COMPREHENSIVE INCOME (LOSS) (Dollars in thousands)</w:t>
      </w: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840" w:type="dxa"/>
            <w:vAlign w:val="bottom"/>
          </w:tcPr>
          <w:p>
            <w:pPr>
              <w:spacing w:after="0"/>
              <w:rPr>
                <w:sz w:val="19"/>
                <w:szCs w:val="19"/>
                <w:color w:val="auto"/>
              </w:rPr>
            </w:pPr>
          </w:p>
        </w:tc>
        <w:tc>
          <w:tcPr>
            <w:tcW w:w="3260" w:type="dxa"/>
            <w:vAlign w:val="bottom"/>
            <w:gridSpan w:val="6"/>
          </w:tcPr>
          <w:p>
            <w:pPr>
              <w:ind w:left="160"/>
              <w:spacing w:after="0"/>
              <w:rPr>
                <w:sz w:val="20"/>
                <w:szCs w:val="20"/>
                <w:color w:val="auto"/>
              </w:rPr>
            </w:pPr>
            <w:r>
              <w:rPr>
                <w:rFonts w:ascii="Arial" w:cs="Arial" w:eastAsia="Arial" w:hAnsi="Arial"/>
                <w:sz w:val="17"/>
                <w:szCs w:val="17"/>
                <w:b w:val="1"/>
                <w:bCs w:val="1"/>
                <w:color w:val="auto"/>
              </w:rPr>
              <w:t>For the Three Months Ended June 30,</w:t>
            </w:r>
          </w:p>
        </w:tc>
        <w:tc>
          <w:tcPr>
            <w:tcW w:w="180" w:type="dxa"/>
            <w:vAlign w:val="bottom"/>
          </w:tcPr>
          <w:p>
            <w:pPr>
              <w:spacing w:after="0"/>
              <w:rPr>
                <w:sz w:val="19"/>
                <w:szCs w:val="19"/>
                <w:color w:val="auto"/>
              </w:rPr>
            </w:pPr>
          </w:p>
        </w:tc>
        <w:tc>
          <w:tcPr>
            <w:tcW w:w="2960" w:type="dxa"/>
            <w:vAlign w:val="bottom"/>
            <w:gridSpan w:val="4"/>
          </w:tcPr>
          <w:p>
            <w:pPr>
              <w:jc w:val="right"/>
              <w:ind w:right="194"/>
              <w:spacing w:after="0"/>
              <w:rPr>
                <w:sz w:val="20"/>
                <w:szCs w:val="20"/>
                <w:color w:val="auto"/>
              </w:rPr>
            </w:pPr>
            <w:r>
              <w:rPr>
                <w:rFonts w:ascii="Arial" w:cs="Arial" w:eastAsia="Arial" w:hAnsi="Arial"/>
                <w:sz w:val="17"/>
                <w:szCs w:val="17"/>
                <w:b w:val="1"/>
                <w:bCs w:val="1"/>
                <w:color w:val="auto"/>
                <w:w w:val="94"/>
              </w:rPr>
              <w:t>For the Six Months Ended June 30,</w:t>
            </w:r>
          </w:p>
        </w:tc>
      </w:tr>
      <w:tr>
        <w:trPr>
          <w:trHeight w:val="213"/>
        </w:trPr>
        <w:tc>
          <w:tcPr>
            <w:tcW w:w="4840" w:type="dxa"/>
            <w:vAlign w:val="bottom"/>
            <w:tcBorders>
              <w:bottom w:val="single" w:sz="8" w:color="CCEEFF"/>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2022</w:t>
            </w:r>
          </w:p>
        </w:tc>
        <w:tc>
          <w:tcPr>
            <w:tcW w:w="5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7"/>
                <w:szCs w:val="17"/>
                <w:b w:val="1"/>
                <w:bCs w:val="1"/>
                <w:color w:val="auto"/>
              </w:rPr>
              <w:t>2021</w:t>
            </w:r>
          </w:p>
        </w:tc>
        <w:tc>
          <w:tcPr>
            <w:tcW w:w="1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7"/>
                <w:szCs w:val="17"/>
                <w:b w:val="1"/>
                <w:bCs w:val="1"/>
                <w:color w:val="auto"/>
              </w:rPr>
              <w:t>2021</w:t>
            </w:r>
          </w:p>
        </w:tc>
      </w:tr>
      <w:tr>
        <w:trPr>
          <w:trHeight w:val="213"/>
        </w:trPr>
        <w:tc>
          <w:tcPr>
            <w:tcW w:w="4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 (loss)</w:t>
            </w:r>
          </w:p>
        </w:tc>
        <w:tc>
          <w:tcPr>
            <w:tcW w:w="960" w:type="dxa"/>
            <w:vAlign w:val="bottom"/>
            <w:shd w:val="clear" w:color="auto" w:fill="CCEEFF"/>
          </w:tcPr>
          <w:p>
            <w:pPr>
              <w:jc w:val="right"/>
              <w:ind w:right="774"/>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10,354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(10,322)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68,436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(1,779)</w:t>
            </w:r>
          </w:p>
        </w:tc>
      </w:tr>
      <w:tr>
        <w:trPr>
          <w:trHeight w:val="155"/>
        </w:trPr>
        <w:tc>
          <w:tcPr>
            <w:tcW w:w="48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220"/>
        </w:trPr>
        <w:tc>
          <w:tcPr>
            <w:tcW w:w="4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comprehensive income (loss), net of income taxes:</w:t>
            </w: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0"/>
        </w:trPr>
        <w:tc>
          <w:tcPr>
            <w:tcW w:w="4840" w:type="dxa"/>
            <w:vAlign w:val="bottom"/>
          </w:tcPr>
          <w:p>
            <w:pPr>
              <w:ind w:left="140"/>
              <w:spacing w:after="0"/>
              <w:rPr>
                <w:sz w:val="20"/>
                <w:szCs w:val="20"/>
                <w:color w:val="auto"/>
              </w:rPr>
            </w:pPr>
            <w:r>
              <w:rPr>
                <w:rFonts w:ascii="Arial" w:cs="Arial" w:eastAsia="Arial" w:hAnsi="Arial"/>
                <w:sz w:val="17"/>
                <w:szCs w:val="17"/>
                <w:color w:val="auto"/>
              </w:rPr>
              <w:t>Change in unfunded pension plan obligation liability</w:t>
            </w:r>
          </w:p>
        </w:tc>
        <w:tc>
          <w:tcPr>
            <w:tcW w:w="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91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(367)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182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(733)</w:t>
            </w:r>
          </w:p>
        </w:tc>
      </w:tr>
      <w:tr>
        <w:trPr>
          <w:trHeight w:val="220"/>
        </w:trPr>
        <w:tc>
          <w:tcPr>
            <w:tcW w:w="48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Other</w:t>
            </w:r>
          </w:p>
        </w:tc>
        <w:tc>
          <w:tcPr>
            <w:tcW w:w="9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w:t>
            </w:r>
          </w:p>
        </w:tc>
      </w:tr>
      <w:tr>
        <w:trPr>
          <w:trHeight w:val="213"/>
        </w:trPr>
        <w:tc>
          <w:tcPr>
            <w:tcW w:w="4840" w:type="dxa"/>
            <w:vAlign w:val="bottom"/>
          </w:tcPr>
          <w:p>
            <w:pPr>
              <w:ind w:left="20"/>
              <w:spacing w:after="0"/>
              <w:rPr>
                <w:sz w:val="20"/>
                <w:szCs w:val="20"/>
                <w:color w:val="auto"/>
              </w:rPr>
            </w:pPr>
            <w:r>
              <w:rPr>
                <w:rFonts w:ascii="Arial" w:cs="Arial" w:eastAsia="Arial" w:hAnsi="Arial"/>
                <w:sz w:val="17"/>
                <w:szCs w:val="17"/>
                <w:color w:val="auto"/>
              </w:rPr>
              <w:t>Comprehensive income (loss)</w:t>
            </w:r>
          </w:p>
        </w:tc>
        <w:tc>
          <w:tcPr>
            <w:tcW w:w="960" w:type="dxa"/>
            <w:vAlign w:val="bottom"/>
            <w:tcBorders>
              <w:bottom w:val="single" w:sz="8" w:color="auto"/>
            </w:tcBorders>
          </w:tcPr>
          <w:p>
            <w:pPr>
              <w:jc w:val="right"/>
              <w:ind w:right="774"/>
              <w:spacing w:after="0"/>
              <w:rPr>
                <w:sz w:val="20"/>
                <w:szCs w:val="20"/>
                <w:color w:val="auto"/>
              </w:rPr>
            </w:pPr>
            <w:r>
              <w:rPr>
                <w:rFonts w:ascii="Arial" w:cs="Arial" w:eastAsia="Arial" w:hAnsi="Arial"/>
                <w:sz w:val="17"/>
                <w:szCs w:val="17"/>
                <w:color w:val="auto"/>
                <w:w w:val="84"/>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2"/>
              </w:rPr>
              <w:t>10,464</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(10,667)</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68,661</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(2,467)</w:t>
            </w:r>
          </w:p>
        </w:tc>
      </w:tr>
      <w:tr>
        <w:trPr>
          <w:trHeight w:val="20"/>
        </w:trPr>
        <w:tc>
          <w:tcPr>
            <w:tcW w:w="48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accompanying notes are an integral part of these unaudited consolidated financial statements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354" w:right="339" w:bottom="1440" w:gutter="0" w:footer="0" w:header="0"/>
        </w:sectPr>
      </w:pPr>
    </w:p>
    <w:bookmarkStart w:id="7" w:name="page8"/>
    <w:bookmarkEnd w:id="7"/>
    <w:p>
      <w:pPr>
        <w:jc w:val="center"/>
        <w:spacing w:after="0" w:line="266" w:lineRule="auto"/>
        <w:rPr>
          <w:sz w:val="20"/>
          <w:szCs w:val="20"/>
          <w:color w:val="auto"/>
        </w:rPr>
      </w:pPr>
      <w:r>
        <w:rPr>
          <w:rFonts w:ascii="Arial" w:cs="Arial" w:eastAsia="Arial" w:hAnsi="Arial"/>
          <w:sz w:val="17"/>
          <w:szCs w:val="17"/>
          <w:b w:val="1"/>
          <w:bCs w:val="1"/>
          <w:color w:val="auto"/>
        </w:rPr>
        <w:t>OCWEN FINANCIAL CORPORATION AND SUBSIDIARIES UNAUDITED CONSOLIDATED STATEMENTS OF CHANGES IN EQUITY FOR THE THREE MONTHS ENDED JUNE 30, 2022 AND 2021 (Dollars in thousands)</w:t>
      </w: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7"/>
              </w:rPr>
              <w:t>Accumulated</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4000" w:type="dxa"/>
            <w:vAlign w:val="bottom"/>
          </w:tcPr>
          <w:p>
            <w:pPr>
              <w:spacing w:after="0"/>
              <w:rPr>
                <w:sz w:val="13"/>
                <w:szCs w:val="13"/>
                <w:color w:val="auto"/>
              </w:rPr>
            </w:pPr>
          </w:p>
        </w:tc>
        <w:tc>
          <w:tcPr>
            <w:tcW w:w="2080" w:type="dxa"/>
            <w:vAlign w:val="bottom"/>
            <w:gridSpan w:val="3"/>
            <w:vMerge w:val="restart"/>
          </w:tcPr>
          <w:p>
            <w:pPr>
              <w:jc w:val="right"/>
              <w:ind w:right="322"/>
              <w:spacing w:after="0"/>
              <w:rPr>
                <w:sz w:val="20"/>
                <w:szCs w:val="20"/>
                <w:color w:val="auto"/>
              </w:rPr>
            </w:pPr>
            <w:r>
              <w:rPr>
                <w:rFonts w:ascii="Arial" w:cs="Arial" w:eastAsia="Arial" w:hAnsi="Arial"/>
                <w:sz w:val="16"/>
                <w:szCs w:val="16"/>
                <w:b w:val="1"/>
                <w:bCs w:val="1"/>
                <w:color w:val="auto"/>
              </w:rPr>
              <w:t>Common Stock</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vMerge w:val="restart"/>
          </w:tcPr>
          <w:p>
            <w:pPr>
              <w:jc w:val="center"/>
              <w:ind w:right="180"/>
              <w:spacing w:after="0"/>
              <w:rPr>
                <w:sz w:val="20"/>
                <w:szCs w:val="20"/>
                <w:color w:val="auto"/>
              </w:rPr>
            </w:pPr>
            <w:r>
              <w:rPr>
                <w:rFonts w:ascii="Arial" w:cs="Arial" w:eastAsia="Arial" w:hAnsi="Arial"/>
                <w:sz w:val="16"/>
                <w:szCs w:val="16"/>
                <w:b w:val="1"/>
                <w:bCs w:val="1"/>
                <w:color w:val="auto"/>
                <w:w w:val="86"/>
              </w:rPr>
              <w:t>(Accumulated</w:t>
            </w:r>
          </w:p>
        </w:tc>
        <w:tc>
          <w:tcPr>
            <w:tcW w:w="100" w:type="dxa"/>
            <w:vAlign w:val="bottom"/>
          </w:tcPr>
          <w:p>
            <w:pPr>
              <w:spacing w:after="0"/>
              <w:rPr>
                <w:sz w:val="13"/>
                <w:szCs w:val="13"/>
                <w:color w:val="auto"/>
              </w:rPr>
            </w:pPr>
          </w:p>
        </w:tc>
        <w:tc>
          <w:tcPr>
            <w:tcW w:w="1120" w:type="dxa"/>
            <w:vAlign w:val="bottom"/>
            <w:gridSpan w:val="2"/>
          </w:tcPr>
          <w:p>
            <w:pPr>
              <w:jc w:val="center"/>
              <w:ind w:right="160"/>
              <w:spacing w:after="0" w:line="155" w:lineRule="exact"/>
              <w:rPr>
                <w:sz w:val="20"/>
                <w:szCs w:val="20"/>
                <w:color w:val="auto"/>
              </w:rPr>
            </w:pPr>
            <w:r>
              <w:rPr>
                <w:rFonts w:ascii="Arial" w:cs="Arial" w:eastAsia="Arial" w:hAnsi="Arial"/>
                <w:sz w:val="16"/>
                <w:szCs w:val="16"/>
                <w:b w:val="1"/>
                <w:bCs w:val="1"/>
                <w:color w:val="auto"/>
                <w:w w:val="93"/>
              </w:rPr>
              <w:t>Other</w:t>
            </w: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000" w:type="dxa"/>
            <w:vAlign w:val="bottom"/>
          </w:tcPr>
          <w:p>
            <w:pPr>
              <w:spacing w:after="0"/>
              <w:rPr>
                <w:sz w:val="13"/>
                <w:szCs w:val="13"/>
                <w:color w:val="auto"/>
              </w:rPr>
            </w:pPr>
          </w:p>
        </w:tc>
        <w:tc>
          <w:tcPr>
            <w:tcW w:w="2080" w:type="dxa"/>
            <w:vAlign w:val="bottom"/>
            <w:tcBorders>
              <w:bottom w:val="single" w:sz="8" w:color="auto"/>
            </w:tcBorders>
            <w:gridSpan w:val="3"/>
            <w:vMerge w:val="continue"/>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1220" w:type="dxa"/>
            <w:vAlign w:val="bottom"/>
            <w:gridSpan w:val="3"/>
          </w:tcPr>
          <w:p>
            <w:pPr>
              <w:jc w:val="center"/>
              <w:ind w:right="60"/>
              <w:spacing w:after="0" w:line="135" w:lineRule="exact"/>
              <w:rPr>
                <w:sz w:val="20"/>
                <w:szCs w:val="20"/>
                <w:color w:val="auto"/>
              </w:rPr>
            </w:pPr>
            <w:r>
              <w:rPr>
                <w:rFonts w:ascii="Arial" w:cs="Arial" w:eastAsia="Arial" w:hAnsi="Arial"/>
                <w:sz w:val="14"/>
                <w:szCs w:val="14"/>
                <w:b w:val="1"/>
                <w:bCs w:val="1"/>
                <w:color w:val="auto"/>
                <w:w w:val="98"/>
              </w:rPr>
              <w:t>Comprehensive</w:t>
            </w: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w w:val="96"/>
              </w:rPr>
              <w:t>Additional Paid-</w:t>
            </w:r>
          </w:p>
        </w:tc>
        <w:tc>
          <w:tcPr>
            <w:tcW w:w="100" w:type="dxa"/>
            <w:vAlign w:val="bottom"/>
          </w:tcPr>
          <w:p>
            <w:pPr>
              <w:spacing w:after="0"/>
              <w:rPr>
                <w:sz w:val="11"/>
                <w:szCs w:val="11"/>
                <w:color w:val="auto"/>
              </w:rPr>
            </w:pPr>
          </w:p>
        </w:tc>
        <w:tc>
          <w:tcPr>
            <w:tcW w:w="110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rPr>
              <w:t>Deficit)</w:t>
            </w:r>
          </w:p>
        </w:tc>
        <w:tc>
          <w:tcPr>
            <w:tcW w:w="1220" w:type="dxa"/>
            <w:vAlign w:val="bottom"/>
            <w:gridSpan w:val="3"/>
          </w:tcPr>
          <w:p>
            <w:pPr>
              <w:jc w:val="center"/>
              <w:ind w:right="80"/>
              <w:spacing w:after="0" w:line="135" w:lineRule="exact"/>
              <w:rPr>
                <w:sz w:val="20"/>
                <w:szCs w:val="20"/>
                <w:color w:val="auto"/>
              </w:rPr>
            </w:pPr>
            <w:r>
              <w:rPr>
                <w:rFonts w:ascii="Arial" w:cs="Arial" w:eastAsia="Arial" w:hAnsi="Arial"/>
                <w:sz w:val="14"/>
                <w:szCs w:val="14"/>
                <w:b w:val="1"/>
                <w:bCs w:val="1"/>
                <w:color w:val="auto"/>
                <w:w w:val="99"/>
              </w:rPr>
              <w:t>Income (Loss),</w:t>
            </w: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4000" w:type="dxa"/>
            <w:vAlign w:val="bottom"/>
          </w:tcPr>
          <w:p>
            <w:pPr>
              <w:spacing w:after="0"/>
              <w:rPr>
                <w:sz w:val="13"/>
                <w:szCs w:val="13"/>
                <w:color w:val="auto"/>
              </w:rPr>
            </w:pPr>
          </w:p>
        </w:tc>
        <w:tc>
          <w:tcPr>
            <w:tcW w:w="1220" w:type="dxa"/>
            <w:vAlign w:val="bottom"/>
            <w:gridSpan w:val="2"/>
            <w:vMerge w:val="restart"/>
          </w:tcPr>
          <w:p>
            <w:pPr>
              <w:ind w:left="340"/>
              <w:spacing w:after="0"/>
              <w:rPr>
                <w:sz w:val="20"/>
                <w:szCs w:val="20"/>
                <w:color w:val="auto"/>
              </w:rPr>
            </w:pPr>
            <w:r>
              <w:rPr>
                <w:rFonts w:ascii="Arial" w:cs="Arial" w:eastAsia="Arial" w:hAnsi="Arial"/>
                <w:sz w:val="16"/>
                <w:szCs w:val="16"/>
                <w:b w:val="1"/>
                <w:bCs w:val="1"/>
                <w:color w:val="auto"/>
              </w:rPr>
              <w:t>Shares</w:t>
            </w:r>
          </w:p>
        </w:tc>
        <w:tc>
          <w:tcPr>
            <w:tcW w:w="8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Amount</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center"/>
              <w:ind w:right="180"/>
              <w:spacing w:after="0" w:line="155" w:lineRule="exact"/>
              <w:rPr>
                <w:sz w:val="20"/>
                <w:szCs w:val="20"/>
                <w:color w:val="auto"/>
              </w:rPr>
            </w:pPr>
            <w:r>
              <w:rPr>
                <w:rFonts w:ascii="Arial" w:cs="Arial" w:eastAsia="Arial" w:hAnsi="Arial"/>
                <w:sz w:val="16"/>
                <w:szCs w:val="16"/>
                <w:b w:val="1"/>
                <w:bCs w:val="1"/>
                <w:color w:val="auto"/>
                <w:w w:val="88"/>
              </w:rPr>
              <w:t>Retained</w:t>
            </w:r>
          </w:p>
        </w:tc>
        <w:tc>
          <w:tcPr>
            <w:tcW w:w="100" w:type="dxa"/>
            <w:vAlign w:val="bottom"/>
          </w:tcPr>
          <w:p>
            <w:pPr>
              <w:spacing w:after="0"/>
              <w:rPr>
                <w:sz w:val="13"/>
                <w:szCs w:val="13"/>
                <w:color w:val="auto"/>
              </w:rPr>
            </w:pPr>
          </w:p>
        </w:tc>
        <w:tc>
          <w:tcPr>
            <w:tcW w:w="1120" w:type="dxa"/>
            <w:vAlign w:val="bottom"/>
            <w:gridSpan w:val="2"/>
          </w:tcPr>
          <w:p>
            <w:pPr>
              <w:jc w:val="center"/>
              <w:ind w:right="160"/>
              <w:spacing w:after="0" w:line="155" w:lineRule="exact"/>
              <w:rPr>
                <w:sz w:val="20"/>
                <w:szCs w:val="20"/>
                <w:color w:val="auto"/>
              </w:rPr>
            </w:pPr>
            <w:r>
              <w:rPr>
                <w:rFonts w:ascii="Arial" w:cs="Arial" w:eastAsia="Arial" w:hAnsi="Arial"/>
                <w:sz w:val="16"/>
                <w:szCs w:val="16"/>
                <w:b w:val="1"/>
                <w:bCs w:val="1"/>
                <w:color w:val="auto"/>
                <w:w w:val="86"/>
              </w:rPr>
              <w:t>Net of Income</w:t>
            </w:r>
          </w:p>
        </w:tc>
        <w:tc>
          <w:tcPr>
            <w:tcW w:w="240" w:type="dxa"/>
            <w:vAlign w:val="bottom"/>
          </w:tcPr>
          <w:p>
            <w:pPr>
              <w:spacing w:after="0"/>
              <w:rPr>
                <w:sz w:val="13"/>
                <w:szCs w:val="13"/>
                <w:color w:val="auto"/>
              </w:rPr>
            </w:pPr>
          </w:p>
        </w:tc>
        <w:tc>
          <w:tcPr>
            <w:tcW w:w="900" w:type="dxa"/>
            <w:vAlign w:val="bottom"/>
            <w:vMerge w:val="restart"/>
          </w:tcPr>
          <w:p>
            <w:pPr>
              <w:jc w:val="right"/>
              <w:ind w:right="32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4"/>
        </w:trPr>
        <w:tc>
          <w:tcPr>
            <w:tcW w:w="400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ind w:left="80"/>
              <w:spacing w:after="0"/>
              <w:rPr>
                <w:sz w:val="20"/>
                <w:szCs w:val="20"/>
                <w:color w:val="auto"/>
              </w:rPr>
            </w:pPr>
            <w:r>
              <w:rPr>
                <w:rFonts w:ascii="Arial" w:cs="Arial" w:eastAsia="Arial" w:hAnsi="Arial"/>
                <w:sz w:val="16"/>
                <w:szCs w:val="16"/>
                <w:b w:val="1"/>
                <w:bCs w:val="1"/>
                <w:color w:val="auto"/>
              </w:rPr>
              <w:t>in Capital</w:t>
            </w:r>
          </w:p>
        </w:tc>
        <w:tc>
          <w:tcPr>
            <w:tcW w:w="100" w:type="dxa"/>
            <w:vAlign w:val="bottom"/>
          </w:tcPr>
          <w:p>
            <w:pPr>
              <w:spacing w:after="0"/>
              <w:rPr>
                <w:sz w:val="17"/>
                <w:szCs w:val="17"/>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7"/>
              </w:rPr>
              <w:t>Earnings</w:t>
            </w:r>
          </w:p>
        </w:tc>
        <w:tc>
          <w:tcPr>
            <w:tcW w:w="100" w:type="dxa"/>
            <w:vAlign w:val="bottom"/>
          </w:tcPr>
          <w:p>
            <w:pPr>
              <w:spacing w:after="0"/>
              <w:rPr>
                <w:sz w:val="17"/>
                <w:szCs w:val="17"/>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3"/>
              </w:rPr>
              <w:t>Taxes</w:t>
            </w:r>
          </w:p>
        </w:tc>
        <w:tc>
          <w:tcPr>
            <w:tcW w:w="24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00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6"/>
                <w:szCs w:val="16"/>
                <w:b w:val="1"/>
                <w:bCs w:val="1"/>
                <w:color w:val="auto"/>
              </w:rPr>
              <w:t>Balance at March 31, 2022</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9,243,658</w:t>
            </w:r>
          </w:p>
        </w:tc>
        <w:tc>
          <w:tcPr>
            <w:tcW w:w="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ind w:right="682"/>
              <w:spacing w:after="0"/>
              <w:rPr>
                <w:sz w:val="20"/>
                <w:szCs w:val="20"/>
                <w:color w:val="auto"/>
              </w:rPr>
            </w:pPr>
            <w:r>
              <w:rPr>
                <w:rFonts w:ascii="Arial" w:cs="Arial" w:eastAsia="Arial" w:hAnsi="Arial"/>
                <w:sz w:val="16"/>
                <w:szCs w:val="16"/>
                <w:color w:val="auto"/>
                <w:w w:val="89"/>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591,811</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(55,522)</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(2,251)</w:t>
            </w: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534,130</w:t>
            </w:r>
          </w:p>
        </w:tc>
        <w:tc>
          <w:tcPr>
            <w:tcW w:w="0" w:type="dxa"/>
            <w:vAlign w:val="bottom"/>
          </w:tcPr>
          <w:p>
            <w:pPr>
              <w:spacing w:after="0"/>
              <w:rPr>
                <w:sz w:val="1"/>
                <w:szCs w:val="1"/>
                <w:color w:val="auto"/>
              </w:rPr>
            </w:pPr>
          </w:p>
        </w:tc>
      </w:tr>
      <w:tr>
        <w:trPr>
          <w:trHeight w:val="204"/>
        </w:trPr>
        <w:tc>
          <w:tcPr>
            <w:tcW w:w="4000" w:type="dxa"/>
            <w:vAlign w:val="bottom"/>
          </w:tcPr>
          <w:p>
            <w:pPr>
              <w:ind w:left="220"/>
              <w:spacing w:after="0"/>
              <w:rPr>
                <w:sz w:val="20"/>
                <w:szCs w:val="20"/>
                <w:color w:val="auto"/>
              </w:rPr>
            </w:pPr>
            <w:r>
              <w:rPr>
                <w:rFonts w:ascii="Arial" w:cs="Arial" w:eastAsia="Arial" w:hAnsi="Arial"/>
                <w:sz w:val="16"/>
                <w:szCs w:val="16"/>
                <w:color w:val="auto"/>
              </w:rPr>
              <w:t>Net income</w:t>
            </w:r>
          </w:p>
        </w:tc>
        <w:tc>
          <w:tcPr>
            <w:tcW w:w="12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60" w:type="dxa"/>
            <w:vAlign w:val="bottom"/>
          </w:tcPr>
          <w:p>
            <w:pPr>
              <w:spacing w:after="0"/>
              <w:rPr>
                <w:sz w:val="17"/>
                <w:szCs w:val="17"/>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10,354</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10,354</w:t>
            </w:r>
          </w:p>
        </w:tc>
        <w:tc>
          <w:tcPr>
            <w:tcW w:w="0" w:type="dxa"/>
            <w:vAlign w:val="bottom"/>
          </w:tcPr>
          <w:p>
            <w:pPr>
              <w:spacing w:after="0"/>
              <w:rPr>
                <w:sz w:val="1"/>
                <w:szCs w:val="1"/>
                <w:color w:val="auto"/>
              </w:rPr>
            </w:pPr>
          </w:p>
        </w:tc>
      </w:tr>
      <w:tr>
        <w:trPr>
          <w:trHeight w:val="210"/>
        </w:trPr>
        <w:tc>
          <w:tcPr>
            <w:tcW w:w="40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Repurchase of common stock</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(84,087)</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(2,262)</w:t>
            </w:r>
          </w:p>
        </w:tc>
        <w:tc>
          <w:tcPr>
            <w:tcW w:w="0" w:type="dxa"/>
            <w:vAlign w:val="bottom"/>
          </w:tcPr>
          <w:p>
            <w:pPr>
              <w:spacing w:after="0"/>
              <w:rPr>
                <w:sz w:val="1"/>
                <w:szCs w:val="1"/>
                <w:color w:val="auto"/>
              </w:rPr>
            </w:pPr>
          </w:p>
        </w:tc>
      </w:tr>
      <w:tr>
        <w:trPr>
          <w:trHeight w:val="204"/>
        </w:trPr>
        <w:tc>
          <w:tcPr>
            <w:tcW w:w="4000" w:type="dxa"/>
            <w:vAlign w:val="bottom"/>
          </w:tcPr>
          <w:p>
            <w:pPr>
              <w:ind w:left="220"/>
              <w:spacing w:after="0"/>
              <w:rPr>
                <w:sz w:val="20"/>
                <w:szCs w:val="20"/>
                <w:color w:val="auto"/>
              </w:rPr>
            </w:pPr>
            <w:r>
              <w:rPr>
                <w:rFonts w:ascii="Arial" w:cs="Arial" w:eastAsia="Arial" w:hAnsi="Arial"/>
                <w:sz w:val="16"/>
                <w:szCs w:val="16"/>
                <w:color w:val="auto"/>
              </w:rPr>
              <w:t>Equity-based compensation and other</w:t>
            </w:r>
          </w:p>
        </w:tc>
        <w:tc>
          <w:tcPr>
            <w:tcW w:w="1140" w:type="dxa"/>
            <w:vAlign w:val="bottom"/>
          </w:tcPr>
          <w:p>
            <w:pPr>
              <w:jc w:val="right"/>
              <w:spacing w:after="0"/>
              <w:rPr>
                <w:sz w:val="20"/>
                <w:szCs w:val="20"/>
                <w:color w:val="auto"/>
              </w:rPr>
            </w:pPr>
            <w:r>
              <w:rPr>
                <w:rFonts w:ascii="Arial" w:cs="Arial" w:eastAsia="Arial" w:hAnsi="Arial"/>
                <w:sz w:val="16"/>
                <w:szCs w:val="16"/>
                <w:color w:val="auto"/>
              </w:rPr>
              <w:t>29,434</w:t>
            </w: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1,582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1,583</w:t>
            </w:r>
          </w:p>
        </w:tc>
        <w:tc>
          <w:tcPr>
            <w:tcW w:w="0" w:type="dxa"/>
            <w:vAlign w:val="bottom"/>
          </w:tcPr>
          <w:p>
            <w:pPr>
              <w:spacing w:after="0"/>
              <w:rPr>
                <w:sz w:val="1"/>
                <w:szCs w:val="1"/>
                <w:color w:val="auto"/>
              </w:rPr>
            </w:pPr>
          </w:p>
        </w:tc>
      </w:tr>
      <w:tr>
        <w:trPr>
          <w:trHeight w:val="207"/>
        </w:trPr>
        <w:tc>
          <w:tcPr>
            <w:tcW w:w="40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comprehensive income, net of income taxes</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0" w:type="dxa"/>
            <w:vAlign w:val="bottom"/>
          </w:tcPr>
          <w:p>
            <w:pPr>
              <w:spacing w:after="0"/>
              <w:rPr>
                <w:sz w:val="1"/>
                <w:szCs w:val="1"/>
                <w:color w:val="auto"/>
              </w:rPr>
            </w:pPr>
          </w:p>
        </w:tc>
      </w:tr>
      <w:tr>
        <w:trPr>
          <w:trHeight w:val="202"/>
        </w:trPr>
        <w:tc>
          <w:tcPr>
            <w:tcW w:w="4000" w:type="dxa"/>
            <w:vAlign w:val="bottom"/>
          </w:tcPr>
          <w:p>
            <w:pPr>
              <w:ind w:left="140"/>
              <w:spacing w:after="0"/>
              <w:rPr>
                <w:sz w:val="20"/>
                <w:szCs w:val="20"/>
                <w:color w:val="auto"/>
              </w:rPr>
            </w:pPr>
            <w:r>
              <w:rPr>
                <w:rFonts w:ascii="Arial" w:cs="Arial" w:eastAsia="Arial" w:hAnsi="Arial"/>
                <w:sz w:val="16"/>
                <w:szCs w:val="16"/>
                <w:b w:val="1"/>
                <w:bCs w:val="1"/>
                <w:color w:val="auto"/>
              </w:rPr>
              <w:t>Balance at June 30, 2022</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9,189,005</w:t>
            </w:r>
          </w:p>
        </w:tc>
        <w:tc>
          <w:tcPr>
            <w:tcW w:w="80" w:type="dxa"/>
            <w:vAlign w:val="bottom"/>
          </w:tcPr>
          <w:p>
            <w:pPr>
              <w:spacing w:after="0"/>
              <w:rPr>
                <w:sz w:val="17"/>
                <w:szCs w:val="17"/>
                <w:color w:val="auto"/>
              </w:rPr>
            </w:pPr>
          </w:p>
        </w:tc>
        <w:tc>
          <w:tcPr>
            <w:tcW w:w="860" w:type="dxa"/>
            <w:vAlign w:val="bottom"/>
            <w:tcBorders>
              <w:top w:val="single" w:sz="8" w:color="auto"/>
              <w:bottom w:val="single" w:sz="8" w:color="auto"/>
            </w:tcBorders>
          </w:tcPr>
          <w:p>
            <w:pPr>
              <w:jc w:val="right"/>
              <w:ind w:right="682"/>
              <w:spacing w:after="0"/>
              <w:rPr>
                <w:sz w:val="20"/>
                <w:szCs w:val="20"/>
                <w:color w:val="auto"/>
              </w:rPr>
            </w:pPr>
            <w:r>
              <w:rPr>
                <w:rFonts w:ascii="Arial" w:cs="Arial" w:eastAsia="Arial" w:hAnsi="Arial"/>
                <w:sz w:val="16"/>
                <w:szCs w:val="16"/>
                <w:color w:val="auto"/>
                <w:w w:val="89"/>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92</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591,132</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(45,168)</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(2,141)</w:t>
            </w:r>
          </w:p>
        </w:tc>
        <w:tc>
          <w:tcPr>
            <w:tcW w:w="8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62"/>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543,915</w:t>
            </w:r>
          </w:p>
        </w:tc>
        <w:tc>
          <w:tcPr>
            <w:tcW w:w="0" w:type="dxa"/>
            <w:vAlign w:val="bottom"/>
          </w:tcPr>
          <w:p>
            <w:pPr>
              <w:spacing w:after="0"/>
              <w:rPr>
                <w:sz w:val="1"/>
                <w:szCs w:val="1"/>
                <w:color w:val="auto"/>
              </w:rPr>
            </w:pPr>
          </w:p>
        </w:tc>
      </w:tr>
      <w:tr>
        <w:trPr>
          <w:trHeight w:val="20"/>
        </w:trPr>
        <w:tc>
          <w:tcPr>
            <w:tcW w:w="40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0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4000" w:type="dxa"/>
            <w:vAlign w:val="bottom"/>
          </w:tcPr>
          <w:p>
            <w:pPr>
              <w:ind w:left="140"/>
              <w:spacing w:after="0"/>
              <w:rPr>
                <w:sz w:val="20"/>
                <w:szCs w:val="20"/>
                <w:color w:val="auto"/>
              </w:rPr>
            </w:pPr>
            <w:r>
              <w:rPr>
                <w:rFonts w:ascii="Arial" w:cs="Arial" w:eastAsia="Arial" w:hAnsi="Arial"/>
                <w:sz w:val="16"/>
                <w:szCs w:val="16"/>
                <w:b w:val="1"/>
                <w:bCs w:val="1"/>
                <w:color w:val="auto"/>
              </w:rPr>
              <w:t>Balance at March 31, 2021</w:t>
            </w:r>
          </w:p>
        </w:tc>
        <w:tc>
          <w:tcPr>
            <w:tcW w:w="1140" w:type="dxa"/>
            <w:vAlign w:val="bottom"/>
          </w:tcPr>
          <w:p>
            <w:pPr>
              <w:jc w:val="right"/>
              <w:spacing w:after="0"/>
              <w:rPr>
                <w:sz w:val="20"/>
                <w:szCs w:val="20"/>
                <w:color w:val="auto"/>
              </w:rPr>
            </w:pPr>
            <w:r>
              <w:rPr>
                <w:rFonts w:ascii="Arial" w:cs="Arial" w:eastAsia="Arial" w:hAnsi="Arial"/>
                <w:sz w:val="16"/>
                <w:szCs w:val="16"/>
                <w:color w:val="auto"/>
              </w:rPr>
              <w:t>8,701,530</w:t>
            </w:r>
          </w:p>
        </w:tc>
        <w:tc>
          <w:tcPr>
            <w:tcW w:w="80" w:type="dxa"/>
            <w:vAlign w:val="bottom"/>
          </w:tcPr>
          <w:p>
            <w:pPr>
              <w:spacing w:after="0"/>
              <w:rPr>
                <w:sz w:val="17"/>
                <w:szCs w:val="17"/>
                <w:color w:val="auto"/>
              </w:rPr>
            </w:pPr>
          </w:p>
        </w:tc>
        <w:tc>
          <w:tcPr>
            <w:tcW w:w="860" w:type="dxa"/>
            <w:vAlign w:val="bottom"/>
          </w:tcPr>
          <w:p>
            <w:pPr>
              <w:jc w:val="right"/>
              <w:ind w:right="682"/>
              <w:spacing w:after="0"/>
              <w:rPr>
                <w:sz w:val="20"/>
                <w:szCs w:val="20"/>
                <w:color w:val="auto"/>
              </w:rPr>
            </w:pPr>
            <w:r>
              <w:rPr>
                <w:rFonts w:ascii="Arial" w:cs="Arial" w:eastAsia="Arial" w:hAnsi="Arial"/>
                <w:sz w:val="16"/>
                <w:szCs w:val="16"/>
                <w:color w:val="auto"/>
                <w:w w:val="89"/>
              </w:rPr>
              <w:t>$</w:t>
            </w:r>
          </w:p>
        </w:tc>
        <w:tc>
          <w:tcPr>
            <w:tcW w:w="260" w:type="dxa"/>
            <w:vAlign w:val="bottom"/>
          </w:tcPr>
          <w:p>
            <w:pPr>
              <w:jc w:val="right"/>
              <w:spacing w:after="0"/>
              <w:rPr>
                <w:sz w:val="20"/>
                <w:szCs w:val="20"/>
                <w:color w:val="auto"/>
              </w:rPr>
            </w:pPr>
            <w:r>
              <w:rPr>
                <w:rFonts w:ascii="Arial" w:cs="Arial" w:eastAsia="Arial" w:hAnsi="Arial"/>
                <w:sz w:val="16"/>
                <w:szCs w:val="16"/>
                <w:color w:val="auto"/>
              </w:rPr>
              <w:t>87</w:t>
            </w:r>
          </w:p>
        </w:tc>
        <w:tc>
          <w:tcPr>
            <w:tcW w:w="80" w:type="dxa"/>
            <w:vAlign w:val="bottom"/>
          </w:tcPr>
          <w:p>
            <w:pPr>
              <w:spacing w:after="0"/>
              <w:rPr>
                <w:sz w:val="17"/>
                <w:szCs w:val="17"/>
                <w:color w:val="auto"/>
              </w:rPr>
            </w:pP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572,500</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(123,139)</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(9,438)</w:t>
            </w:r>
          </w:p>
        </w:tc>
        <w:tc>
          <w:tcPr>
            <w:tcW w:w="80" w:type="dxa"/>
            <w:vAlign w:val="bottom"/>
          </w:tcPr>
          <w:p>
            <w:pPr>
              <w:spacing w:after="0"/>
              <w:rPr>
                <w:sz w:val="17"/>
                <w:szCs w:val="17"/>
                <w:color w:val="auto"/>
              </w:rPr>
            </w:pPr>
          </w:p>
        </w:tc>
        <w:tc>
          <w:tcPr>
            <w:tcW w:w="240" w:type="dxa"/>
            <w:vAlign w:val="bottom"/>
          </w:tcPr>
          <w:p>
            <w:pPr>
              <w:jc w:val="right"/>
              <w:ind w:right="62"/>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440,010</w:t>
            </w:r>
          </w:p>
        </w:tc>
        <w:tc>
          <w:tcPr>
            <w:tcW w:w="0" w:type="dxa"/>
            <w:vAlign w:val="bottom"/>
          </w:tcPr>
          <w:p>
            <w:pPr>
              <w:spacing w:after="0"/>
              <w:rPr>
                <w:sz w:val="1"/>
                <w:szCs w:val="1"/>
                <w:color w:val="auto"/>
              </w:rPr>
            </w:pPr>
          </w:p>
        </w:tc>
      </w:tr>
      <w:tr>
        <w:trPr>
          <w:trHeight w:val="209"/>
        </w:trPr>
        <w:tc>
          <w:tcPr>
            <w:tcW w:w="40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Net loss</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(10,322)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(10,322)</w:t>
            </w:r>
          </w:p>
        </w:tc>
        <w:tc>
          <w:tcPr>
            <w:tcW w:w="0" w:type="dxa"/>
            <w:vAlign w:val="bottom"/>
          </w:tcPr>
          <w:p>
            <w:pPr>
              <w:spacing w:after="0"/>
              <w:rPr>
                <w:sz w:val="1"/>
                <w:szCs w:val="1"/>
                <w:color w:val="auto"/>
              </w:rPr>
            </w:pPr>
          </w:p>
        </w:tc>
      </w:tr>
      <w:tr>
        <w:trPr>
          <w:trHeight w:val="204"/>
        </w:trPr>
        <w:tc>
          <w:tcPr>
            <w:tcW w:w="4000" w:type="dxa"/>
            <w:vAlign w:val="bottom"/>
          </w:tcPr>
          <w:p>
            <w:pPr>
              <w:ind w:left="220"/>
              <w:spacing w:after="0"/>
              <w:rPr>
                <w:sz w:val="20"/>
                <w:szCs w:val="20"/>
                <w:color w:val="auto"/>
              </w:rPr>
            </w:pPr>
            <w:r>
              <w:rPr>
                <w:rFonts w:ascii="Arial" w:cs="Arial" w:eastAsia="Arial" w:hAnsi="Arial"/>
                <w:sz w:val="16"/>
                <w:szCs w:val="16"/>
                <w:color w:val="auto"/>
              </w:rPr>
              <w:t>Issuance of common stock</w:t>
            </w:r>
          </w:p>
        </w:tc>
        <w:tc>
          <w:tcPr>
            <w:tcW w:w="1140" w:type="dxa"/>
            <w:vAlign w:val="bottom"/>
          </w:tcPr>
          <w:p>
            <w:pPr>
              <w:jc w:val="right"/>
              <w:spacing w:after="0"/>
              <w:rPr>
                <w:sz w:val="20"/>
                <w:szCs w:val="20"/>
                <w:color w:val="auto"/>
              </w:rPr>
            </w:pPr>
            <w:r>
              <w:rPr>
                <w:rFonts w:ascii="Arial" w:cs="Arial" w:eastAsia="Arial" w:hAnsi="Arial"/>
                <w:sz w:val="16"/>
                <w:szCs w:val="16"/>
                <w:color w:val="auto"/>
              </w:rPr>
              <w:t>426,705</w:t>
            </w: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4</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12,165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12,169</w:t>
            </w:r>
          </w:p>
        </w:tc>
        <w:tc>
          <w:tcPr>
            <w:tcW w:w="0" w:type="dxa"/>
            <w:vAlign w:val="bottom"/>
          </w:tcPr>
          <w:p>
            <w:pPr>
              <w:spacing w:after="0"/>
              <w:rPr>
                <w:sz w:val="1"/>
                <w:szCs w:val="1"/>
                <w:color w:val="auto"/>
              </w:rPr>
            </w:pPr>
          </w:p>
        </w:tc>
      </w:tr>
      <w:tr>
        <w:trPr>
          <w:trHeight w:val="210"/>
        </w:trPr>
        <w:tc>
          <w:tcPr>
            <w:tcW w:w="4000" w:type="dxa"/>
            <w:vAlign w:val="bottom"/>
            <w:shd w:val="clear" w:color="auto" w:fill="CCEEFF"/>
          </w:tcPr>
          <w:p>
            <w:pPr>
              <w:ind w:left="220"/>
              <w:spacing w:after="0"/>
              <w:rPr>
                <w:sz w:val="20"/>
                <w:szCs w:val="20"/>
                <w:color w:val="auto"/>
              </w:rPr>
            </w:pPr>
            <w:r>
              <w:rPr>
                <w:rFonts w:ascii="Arial" w:cs="Arial" w:eastAsia="Arial" w:hAnsi="Arial"/>
                <w:sz w:val="16"/>
                <w:szCs w:val="16"/>
                <w:color w:val="auto"/>
                <w:w w:val="90"/>
              </w:rPr>
              <w:t>Issuance of common stock warrants, net of issuance costs</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4,203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4,203</w:t>
            </w:r>
          </w:p>
        </w:tc>
        <w:tc>
          <w:tcPr>
            <w:tcW w:w="0" w:type="dxa"/>
            <w:vAlign w:val="bottom"/>
          </w:tcPr>
          <w:p>
            <w:pPr>
              <w:spacing w:after="0"/>
              <w:rPr>
                <w:sz w:val="1"/>
                <w:szCs w:val="1"/>
                <w:color w:val="auto"/>
              </w:rPr>
            </w:pPr>
          </w:p>
        </w:tc>
      </w:tr>
      <w:tr>
        <w:trPr>
          <w:trHeight w:val="204"/>
        </w:trPr>
        <w:tc>
          <w:tcPr>
            <w:tcW w:w="4000" w:type="dxa"/>
            <w:vAlign w:val="bottom"/>
          </w:tcPr>
          <w:p>
            <w:pPr>
              <w:ind w:left="220"/>
              <w:spacing w:after="0"/>
              <w:rPr>
                <w:sz w:val="20"/>
                <w:szCs w:val="20"/>
                <w:color w:val="auto"/>
              </w:rPr>
            </w:pPr>
            <w:r>
              <w:rPr>
                <w:rFonts w:ascii="Arial" w:cs="Arial" w:eastAsia="Arial" w:hAnsi="Arial"/>
                <w:sz w:val="16"/>
                <w:szCs w:val="16"/>
                <w:color w:val="auto"/>
              </w:rPr>
              <w:t>Equity-based compensation and other</w:t>
            </w:r>
          </w:p>
        </w:tc>
        <w:tc>
          <w:tcPr>
            <w:tcW w:w="1140" w:type="dxa"/>
            <w:vAlign w:val="bottom"/>
          </w:tcPr>
          <w:p>
            <w:pPr>
              <w:jc w:val="right"/>
              <w:spacing w:after="0"/>
              <w:rPr>
                <w:sz w:val="20"/>
                <w:szCs w:val="20"/>
                <w:color w:val="auto"/>
              </w:rPr>
            </w:pPr>
            <w:r>
              <w:rPr>
                <w:rFonts w:ascii="Arial" w:cs="Arial" w:eastAsia="Arial" w:hAnsi="Arial"/>
                <w:sz w:val="16"/>
                <w:szCs w:val="16"/>
                <w:color w:val="auto"/>
              </w:rPr>
              <w:t>60,795</w:t>
            </w: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1,384</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1,385</w:t>
            </w:r>
          </w:p>
        </w:tc>
        <w:tc>
          <w:tcPr>
            <w:tcW w:w="0" w:type="dxa"/>
            <w:vAlign w:val="bottom"/>
          </w:tcPr>
          <w:p>
            <w:pPr>
              <w:spacing w:after="0"/>
              <w:rPr>
                <w:sz w:val="1"/>
                <w:szCs w:val="1"/>
                <w:color w:val="auto"/>
              </w:rPr>
            </w:pPr>
          </w:p>
        </w:tc>
      </w:tr>
      <w:tr>
        <w:trPr>
          <w:trHeight w:val="207"/>
        </w:trPr>
        <w:tc>
          <w:tcPr>
            <w:tcW w:w="40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comprehensive loss, net of income taxes</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(345)</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(345)</w:t>
            </w:r>
          </w:p>
        </w:tc>
        <w:tc>
          <w:tcPr>
            <w:tcW w:w="0" w:type="dxa"/>
            <w:vAlign w:val="bottom"/>
          </w:tcPr>
          <w:p>
            <w:pPr>
              <w:spacing w:after="0"/>
              <w:rPr>
                <w:sz w:val="1"/>
                <w:szCs w:val="1"/>
                <w:color w:val="auto"/>
              </w:rPr>
            </w:pPr>
          </w:p>
        </w:tc>
      </w:tr>
      <w:tr>
        <w:trPr>
          <w:trHeight w:val="203"/>
        </w:trPr>
        <w:tc>
          <w:tcPr>
            <w:tcW w:w="4000" w:type="dxa"/>
            <w:vAlign w:val="bottom"/>
          </w:tcPr>
          <w:p>
            <w:pPr>
              <w:ind w:left="140"/>
              <w:spacing w:after="0"/>
              <w:rPr>
                <w:sz w:val="20"/>
                <w:szCs w:val="20"/>
                <w:color w:val="auto"/>
              </w:rPr>
            </w:pPr>
            <w:r>
              <w:rPr>
                <w:rFonts w:ascii="Arial" w:cs="Arial" w:eastAsia="Arial" w:hAnsi="Arial"/>
                <w:sz w:val="16"/>
                <w:szCs w:val="16"/>
                <w:b w:val="1"/>
                <w:bCs w:val="1"/>
                <w:color w:val="auto"/>
              </w:rPr>
              <w:t>Balance at June 30, 2021</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9,189,030</w:t>
            </w:r>
          </w:p>
        </w:tc>
        <w:tc>
          <w:tcPr>
            <w:tcW w:w="80" w:type="dxa"/>
            <w:vAlign w:val="bottom"/>
          </w:tcPr>
          <w:p>
            <w:pPr>
              <w:spacing w:after="0"/>
              <w:rPr>
                <w:sz w:val="17"/>
                <w:szCs w:val="17"/>
                <w:color w:val="auto"/>
              </w:rPr>
            </w:pPr>
          </w:p>
        </w:tc>
        <w:tc>
          <w:tcPr>
            <w:tcW w:w="860" w:type="dxa"/>
            <w:vAlign w:val="bottom"/>
            <w:tcBorders>
              <w:top w:val="single" w:sz="8" w:color="auto"/>
              <w:bottom w:val="single" w:sz="8" w:color="auto"/>
            </w:tcBorders>
          </w:tcPr>
          <w:p>
            <w:pPr>
              <w:jc w:val="right"/>
              <w:ind w:right="682"/>
              <w:spacing w:after="0"/>
              <w:rPr>
                <w:sz w:val="20"/>
                <w:szCs w:val="20"/>
                <w:color w:val="auto"/>
              </w:rPr>
            </w:pPr>
            <w:r>
              <w:rPr>
                <w:rFonts w:ascii="Arial" w:cs="Arial" w:eastAsia="Arial" w:hAnsi="Arial"/>
                <w:sz w:val="16"/>
                <w:szCs w:val="16"/>
                <w:color w:val="auto"/>
                <w:w w:val="89"/>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92</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590,252</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(133,461)</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(9,783)</w:t>
            </w:r>
          </w:p>
        </w:tc>
        <w:tc>
          <w:tcPr>
            <w:tcW w:w="8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62"/>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447,100</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accompanying notes are an integral part of these unaudited consolidated financial statements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67945</wp:posOffset>
            </wp:positionV>
            <wp:extent cx="716343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40" w:top="974" w:right="359" w:bottom="1440" w:gutter="0" w:footer="0" w:header="0"/>
        </w:sectPr>
      </w:pPr>
    </w:p>
    <w:bookmarkStart w:id="8" w:name="page9"/>
    <w:bookmarkEnd w:id="8"/>
    <w:p>
      <w:pPr>
        <w:jc w:val="center"/>
        <w:ind w:left="360" w:right="2680"/>
        <w:spacing w:after="0" w:line="269" w:lineRule="auto"/>
        <w:rPr>
          <w:sz w:val="20"/>
          <w:szCs w:val="20"/>
          <w:color w:val="auto"/>
        </w:rPr>
      </w:pPr>
      <w:r>
        <w:rPr>
          <w:rFonts w:ascii="Arial" w:cs="Arial" w:eastAsia="Arial" w:hAnsi="Arial"/>
          <w:sz w:val="17"/>
          <w:szCs w:val="17"/>
          <w:b w:val="1"/>
          <w:bCs w:val="1"/>
          <w:color w:val="auto"/>
        </w:rPr>
        <w:t>OCWEN FINANCIAL CORPORATION AND SUBSIDIARIES UNAUDITED CONSOLIDATED STATEMENTS OF CHANGES IN EQUITY FOR THE SIX MONTHS ENDED JUNE 30, 2022 AND 2021 (Dollars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vMerge w:val="restart"/>
          </w:tcPr>
          <w:p>
            <w:pPr>
              <w:jc w:val="center"/>
              <w:ind w:right="160"/>
              <w:spacing w:after="0"/>
              <w:rPr>
                <w:sz w:val="20"/>
                <w:szCs w:val="20"/>
                <w:color w:val="auto"/>
              </w:rPr>
            </w:pPr>
            <w:r>
              <w:rPr>
                <w:rFonts w:ascii="Arial" w:cs="Arial" w:eastAsia="Arial" w:hAnsi="Arial"/>
                <w:sz w:val="16"/>
                <w:szCs w:val="16"/>
                <w:b w:val="1"/>
                <w:bCs w:val="1"/>
                <w:color w:val="auto"/>
                <w:w w:val="86"/>
              </w:rPr>
              <w:t>(Accumulated</w:t>
            </w:r>
          </w:p>
        </w:tc>
        <w:tc>
          <w:tcPr>
            <w:tcW w:w="100" w:type="dxa"/>
            <w:vAlign w:val="bottom"/>
          </w:tcPr>
          <w:p>
            <w:pPr>
              <w:spacing w:after="0"/>
              <w:rPr>
                <w:sz w:val="16"/>
                <w:szCs w:val="16"/>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5"/>
              </w:rPr>
              <w:t>Accumulated</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40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center"/>
              <w:ind w:right="180"/>
              <w:spacing w:after="0" w:line="155" w:lineRule="exact"/>
              <w:rPr>
                <w:sz w:val="20"/>
                <w:szCs w:val="20"/>
                <w:color w:val="auto"/>
              </w:rPr>
            </w:pPr>
            <w:r>
              <w:rPr>
                <w:rFonts w:ascii="Arial" w:cs="Arial" w:eastAsia="Arial" w:hAnsi="Arial"/>
                <w:sz w:val="16"/>
                <w:szCs w:val="16"/>
                <w:b w:val="1"/>
                <w:bCs w:val="1"/>
                <w:color w:val="auto"/>
                <w:w w:val="88"/>
              </w:rPr>
              <w:t>Other</w:t>
            </w: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000" w:type="dxa"/>
            <w:vAlign w:val="bottom"/>
          </w:tcPr>
          <w:p>
            <w:pPr>
              <w:spacing w:after="0"/>
              <w:rPr>
                <w:sz w:val="13"/>
                <w:szCs w:val="13"/>
                <w:color w:val="auto"/>
              </w:rPr>
            </w:pPr>
          </w:p>
        </w:tc>
        <w:tc>
          <w:tcPr>
            <w:tcW w:w="2080" w:type="dxa"/>
            <w:vAlign w:val="bottom"/>
            <w:gridSpan w:val="3"/>
            <w:vMerge w:val="restart"/>
          </w:tcPr>
          <w:p>
            <w:pPr>
              <w:jc w:val="right"/>
              <w:ind w:right="327"/>
              <w:spacing w:after="0"/>
              <w:rPr>
                <w:sz w:val="20"/>
                <w:szCs w:val="20"/>
                <w:color w:val="auto"/>
              </w:rPr>
            </w:pPr>
            <w:r>
              <w:rPr>
                <w:rFonts w:ascii="Arial" w:cs="Arial" w:eastAsia="Arial" w:hAnsi="Arial"/>
                <w:sz w:val="16"/>
                <w:szCs w:val="16"/>
                <w:b w:val="1"/>
                <w:bCs w:val="1"/>
                <w:color w:val="auto"/>
              </w:rPr>
              <w:t>Common Stock</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center"/>
              <w:ind w:right="160"/>
              <w:spacing w:after="0" w:line="155" w:lineRule="exact"/>
              <w:rPr>
                <w:sz w:val="20"/>
                <w:szCs w:val="20"/>
                <w:color w:val="auto"/>
              </w:rPr>
            </w:pPr>
            <w:r>
              <w:rPr>
                <w:rFonts w:ascii="Arial" w:cs="Arial" w:eastAsia="Arial" w:hAnsi="Arial"/>
                <w:sz w:val="16"/>
                <w:szCs w:val="16"/>
                <w:b w:val="1"/>
                <w:bCs w:val="1"/>
                <w:color w:val="auto"/>
                <w:w w:val="88"/>
              </w:rPr>
              <w:t>Deficit)</w:t>
            </w:r>
          </w:p>
        </w:tc>
        <w:tc>
          <w:tcPr>
            <w:tcW w:w="1220" w:type="dxa"/>
            <w:vAlign w:val="bottom"/>
            <w:gridSpan w:val="3"/>
          </w:tcPr>
          <w:p>
            <w:pPr>
              <w:jc w:val="center"/>
              <w:ind w:right="80"/>
              <w:spacing w:after="0" w:line="155" w:lineRule="exact"/>
              <w:rPr>
                <w:sz w:val="20"/>
                <w:szCs w:val="20"/>
                <w:color w:val="auto"/>
              </w:rPr>
            </w:pPr>
            <w:r>
              <w:rPr>
                <w:rFonts w:ascii="Arial" w:cs="Arial" w:eastAsia="Arial" w:hAnsi="Arial"/>
                <w:sz w:val="16"/>
                <w:szCs w:val="16"/>
                <w:b w:val="1"/>
                <w:bCs w:val="1"/>
                <w:color w:val="auto"/>
                <w:w w:val="84"/>
              </w:rPr>
              <w:t>Comprehensive</w:t>
            </w: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1"/>
        </w:trPr>
        <w:tc>
          <w:tcPr>
            <w:tcW w:w="4000" w:type="dxa"/>
            <w:vAlign w:val="bottom"/>
          </w:tcPr>
          <w:p>
            <w:pPr>
              <w:spacing w:after="0"/>
              <w:rPr>
                <w:sz w:val="8"/>
                <w:szCs w:val="8"/>
                <w:color w:val="auto"/>
              </w:rPr>
            </w:pPr>
          </w:p>
        </w:tc>
        <w:tc>
          <w:tcPr>
            <w:tcW w:w="2080" w:type="dxa"/>
            <w:vAlign w:val="bottom"/>
            <w:tcBorders>
              <w:bottom w:val="single" w:sz="8" w:color="auto"/>
            </w:tcBorders>
            <w:gridSpan w:val="3"/>
            <w:vMerge w:val="continue"/>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3"/>
            <w:vMerge w:val="restart"/>
          </w:tcPr>
          <w:p>
            <w:pPr>
              <w:ind w:left="20"/>
              <w:spacing w:after="0" w:line="155" w:lineRule="exact"/>
              <w:rPr>
                <w:sz w:val="20"/>
                <w:szCs w:val="20"/>
                <w:color w:val="auto"/>
              </w:rPr>
            </w:pPr>
            <w:r>
              <w:rPr>
                <w:rFonts w:ascii="Arial" w:cs="Arial" w:eastAsia="Arial" w:hAnsi="Arial"/>
                <w:sz w:val="16"/>
                <w:szCs w:val="16"/>
                <w:b w:val="1"/>
                <w:bCs w:val="1"/>
                <w:color w:val="auto"/>
                <w:w w:val="95"/>
              </w:rPr>
              <w:t>Additional Paid-</w:t>
            </w:r>
          </w:p>
        </w:tc>
        <w:tc>
          <w:tcPr>
            <w:tcW w:w="100" w:type="dxa"/>
            <w:vAlign w:val="bottom"/>
          </w:tcPr>
          <w:p>
            <w:pPr>
              <w:spacing w:after="0"/>
              <w:rPr>
                <w:sz w:val="8"/>
                <w:szCs w:val="8"/>
                <w:color w:val="auto"/>
              </w:rPr>
            </w:pPr>
          </w:p>
        </w:tc>
        <w:tc>
          <w:tcPr>
            <w:tcW w:w="1120" w:type="dxa"/>
            <w:vAlign w:val="bottom"/>
            <w:gridSpan w:val="2"/>
            <w:vMerge w:val="restart"/>
          </w:tcPr>
          <w:p>
            <w:pPr>
              <w:jc w:val="center"/>
              <w:ind w:right="160"/>
              <w:spacing w:after="0" w:line="155" w:lineRule="exact"/>
              <w:rPr>
                <w:sz w:val="20"/>
                <w:szCs w:val="20"/>
                <w:color w:val="auto"/>
              </w:rPr>
            </w:pPr>
            <w:r>
              <w:rPr>
                <w:rFonts w:ascii="Arial" w:cs="Arial" w:eastAsia="Arial" w:hAnsi="Arial"/>
                <w:sz w:val="16"/>
                <w:szCs w:val="16"/>
                <w:b w:val="1"/>
                <w:bCs w:val="1"/>
                <w:color w:val="auto"/>
                <w:w w:val="88"/>
              </w:rPr>
              <w:t>Retained</w:t>
            </w:r>
          </w:p>
        </w:tc>
        <w:tc>
          <w:tcPr>
            <w:tcW w:w="100" w:type="dxa"/>
            <w:vAlign w:val="bottom"/>
          </w:tcPr>
          <w:p>
            <w:pPr>
              <w:spacing w:after="0"/>
              <w:rPr>
                <w:sz w:val="8"/>
                <w:szCs w:val="8"/>
                <w:color w:val="auto"/>
              </w:rPr>
            </w:pPr>
          </w:p>
        </w:tc>
        <w:tc>
          <w:tcPr>
            <w:tcW w:w="1120" w:type="dxa"/>
            <w:vAlign w:val="bottom"/>
            <w:gridSpan w:val="2"/>
            <w:vMerge w:val="restart"/>
          </w:tcPr>
          <w:p>
            <w:pPr>
              <w:jc w:val="center"/>
              <w:ind w:right="180"/>
              <w:spacing w:after="0" w:line="155" w:lineRule="exact"/>
              <w:rPr>
                <w:sz w:val="20"/>
                <w:szCs w:val="20"/>
                <w:color w:val="auto"/>
              </w:rPr>
            </w:pPr>
            <w:r>
              <w:rPr>
                <w:rFonts w:ascii="Arial" w:cs="Arial" w:eastAsia="Arial" w:hAnsi="Arial"/>
                <w:sz w:val="16"/>
                <w:szCs w:val="16"/>
                <w:b w:val="1"/>
                <w:bCs w:val="1"/>
                <w:color w:val="auto"/>
                <w:w w:val="85"/>
              </w:rPr>
              <w:t>Loss, Net of</w:t>
            </w:r>
          </w:p>
        </w:tc>
        <w:tc>
          <w:tcPr>
            <w:tcW w:w="24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5"/>
        </w:trPr>
        <w:tc>
          <w:tcPr>
            <w:tcW w:w="4000" w:type="dxa"/>
            <w:vAlign w:val="bottom"/>
          </w:tcPr>
          <w:p>
            <w:pPr>
              <w:spacing w:after="0"/>
              <w:rPr>
                <w:sz w:val="3"/>
                <w:szCs w:val="3"/>
                <w:color w:val="auto"/>
              </w:rPr>
            </w:pPr>
          </w:p>
        </w:tc>
        <w:tc>
          <w:tcPr>
            <w:tcW w:w="1220" w:type="dxa"/>
            <w:vAlign w:val="bottom"/>
            <w:gridSpan w:val="2"/>
            <w:vMerge w:val="restart"/>
          </w:tcPr>
          <w:p>
            <w:pPr>
              <w:ind w:left="340"/>
              <w:spacing w:after="0"/>
              <w:rPr>
                <w:sz w:val="20"/>
                <w:szCs w:val="20"/>
                <w:color w:val="auto"/>
              </w:rPr>
            </w:pPr>
            <w:r>
              <w:rPr>
                <w:rFonts w:ascii="Arial" w:cs="Arial" w:eastAsia="Arial" w:hAnsi="Arial"/>
                <w:sz w:val="16"/>
                <w:szCs w:val="16"/>
                <w:b w:val="1"/>
                <w:bCs w:val="1"/>
                <w:color w:val="auto"/>
              </w:rPr>
              <w:t>Shares</w:t>
            </w:r>
          </w:p>
        </w:tc>
        <w:tc>
          <w:tcPr>
            <w:tcW w:w="8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Amount</w:t>
            </w: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gridSpan w:val="2"/>
            <w:vMerge w:val="continue"/>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vMerge w:val="restart"/>
          </w:tcPr>
          <w:p>
            <w:pPr>
              <w:jc w:val="right"/>
              <w:ind w:right="32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line="20" w:lineRule="exact"/>
              <w:rPr>
                <w:sz w:val="1"/>
                <w:szCs w:val="1"/>
                <w:color w:val="auto"/>
              </w:rPr>
            </w:pPr>
          </w:p>
        </w:tc>
      </w:tr>
      <w:tr>
        <w:trPr>
          <w:trHeight w:val="204"/>
        </w:trPr>
        <w:tc>
          <w:tcPr>
            <w:tcW w:w="400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ind w:left="80"/>
              <w:spacing w:after="0"/>
              <w:rPr>
                <w:sz w:val="20"/>
                <w:szCs w:val="20"/>
                <w:color w:val="auto"/>
              </w:rPr>
            </w:pPr>
            <w:r>
              <w:rPr>
                <w:rFonts w:ascii="Arial" w:cs="Arial" w:eastAsia="Arial" w:hAnsi="Arial"/>
                <w:sz w:val="16"/>
                <w:szCs w:val="16"/>
                <w:b w:val="1"/>
                <w:bCs w:val="1"/>
                <w:color w:val="auto"/>
              </w:rPr>
              <w:t>in Capital</w:t>
            </w:r>
          </w:p>
        </w:tc>
        <w:tc>
          <w:tcPr>
            <w:tcW w:w="100" w:type="dxa"/>
            <w:vAlign w:val="bottom"/>
          </w:tcPr>
          <w:p>
            <w:pPr>
              <w:spacing w:after="0"/>
              <w:rPr>
                <w:sz w:val="17"/>
                <w:szCs w:val="17"/>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7"/>
              </w:rPr>
              <w:t>Earnings</w:t>
            </w:r>
          </w:p>
        </w:tc>
        <w:tc>
          <w:tcPr>
            <w:tcW w:w="100" w:type="dxa"/>
            <w:vAlign w:val="bottom"/>
          </w:tcPr>
          <w:p>
            <w:pPr>
              <w:spacing w:after="0"/>
              <w:rPr>
                <w:sz w:val="17"/>
                <w:szCs w:val="17"/>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4"/>
              </w:rPr>
              <w:t>Income Taxes</w:t>
            </w:r>
          </w:p>
        </w:tc>
        <w:tc>
          <w:tcPr>
            <w:tcW w:w="24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40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4000" w:type="dxa"/>
            <w:vAlign w:val="bottom"/>
          </w:tcPr>
          <w:p>
            <w:pPr>
              <w:ind w:left="140"/>
              <w:spacing w:after="0"/>
              <w:rPr>
                <w:sz w:val="20"/>
                <w:szCs w:val="20"/>
                <w:color w:val="auto"/>
              </w:rPr>
            </w:pPr>
            <w:r>
              <w:rPr>
                <w:rFonts w:ascii="Arial" w:cs="Arial" w:eastAsia="Arial" w:hAnsi="Arial"/>
                <w:sz w:val="16"/>
                <w:szCs w:val="16"/>
                <w:b w:val="1"/>
                <w:bCs w:val="1"/>
                <w:color w:val="auto"/>
              </w:rPr>
              <w:t>Balance at December 31, 2021</w:t>
            </w: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9,208,312</w:t>
            </w:r>
          </w:p>
        </w:tc>
        <w:tc>
          <w:tcPr>
            <w:tcW w:w="80" w:type="dxa"/>
            <w:vAlign w:val="bottom"/>
          </w:tcPr>
          <w:p>
            <w:pPr>
              <w:spacing w:after="0"/>
              <w:rPr>
                <w:sz w:val="17"/>
                <w:szCs w:val="17"/>
                <w:color w:val="auto"/>
              </w:rPr>
            </w:pPr>
          </w:p>
        </w:tc>
        <w:tc>
          <w:tcPr>
            <w:tcW w:w="860" w:type="dxa"/>
            <w:vAlign w:val="bottom"/>
          </w:tcPr>
          <w:p>
            <w:pPr>
              <w:jc w:val="right"/>
              <w:ind w:right="707"/>
              <w:spacing w:after="0"/>
              <w:rPr>
                <w:sz w:val="20"/>
                <w:szCs w:val="20"/>
                <w:color w:val="auto"/>
              </w:rPr>
            </w:pPr>
            <w:r>
              <w:rPr>
                <w:rFonts w:ascii="Arial" w:cs="Arial" w:eastAsia="Arial" w:hAnsi="Arial"/>
                <w:sz w:val="14"/>
                <w:szCs w:val="14"/>
                <w:color w:val="auto"/>
                <w:w w:val="76"/>
              </w:rPr>
              <w:t>$</w:t>
            </w:r>
          </w:p>
        </w:tc>
        <w:tc>
          <w:tcPr>
            <w:tcW w:w="260" w:type="dxa"/>
            <w:vAlign w:val="bottom"/>
          </w:tcPr>
          <w:p>
            <w:pPr>
              <w:jc w:val="right"/>
              <w:spacing w:after="0"/>
              <w:rPr>
                <w:sz w:val="20"/>
                <w:szCs w:val="20"/>
                <w:color w:val="auto"/>
              </w:rPr>
            </w:pPr>
            <w:r>
              <w:rPr>
                <w:rFonts w:ascii="Arial" w:cs="Arial" w:eastAsia="Arial" w:hAnsi="Arial"/>
                <w:sz w:val="16"/>
                <w:szCs w:val="16"/>
                <w:color w:val="auto"/>
              </w:rPr>
              <w:t>92</w:t>
            </w:r>
          </w:p>
        </w:tc>
        <w:tc>
          <w:tcPr>
            <w:tcW w:w="80" w:type="dxa"/>
            <w:vAlign w:val="bottom"/>
          </w:tcPr>
          <w:p>
            <w:pPr>
              <w:spacing w:after="0"/>
              <w:rPr>
                <w:sz w:val="17"/>
                <w:szCs w:val="17"/>
                <w:color w:val="auto"/>
              </w:rPr>
            </w:pPr>
          </w:p>
        </w:tc>
        <w:tc>
          <w:tcPr>
            <w:tcW w:w="160" w:type="dxa"/>
            <w:vAlign w:val="bottom"/>
          </w:tcPr>
          <w:p>
            <w:pPr>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592,572</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(113,604)</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(2,366)</w:t>
            </w:r>
          </w:p>
        </w:tc>
        <w:tc>
          <w:tcPr>
            <w:tcW w:w="80" w:type="dxa"/>
            <w:vAlign w:val="bottom"/>
          </w:tcPr>
          <w:p>
            <w:pPr>
              <w:spacing w:after="0"/>
              <w:rPr>
                <w:sz w:val="17"/>
                <w:szCs w:val="17"/>
                <w:color w:val="auto"/>
              </w:rPr>
            </w:pPr>
          </w:p>
        </w:tc>
        <w:tc>
          <w:tcPr>
            <w:tcW w:w="240" w:type="dxa"/>
            <w:vAlign w:val="bottom"/>
          </w:tcPr>
          <w:p>
            <w:pPr>
              <w:jc w:val="right"/>
              <w:ind w:right="62"/>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476,694</w:t>
            </w:r>
          </w:p>
        </w:tc>
        <w:tc>
          <w:tcPr>
            <w:tcW w:w="0" w:type="dxa"/>
            <w:vAlign w:val="bottom"/>
          </w:tcPr>
          <w:p>
            <w:pPr>
              <w:spacing w:after="0"/>
              <w:rPr>
                <w:sz w:val="1"/>
                <w:szCs w:val="1"/>
                <w:color w:val="auto"/>
              </w:rPr>
            </w:pPr>
          </w:p>
        </w:tc>
      </w:tr>
      <w:tr>
        <w:trPr>
          <w:trHeight w:val="209"/>
        </w:trPr>
        <w:tc>
          <w:tcPr>
            <w:tcW w:w="40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Net income</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68,436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68,436</w:t>
            </w:r>
          </w:p>
        </w:tc>
        <w:tc>
          <w:tcPr>
            <w:tcW w:w="0" w:type="dxa"/>
            <w:vAlign w:val="bottom"/>
          </w:tcPr>
          <w:p>
            <w:pPr>
              <w:spacing w:after="0"/>
              <w:rPr>
                <w:sz w:val="1"/>
                <w:szCs w:val="1"/>
                <w:color w:val="auto"/>
              </w:rPr>
            </w:pPr>
          </w:p>
        </w:tc>
      </w:tr>
      <w:tr>
        <w:trPr>
          <w:trHeight w:val="204"/>
        </w:trPr>
        <w:tc>
          <w:tcPr>
            <w:tcW w:w="4000" w:type="dxa"/>
            <w:vAlign w:val="bottom"/>
          </w:tcPr>
          <w:p>
            <w:pPr>
              <w:ind w:left="220"/>
              <w:spacing w:after="0"/>
              <w:rPr>
                <w:sz w:val="20"/>
                <w:szCs w:val="20"/>
                <w:color w:val="auto"/>
              </w:rPr>
            </w:pPr>
            <w:r>
              <w:rPr>
                <w:rFonts w:ascii="Arial" w:cs="Arial" w:eastAsia="Arial" w:hAnsi="Arial"/>
                <w:sz w:val="16"/>
                <w:szCs w:val="16"/>
                <w:color w:val="auto"/>
              </w:rPr>
              <w:t>Repurchase of common stock</w:t>
            </w:r>
          </w:p>
        </w:tc>
        <w:tc>
          <w:tcPr>
            <w:tcW w:w="1140" w:type="dxa"/>
            <w:vAlign w:val="bottom"/>
          </w:tcPr>
          <w:p>
            <w:pPr>
              <w:jc w:val="right"/>
              <w:spacing w:after="0"/>
              <w:rPr>
                <w:sz w:val="20"/>
                <w:szCs w:val="20"/>
                <w:color w:val="auto"/>
              </w:rPr>
            </w:pPr>
            <w:r>
              <w:rPr>
                <w:rFonts w:ascii="Arial" w:cs="Arial" w:eastAsia="Arial" w:hAnsi="Arial"/>
                <w:sz w:val="16"/>
                <w:szCs w:val="16"/>
                <w:color w:val="auto"/>
              </w:rPr>
              <w:t>(84,087)</w:t>
            </w: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(2,261)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(2,262)</w:t>
            </w:r>
          </w:p>
        </w:tc>
        <w:tc>
          <w:tcPr>
            <w:tcW w:w="0" w:type="dxa"/>
            <w:vAlign w:val="bottom"/>
          </w:tcPr>
          <w:p>
            <w:pPr>
              <w:spacing w:after="0"/>
              <w:rPr>
                <w:sz w:val="1"/>
                <w:szCs w:val="1"/>
                <w:color w:val="auto"/>
              </w:rPr>
            </w:pPr>
          </w:p>
        </w:tc>
      </w:tr>
      <w:tr>
        <w:trPr>
          <w:trHeight w:val="210"/>
        </w:trPr>
        <w:tc>
          <w:tcPr>
            <w:tcW w:w="40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Equity-based compensation and other</w:t>
            </w:r>
          </w:p>
        </w:tc>
        <w:tc>
          <w:tcPr>
            <w:tcW w:w="11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64,780</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822</w:t>
            </w:r>
          </w:p>
        </w:tc>
        <w:tc>
          <w:tcPr>
            <w:tcW w:w="0" w:type="dxa"/>
            <w:vAlign w:val="bottom"/>
          </w:tcPr>
          <w:p>
            <w:pPr>
              <w:spacing w:after="0"/>
              <w:rPr>
                <w:sz w:val="1"/>
                <w:szCs w:val="1"/>
                <w:color w:val="auto"/>
              </w:rPr>
            </w:pPr>
          </w:p>
        </w:tc>
      </w:tr>
      <w:tr>
        <w:trPr>
          <w:trHeight w:val="204"/>
        </w:trPr>
        <w:tc>
          <w:tcPr>
            <w:tcW w:w="4000" w:type="dxa"/>
            <w:vAlign w:val="bottom"/>
          </w:tcPr>
          <w:p>
            <w:pPr>
              <w:ind w:left="220"/>
              <w:spacing w:after="0"/>
              <w:rPr>
                <w:sz w:val="20"/>
                <w:szCs w:val="20"/>
                <w:color w:val="auto"/>
              </w:rPr>
            </w:pPr>
            <w:r>
              <w:rPr>
                <w:rFonts w:ascii="Arial" w:cs="Arial" w:eastAsia="Arial" w:hAnsi="Arial"/>
                <w:sz w:val="16"/>
                <w:szCs w:val="16"/>
                <w:color w:val="auto"/>
              </w:rPr>
              <w:t>Other comprehensive income, net of income taxes</w:t>
            </w: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tcPr>
          <w:p>
            <w:pPr>
              <w:spacing w:after="0"/>
              <w:rPr>
                <w:sz w:val="17"/>
                <w:szCs w:val="17"/>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225</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225</w:t>
            </w:r>
          </w:p>
        </w:tc>
        <w:tc>
          <w:tcPr>
            <w:tcW w:w="0" w:type="dxa"/>
            <w:vAlign w:val="bottom"/>
          </w:tcPr>
          <w:p>
            <w:pPr>
              <w:spacing w:after="0"/>
              <w:rPr>
                <w:sz w:val="1"/>
                <w:szCs w:val="1"/>
                <w:color w:val="auto"/>
              </w:rPr>
            </w:pPr>
          </w:p>
        </w:tc>
      </w:tr>
      <w:tr>
        <w:trPr>
          <w:trHeight w:val="227"/>
        </w:trPr>
        <w:tc>
          <w:tcPr>
            <w:tcW w:w="400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6"/>
                <w:szCs w:val="16"/>
                <w:b w:val="1"/>
                <w:bCs w:val="1"/>
                <w:color w:val="auto"/>
              </w:rPr>
              <w:t>Balance at June 30, 2022</w:t>
            </w:r>
          </w:p>
        </w:tc>
        <w:tc>
          <w:tcPr>
            <w:tcW w:w="114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9,189,005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ind w:right="707"/>
              <w:spacing w:after="0"/>
              <w:rPr>
                <w:sz w:val="20"/>
                <w:szCs w:val="20"/>
                <w:color w:val="auto"/>
              </w:rPr>
            </w:pPr>
            <w:r>
              <w:rPr>
                <w:rFonts w:ascii="Arial" w:cs="Arial" w:eastAsia="Arial" w:hAnsi="Arial"/>
                <w:sz w:val="14"/>
                <w:szCs w:val="14"/>
                <w:color w:val="auto"/>
                <w:w w:val="76"/>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591,132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(45,168)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(2,141)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543,915</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0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00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Balance at December 31, 2020</w:t>
            </w:r>
          </w:p>
        </w:tc>
        <w:tc>
          <w:tcPr>
            <w:tcW w:w="11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8,687,750</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707"/>
              <w:spacing w:after="0"/>
              <w:rPr>
                <w:sz w:val="20"/>
                <w:szCs w:val="20"/>
                <w:color w:val="auto"/>
              </w:rPr>
            </w:pPr>
            <w:r>
              <w:rPr>
                <w:rFonts w:ascii="Arial" w:cs="Arial" w:eastAsia="Arial" w:hAnsi="Arial"/>
                <w:sz w:val="14"/>
                <w:szCs w:val="14"/>
                <w:color w:val="auto"/>
                <w:w w:val="76"/>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556,062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(131,682)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(9,095)</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415,372</w:t>
            </w:r>
          </w:p>
        </w:tc>
        <w:tc>
          <w:tcPr>
            <w:tcW w:w="0" w:type="dxa"/>
            <w:vAlign w:val="bottom"/>
          </w:tcPr>
          <w:p>
            <w:pPr>
              <w:spacing w:after="0"/>
              <w:rPr>
                <w:sz w:val="1"/>
                <w:szCs w:val="1"/>
                <w:color w:val="auto"/>
              </w:rPr>
            </w:pPr>
          </w:p>
        </w:tc>
      </w:tr>
      <w:tr>
        <w:trPr>
          <w:trHeight w:val="204"/>
        </w:trPr>
        <w:tc>
          <w:tcPr>
            <w:tcW w:w="4000" w:type="dxa"/>
            <w:vAlign w:val="bottom"/>
          </w:tcPr>
          <w:p>
            <w:pPr>
              <w:ind w:left="220"/>
              <w:spacing w:after="0"/>
              <w:rPr>
                <w:sz w:val="20"/>
                <w:szCs w:val="20"/>
                <w:color w:val="auto"/>
              </w:rPr>
            </w:pPr>
            <w:r>
              <w:rPr>
                <w:rFonts w:ascii="Arial" w:cs="Arial" w:eastAsia="Arial" w:hAnsi="Arial"/>
                <w:sz w:val="16"/>
                <w:szCs w:val="16"/>
                <w:color w:val="auto"/>
              </w:rPr>
              <w:t>Net loss</w:t>
            </w: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tcPr>
          <w:p>
            <w:pPr>
              <w:spacing w:after="0"/>
              <w:rPr>
                <w:sz w:val="17"/>
                <w:szCs w:val="17"/>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(1,779)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(1,779)</w:t>
            </w:r>
          </w:p>
        </w:tc>
        <w:tc>
          <w:tcPr>
            <w:tcW w:w="0" w:type="dxa"/>
            <w:vAlign w:val="bottom"/>
          </w:tcPr>
          <w:p>
            <w:pPr>
              <w:spacing w:after="0"/>
              <w:rPr>
                <w:sz w:val="1"/>
                <w:szCs w:val="1"/>
                <w:color w:val="auto"/>
              </w:rPr>
            </w:pPr>
          </w:p>
        </w:tc>
      </w:tr>
      <w:tr>
        <w:trPr>
          <w:trHeight w:val="210"/>
        </w:trPr>
        <w:tc>
          <w:tcPr>
            <w:tcW w:w="40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Issuance of common stock</w:t>
            </w:r>
          </w:p>
        </w:tc>
        <w:tc>
          <w:tcPr>
            <w:tcW w:w="11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426,705</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12,165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12,169</w:t>
            </w:r>
          </w:p>
        </w:tc>
        <w:tc>
          <w:tcPr>
            <w:tcW w:w="0" w:type="dxa"/>
            <w:vAlign w:val="bottom"/>
          </w:tcPr>
          <w:p>
            <w:pPr>
              <w:spacing w:after="0"/>
              <w:rPr>
                <w:sz w:val="1"/>
                <w:szCs w:val="1"/>
                <w:color w:val="auto"/>
              </w:rPr>
            </w:pPr>
          </w:p>
        </w:tc>
      </w:tr>
      <w:tr>
        <w:trPr>
          <w:trHeight w:val="204"/>
        </w:trPr>
        <w:tc>
          <w:tcPr>
            <w:tcW w:w="4000" w:type="dxa"/>
            <w:vAlign w:val="bottom"/>
          </w:tcPr>
          <w:p>
            <w:pPr>
              <w:ind w:left="220"/>
              <w:spacing w:after="0"/>
              <w:rPr>
                <w:sz w:val="20"/>
                <w:szCs w:val="20"/>
                <w:color w:val="auto"/>
              </w:rPr>
            </w:pPr>
            <w:r>
              <w:rPr>
                <w:rFonts w:ascii="Arial" w:cs="Arial" w:eastAsia="Arial" w:hAnsi="Arial"/>
                <w:sz w:val="16"/>
                <w:szCs w:val="16"/>
                <w:color w:val="auto"/>
                <w:w w:val="90"/>
              </w:rPr>
              <w:t>Issuance of common stock warrants, net of issuance costs</w:t>
            </w: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tcPr>
          <w:p>
            <w:pPr>
              <w:spacing w:after="0"/>
              <w:rPr>
                <w:sz w:val="17"/>
                <w:szCs w:val="17"/>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19,956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19,956</w:t>
            </w:r>
          </w:p>
        </w:tc>
        <w:tc>
          <w:tcPr>
            <w:tcW w:w="0" w:type="dxa"/>
            <w:vAlign w:val="bottom"/>
          </w:tcPr>
          <w:p>
            <w:pPr>
              <w:spacing w:after="0"/>
              <w:rPr>
                <w:sz w:val="1"/>
                <w:szCs w:val="1"/>
                <w:color w:val="auto"/>
              </w:rPr>
            </w:pPr>
          </w:p>
        </w:tc>
      </w:tr>
      <w:tr>
        <w:trPr>
          <w:trHeight w:val="210"/>
        </w:trPr>
        <w:tc>
          <w:tcPr>
            <w:tcW w:w="40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Equity-based compensation and other</w:t>
            </w:r>
          </w:p>
        </w:tc>
        <w:tc>
          <w:tcPr>
            <w:tcW w:w="11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74,575</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2,070</w:t>
            </w:r>
          </w:p>
        </w:tc>
        <w:tc>
          <w:tcPr>
            <w:tcW w:w="0" w:type="dxa"/>
            <w:vAlign w:val="bottom"/>
          </w:tcPr>
          <w:p>
            <w:pPr>
              <w:spacing w:after="0"/>
              <w:rPr>
                <w:sz w:val="1"/>
                <w:szCs w:val="1"/>
                <w:color w:val="auto"/>
              </w:rPr>
            </w:pPr>
          </w:p>
        </w:tc>
      </w:tr>
      <w:tr>
        <w:trPr>
          <w:trHeight w:val="204"/>
        </w:trPr>
        <w:tc>
          <w:tcPr>
            <w:tcW w:w="4000" w:type="dxa"/>
            <w:vAlign w:val="bottom"/>
          </w:tcPr>
          <w:p>
            <w:pPr>
              <w:ind w:left="220"/>
              <w:spacing w:after="0"/>
              <w:rPr>
                <w:sz w:val="20"/>
                <w:szCs w:val="20"/>
                <w:color w:val="auto"/>
              </w:rPr>
            </w:pPr>
            <w:r>
              <w:rPr>
                <w:rFonts w:ascii="Arial" w:cs="Arial" w:eastAsia="Arial" w:hAnsi="Arial"/>
                <w:sz w:val="16"/>
                <w:szCs w:val="16"/>
                <w:color w:val="auto"/>
              </w:rPr>
              <w:t>Other comprehensive income, net of income taxes</w:t>
            </w: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tcPr>
          <w:p>
            <w:pPr>
              <w:spacing w:after="0"/>
              <w:rPr>
                <w:sz w:val="17"/>
                <w:szCs w:val="17"/>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(688)</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(688)</w:t>
            </w:r>
          </w:p>
        </w:tc>
        <w:tc>
          <w:tcPr>
            <w:tcW w:w="0" w:type="dxa"/>
            <w:vAlign w:val="bottom"/>
          </w:tcPr>
          <w:p>
            <w:pPr>
              <w:spacing w:after="0"/>
              <w:rPr>
                <w:sz w:val="1"/>
                <w:szCs w:val="1"/>
                <w:color w:val="auto"/>
              </w:rPr>
            </w:pPr>
          </w:p>
        </w:tc>
      </w:tr>
      <w:tr>
        <w:trPr>
          <w:trHeight w:val="227"/>
        </w:trPr>
        <w:tc>
          <w:tcPr>
            <w:tcW w:w="400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6"/>
                <w:szCs w:val="16"/>
                <w:b w:val="1"/>
                <w:bCs w:val="1"/>
                <w:color w:val="auto"/>
              </w:rPr>
              <w:t>Balance at June 30, 2021</w:t>
            </w:r>
          </w:p>
        </w:tc>
        <w:tc>
          <w:tcPr>
            <w:tcW w:w="114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9,189,030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ind w:right="707"/>
              <w:spacing w:after="0"/>
              <w:rPr>
                <w:sz w:val="20"/>
                <w:szCs w:val="20"/>
                <w:color w:val="auto"/>
              </w:rPr>
            </w:pPr>
            <w:r>
              <w:rPr>
                <w:rFonts w:ascii="Arial" w:cs="Arial" w:eastAsia="Arial" w:hAnsi="Arial"/>
                <w:sz w:val="14"/>
                <w:szCs w:val="14"/>
                <w:color w:val="auto"/>
                <w:w w:val="76"/>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590,252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(133,461)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(9,783)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447,100</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39"/>
        <w:spacing w:after="0"/>
        <w:rPr>
          <w:sz w:val="20"/>
          <w:szCs w:val="20"/>
          <w:color w:val="auto"/>
        </w:rPr>
      </w:pPr>
      <w:r>
        <w:rPr>
          <w:rFonts w:ascii="Arial" w:cs="Arial" w:eastAsia="Arial" w:hAnsi="Arial"/>
          <w:sz w:val="17"/>
          <w:szCs w:val="17"/>
          <w:i w:val="1"/>
          <w:iCs w:val="1"/>
          <w:color w:val="auto"/>
        </w:rPr>
        <w:t>The accompanying notes are an integral part of these unaudited consolidated financial statements</w:t>
      </w:r>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1374" w:right="379" w:bottom="1440" w:gutter="0" w:footer="0" w:header="0"/>
        </w:sectPr>
      </w:pPr>
    </w:p>
    <w:bookmarkStart w:id="9" w:name="page10"/>
    <w:bookmarkEnd w:id="9"/>
    <w:p>
      <w:pPr>
        <w:spacing w:after="0" w:line="18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OCWEN FINANCIAL CORPORATION AND SUBSIDIARIES</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 CONSOLIDATED STATEMENTS OF CASH FLOWS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(Dollars in thousands)</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960" w:type="dxa"/>
            <w:vAlign w:val="bottom"/>
            <w:tcBorders>
              <w:bottom w:val="single" w:sz="8" w:color="auto"/>
            </w:tcBorders>
            <w:gridSpan w:val="4"/>
          </w:tcPr>
          <w:p>
            <w:pPr>
              <w:jc w:val="right"/>
              <w:ind w:right="194"/>
              <w:spacing w:after="0"/>
              <w:rPr>
                <w:sz w:val="20"/>
                <w:szCs w:val="20"/>
                <w:color w:val="auto"/>
              </w:rPr>
            </w:pPr>
            <w:r>
              <w:rPr>
                <w:rFonts w:ascii="Arial" w:cs="Arial" w:eastAsia="Arial" w:hAnsi="Arial"/>
                <w:sz w:val="17"/>
                <w:szCs w:val="17"/>
                <w:b w:val="1"/>
                <w:bCs w:val="1"/>
                <w:color w:val="auto"/>
                <w:w w:val="94"/>
              </w:rPr>
              <w:t>For the Six Months Ended June 30,</w:t>
            </w:r>
          </w:p>
        </w:tc>
        <w:tc>
          <w:tcPr>
            <w:tcW w:w="0" w:type="dxa"/>
            <w:vAlign w:val="bottom"/>
          </w:tcPr>
          <w:p>
            <w:pPr>
              <w:spacing w:after="0"/>
              <w:rPr>
                <w:sz w:val="1"/>
                <w:szCs w:val="1"/>
                <w:color w:val="auto"/>
              </w:rPr>
            </w:pPr>
          </w:p>
        </w:tc>
      </w:tr>
      <w:tr>
        <w:trPr>
          <w:trHeight w:val="213"/>
        </w:trPr>
        <w:tc>
          <w:tcPr>
            <w:tcW w:w="8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14"/>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4"/>
              <w:spacing w:after="0"/>
              <w:rPr>
                <w:sz w:val="20"/>
                <w:szCs w:val="20"/>
                <w:color w:val="auto"/>
              </w:rPr>
            </w:pPr>
            <w:r>
              <w:rPr>
                <w:rFonts w:ascii="Arial" w:cs="Arial" w:eastAsia="Arial" w:hAnsi="Arial"/>
                <w:sz w:val="17"/>
                <w:szCs w:val="17"/>
                <w:b w:val="1"/>
                <w:bCs w:val="1"/>
                <w:color w:val="auto"/>
              </w:rPr>
              <w:t>2021</w:t>
            </w:r>
          </w:p>
        </w:tc>
        <w:tc>
          <w:tcPr>
            <w:tcW w:w="0" w:type="dxa"/>
            <w:vAlign w:val="bottom"/>
          </w:tcPr>
          <w:p>
            <w:pPr>
              <w:spacing w:after="0"/>
              <w:rPr>
                <w:sz w:val="1"/>
                <w:szCs w:val="1"/>
                <w:color w:val="auto"/>
              </w:rPr>
            </w:pPr>
          </w:p>
        </w:tc>
      </w:tr>
      <w:tr>
        <w:trPr>
          <w:trHeight w:val="213"/>
        </w:trPr>
        <w:tc>
          <w:tcPr>
            <w:tcW w:w="81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Cash flows from operating activities</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8100" w:type="dxa"/>
            <w:vAlign w:val="bottom"/>
          </w:tcPr>
          <w:p>
            <w:pPr>
              <w:ind w:left="140"/>
              <w:spacing w:after="0"/>
              <w:rPr>
                <w:sz w:val="20"/>
                <w:szCs w:val="20"/>
                <w:color w:val="auto"/>
              </w:rPr>
            </w:pPr>
            <w:r>
              <w:rPr>
                <w:rFonts w:ascii="Arial" w:cs="Arial" w:eastAsia="Arial" w:hAnsi="Arial"/>
                <w:sz w:val="17"/>
                <w:szCs w:val="17"/>
                <w:color w:val="auto"/>
              </w:rPr>
              <w:t>Net income (loss)</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68,436</w:t>
            </w:r>
          </w:p>
        </w:tc>
        <w:tc>
          <w:tcPr>
            <w:tcW w:w="100" w:type="dxa"/>
            <w:vAlign w:val="bottom"/>
          </w:tcPr>
          <w:p>
            <w:pPr>
              <w:spacing w:after="0"/>
              <w:rPr>
                <w:sz w:val="19"/>
                <w:szCs w:val="19"/>
                <w:color w:val="auto"/>
              </w:rPr>
            </w:pP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(1,779)</w:t>
            </w:r>
          </w:p>
        </w:tc>
        <w:tc>
          <w:tcPr>
            <w:tcW w:w="0" w:type="dxa"/>
            <w:vAlign w:val="bottom"/>
          </w:tcPr>
          <w:p>
            <w:pPr>
              <w:spacing w:after="0"/>
              <w:rPr>
                <w:sz w:val="1"/>
                <w:szCs w:val="1"/>
                <w:color w:val="auto"/>
              </w:rPr>
            </w:pPr>
          </w:p>
        </w:tc>
      </w:tr>
      <w:tr>
        <w:trPr>
          <w:trHeight w:val="220"/>
        </w:trPr>
        <w:tc>
          <w:tcPr>
            <w:tcW w:w="81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Adjustments to reconcile net income (loss) to net cash provided by (used in) operating activities:</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8100" w:type="dxa"/>
            <w:vAlign w:val="bottom"/>
          </w:tcPr>
          <w:p>
            <w:pPr>
              <w:ind w:left="220"/>
              <w:spacing w:after="0"/>
              <w:rPr>
                <w:sz w:val="20"/>
                <w:szCs w:val="20"/>
                <w:color w:val="auto"/>
              </w:rPr>
            </w:pPr>
            <w:r>
              <w:rPr>
                <w:rFonts w:ascii="Arial" w:cs="Arial" w:eastAsia="Arial" w:hAnsi="Arial"/>
                <w:sz w:val="17"/>
                <w:szCs w:val="17"/>
                <w:color w:val="auto"/>
              </w:rPr>
              <w:t>MSR valuation adjustments, net</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(95,830)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51,242</w:t>
            </w:r>
          </w:p>
        </w:tc>
        <w:tc>
          <w:tcPr>
            <w:tcW w:w="0" w:type="dxa"/>
            <w:vAlign w:val="bottom"/>
          </w:tcPr>
          <w:p>
            <w:pPr>
              <w:spacing w:after="0"/>
              <w:rPr>
                <w:sz w:val="1"/>
                <w:szCs w:val="1"/>
                <w:color w:val="auto"/>
              </w:rPr>
            </w:pPr>
          </w:p>
        </w:tc>
      </w:tr>
      <w:tr>
        <w:trPr>
          <w:trHeight w:val="220"/>
        </w:trPr>
        <w:tc>
          <w:tcPr>
            <w:tcW w:w="81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Loss on sale of MSRs, net</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w:t>
            </w:r>
          </w:p>
        </w:tc>
        <w:tc>
          <w:tcPr>
            <w:tcW w:w="0" w:type="dxa"/>
            <w:vAlign w:val="bottom"/>
          </w:tcPr>
          <w:p>
            <w:pPr>
              <w:spacing w:after="0"/>
              <w:rPr>
                <w:sz w:val="1"/>
                <w:szCs w:val="1"/>
                <w:color w:val="auto"/>
              </w:rPr>
            </w:pPr>
          </w:p>
        </w:tc>
      </w:tr>
      <w:tr>
        <w:trPr>
          <w:trHeight w:val="220"/>
        </w:trPr>
        <w:tc>
          <w:tcPr>
            <w:tcW w:w="8100" w:type="dxa"/>
            <w:vAlign w:val="bottom"/>
          </w:tcPr>
          <w:p>
            <w:pPr>
              <w:ind w:left="220"/>
              <w:spacing w:after="0"/>
              <w:rPr>
                <w:sz w:val="20"/>
                <w:szCs w:val="20"/>
                <w:color w:val="auto"/>
              </w:rPr>
            </w:pPr>
            <w:r>
              <w:rPr>
                <w:rFonts w:ascii="Arial" w:cs="Arial" w:eastAsia="Arial" w:hAnsi="Arial"/>
                <w:sz w:val="17"/>
                <w:szCs w:val="17"/>
                <w:color w:val="auto"/>
              </w:rPr>
              <w:t>Provision for bad debts</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9,822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11,522</w:t>
            </w:r>
          </w:p>
        </w:tc>
        <w:tc>
          <w:tcPr>
            <w:tcW w:w="0" w:type="dxa"/>
            <w:vAlign w:val="bottom"/>
          </w:tcPr>
          <w:p>
            <w:pPr>
              <w:spacing w:after="0"/>
              <w:rPr>
                <w:sz w:val="1"/>
                <w:szCs w:val="1"/>
                <w:color w:val="auto"/>
              </w:rPr>
            </w:pPr>
          </w:p>
        </w:tc>
      </w:tr>
      <w:tr>
        <w:trPr>
          <w:trHeight w:val="220"/>
        </w:trPr>
        <w:tc>
          <w:tcPr>
            <w:tcW w:w="81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Depreciation</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5,169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5,066</w:t>
            </w:r>
          </w:p>
        </w:tc>
        <w:tc>
          <w:tcPr>
            <w:tcW w:w="0" w:type="dxa"/>
            <w:vAlign w:val="bottom"/>
          </w:tcPr>
          <w:p>
            <w:pPr>
              <w:spacing w:after="0"/>
              <w:rPr>
                <w:sz w:val="1"/>
                <w:szCs w:val="1"/>
                <w:color w:val="auto"/>
              </w:rPr>
            </w:pPr>
          </w:p>
        </w:tc>
      </w:tr>
      <w:tr>
        <w:trPr>
          <w:trHeight w:val="220"/>
        </w:trPr>
        <w:tc>
          <w:tcPr>
            <w:tcW w:w="8100" w:type="dxa"/>
            <w:vAlign w:val="bottom"/>
          </w:tcPr>
          <w:p>
            <w:pPr>
              <w:ind w:left="220"/>
              <w:spacing w:after="0"/>
              <w:rPr>
                <w:sz w:val="20"/>
                <w:szCs w:val="20"/>
                <w:color w:val="auto"/>
              </w:rPr>
            </w:pPr>
            <w:r>
              <w:rPr>
                <w:rFonts w:ascii="Arial" w:cs="Arial" w:eastAsia="Arial" w:hAnsi="Arial"/>
                <w:sz w:val="17"/>
                <w:szCs w:val="17"/>
                <w:color w:val="auto"/>
              </w:rPr>
              <w:t>Amortization of debt issuance costs and discount</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5,082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3,232</w:t>
            </w:r>
          </w:p>
        </w:tc>
        <w:tc>
          <w:tcPr>
            <w:tcW w:w="0" w:type="dxa"/>
            <w:vAlign w:val="bottom"/>
          </w:tcPr>
          <w:p>
            <w:pPr>
              <w:spacing w:after="0"/>
              <w:rPr>
                <w:sz w:val="1"/>
                <w:szCs w:val="1"/>
                <w:color w:val="auto"/>
              </w:rPr>
            </w:pPr>
          </w:p>
        </w:tc>
      </w:tr>
      <w:tr>
        <w:trPr>
          <w:trHeight w:val="220"/>
        </w:trPr>
        <w:tc>
          <w:tcPr>
            <w:tcW w:w="81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Amortization of intangibles</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8100" w:type="dxa"/>
            <w:vAlign w:val="bottom"/>
          </w:tcPr>
          <w:p>
            <w:pPr>
              <w:ind w:left="220"/>
              <w:spacing w:after="0"/>
              <w:rPr>
                <w:sz w:val="20"/>
                <w:szCs w:val="20"/>
                <w:color w:val="auto"/>
              </w:rPr>
            </w:pPr>
            <w:r>
              <w:rPr>
                <w:rFonts w:ascii="Arial" w:cs="Arial" w:eastAsia="Arial" w:hAnsi="Arial"/>
                <w:sz w:val="17"/>
                <w:szCs w:val="17"/>
                <w:color w:val="auto"/>
              </w:rPr>
              <w:t>Equity-based compensation expense</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1,288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2,260</w:t>
            </w:r>
          </w:p>
        </w:tc>
        <w:tc>
          <w:tcPr>
            <w:tcW w:w="0" w:type="dxa"/>
            <w:vAlign w:val="bottom"/>
          </w:tcPr>
          <w:p>
            <w:pPr>
              <w:spacing w:after="0"/>
              <w:rPr>
                <w:sz w:val="1"/>
                <w:szCs w:val="1"/>
                <w:color w:val="auto"/>
              </w:rPr>
            </w:pPr>
          </w:p>
        </w:tc>
      </w:tr>
      <w:tr>
        <w:trPr>
          <w:trHeight w:val="220"/>
        </w:trPr>
        <w:tc>
          <w:tcPr>
            <w:tcW w:w="81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Loss (gain) on extinguishment of debt</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15,458</w:t>
            </w:r>
          </w:p>
        </w:tc>
        <w:tc>
          <w:tcPr>
            <w:tcW w:w="0" w:type="dxa"/>
            <w:vAlign w:val="bottom"/>
          </w:tcPr>
          <w:p>
            <w:pPr>
              <w:spacing w:after="0"/>
              <w:rPr>
                <w:sz w:val="1"/>
                <w:szCs w:val="1"/>
                <w:color w:val="auto"/>
              </w:rPr>
            </w:pPr>
          </w:p>
        </w:tc>
      </w:tr>
      <w:tr>
        <w:trPr>
          <w:trHeight w:val="220"/>
        </w:trPr>
        <w:tc>
          <w:tcPr>
            <w:tcW w:w="8100" w:type="dxa"/>
            <w:vAlign w:val="bottom"/>
          </w:tcPr>
          <w:p>
            <w:pPr>
              <w:ind w:left="220"/>
              <w:spacing w:after="0"/>
              <w:rPr>
                <w:sz w:val="20"/>
                <w:szCs w:val="20"/>
                <w:color w:val="auto"/>
              </w:rPr>
            </w:pPr>
            <w:r>
              <w:rPr>
                <w:rFonts w:ascii="Arial" w:cs="Arial" w:eastAsia="Arial" w:hAnsi="Arial"/>
                <w:sz w:val="17"/>
                <w:szCs w:val="17"/>
                <w:color w:val="auto"/>
              </w:rPr>
              <w:t>Loss on valuation of Pledged MSR financing liability</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95,330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9,944</w:t>
            </w:r>
          </w:p>
        </w:tc>
        <w:tc>
          <w:tcPr>
            <w:tcW w:w="0" w:type="dxa"/>
            <w:vAlign w:val="bottom"/>
          </w:tcPr>
          <w:p>
            <w:pPr>
              <w:spacing w:after="0"/>
              <w:rPr>
                <w:sz w:val="1"/>
                <w:szCs w:val="1"/>
                <w:color w:val="auto"/>
              </w:rPr>
            </w:pPr>
          </w:p>
        </w:tc>
      </w:tr>
      <w:tr>
        <w:trPr>
          <w:trHeight w:val="220"/>
        </w:trPr>
        <w:tc>
          <w:tcPr>
            <w:tcW w:w="81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Net loss (gain) on valuation of loans held for investment and HMBS-related borrowings</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16,180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(18,505)</w:t>
            </w:r>
          </w:p>
        </w:tc>
        <w:tc>
          <w:tcPr>
            <w:tcW w:w="0" w:type="dxa"/>
            <w:vAlign w:val="bottom"/>
          </w:tcPr>
          <w:p>
            <w:pPr>
              <w:spacing w:after="0"/>
              <w:rPr>
                <w:sz w:val="1"/>
                <w:szCs w:val="1"/>
                <w:color w:val="auto"/>
              </w:rPr>
            </w:pPr>
          </w:p>
        </w:tc>
      </w:tr>
      <w:tr>
        <w:trPr>
          <w:trHeight w:val="220"/>
        </w:trPr>
        <w:tc>
          <w:tcPr>
            <w:tcW w:w="8100" w:type="dxa"/>
            <w:vAlign w:val="bottom"/>
          </w:tcPr>
          <w:p>
            <w:pPr>
              <w:ind w:left="220"/>
              <w:spacing w:after="0"/>
              <w:rPr>
                <w:sz w:val="20"/>
                <w:szCs w:val="20"/>
                <w:color w:val="auto"/>
              </w:rPr>
            </w:pPr>
            <w:r>
              <w:rPr>
                <w:rFonts w:ascii="Arial" w:cs="Arial" w:eastAsia="Arial" w:hAnsi="Arial"/>
                <w:sz w:val="17"/>
                <w:szCs w:val="17"/>
                <w:color w:val="auto"/>
              </w:rPr>
              <w:t>Earnings of equity method investee</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(15,935)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(350)</w:t>
            </w:r>
          </w:p>
        </w:tc>
        <w:tc>
          <w:tcPr>
            <w:tcW w:w="0" w:type="dxa"/>
            <w:vAlign w:val="bottom"/>
          </w:tcPr>
          <w:p>
            <w:pPr>
              <w:spacing w:after="0"/>
              <w:rPr>
                <w:sz w:val="1"/>
                <w:szCs w:val="1"/>
                <w:color w:val="auto"/>
              </w:rPr>
            </w:pPr>
          </w:p>
        </w:tc>
      </w:tr>
      <w:tr>
        <w:trPr>
          <w:trHeight w:val="220"/>
        </w:trPr>
        <w:tc>
          <w:tcPr>
            <w:tcW w:w="81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Loss (gain) on loans held for sale, net</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2,266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(48,434)</w:t>
            </w:r>
          </w:p>
        </w:tc>
        <w:tc>
          <w:tcPr>
            <w:tcW w:w="0" w:type="dxa"/>
            <w:vAlign w:val="bottom"/>
          </w:tcPr>
          <w:p>
            <w:pPr>
              <w:spacing w:after="0"/>
              <w:rPr>
                <w:sz w:val="1"/>
                <w:szCs w:val="1"/>
                <w:color w:val="auto"/>
              </w:rPr>
            </w:pPr>
          </w:p>
        </w:tc>
      </w:tr>
      <w:tr>
        <w:trPr>
          <w:trHeight w:val="220"/>
        </w:trPr>
        <w:tc>
          <w:tcPr>
            <w:tcW w:w="8100" w:type="dxa"/>
            <w:vAlign w:val="bottom"/>
          </w:tcPr>
          <w:p>
            <w:pPr>
              <w:ind w:left="140"/>
              <w:spacing w:after="0"/>
              <w:rPr>
                <w:sz w:val="20"/>
                <w:szCs w:val="20"/>
                <w:color w:val="auto"/>
              </w:rPr>
            </w:pPr>
            <w:r>
              <w:rPr>
                <w:rFonts w:ascii="Arial" w:cs="Arial" w:eastAsia="Arial" w:hAnsi="Arial"/>
                <w:sz w:val="17"/>
                <w:szCs w:val="17"/>
                <w:color w:val="auto"/>
              </w:rPr>
              <w:t>Origination and purchase of loans held for sale</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(8,154,599)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(6,620,727)</w:t>
            </w:r>
          </w:p>
        </w:tc>
        <w:tc>
          <w:tcPr>
            <w:tcW w:w="0" w:type="dxa"/>
            <w:vAlign w:val="bottom"/>
          </w:tcPr>
          <w:p>
            <w:pPr>
              <w:spacing w:after="0"/>
              <w:rPr>
                <w:sz w:val="1"/>
                <w:szCs w:val="1"/>
                <w:color w:val="auto"/>
              </w:rPr>
            </w:pPr>
          </w:p>
        </w:tc>
      </w:tr>
      <w:tr>
        <w:trPr>
          <w:trHeight w:val="220"/>
        </w:trPr>
        <w:tc>
          <w:tcPr>
            <w:tcW w:w="81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Proceeds from sale and collections of loans held for sale</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8,275,230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6,287,238</w:t>
            </w:r>
          </w:p>
        </w:tc>
        <w:tc>
          <w:tcPr>
            <w:tcW w:w="0" w:type="dxa"/>
            <w:vAlign w:val="bottom"/>
          </w:tcPr>
          <w:p>
            <w:pPr>
              <w:spacing w:after="0"/>
              <w:rPr>
                <w:sz w:val="1"/>
                <w:szCs w:val="1"/>
                <w:color w:val="auto"/>
              </w:rPr>
            </w:pPr>
          </w:p>
        </w:tc>
      </w:tr>
      <w:tr>
        <w:trPr>
          <w:trHeight w:val="220"/>
        </w:trPr>
        <w:tc>
          <w:tcPr>
            <w:tcW w:w="8100" w:type="dxa"/>
            <w:vAlign w:val="bottom"/>
          </w:tcPr>
          <w:p>
            <w:pPr>
              <w:ind w:left="140"/>
              <w:spacing w:after="0"/>
              <w:rPr>
                <w:sz w:val="20"/>
                <w:szCs w:val="20"/>
                <w:color w:val="auto"/>
              </w:rPr>
            </w:pPr>
            <w:r>
              <w:rPr>
                <w:rFonts w:ascii="Arial" w:cs="Arial" w:eastAsia="Arial" w:hAnsi="Arial"/>
                <w:sz w:val="17"/>
                <w:szCs w:val="17"/>
                <w:color w:val="auto"/>
              </w:rPr>
              <w:t>Changes in assets and liabilities:</w:t>
            </w: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81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Decrease in advances, net</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105,932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56,461</w:t>
            </w:r>
          </w:p>
        </w:tc>
        <w:tc>
          <w:tcPr>
            <w:tcW w:w="0" w:type="dxa"/>
            <w:vAlign w:val="bottom"/>
          </w:tcPr>
          <w:p>
            <w:pPr>
              <w:spacing w:after="0"/>
              <w:rPr>
                <w:sz w:val="1"/>
                <w:szCs w:val="1"/>
                <w:color w:val="auto"/>
              </w:rPr>
            </w:pPr>
          </w:p>
        </w:tc>
      </w:tr>
      <w:tr>
        <w:trPr>
          <w:trHeight w:val="220"/>
        </w:trPr>
        <w:tc>
          <w:tcPr>
            <w:tcW w:w="8100" w:type="dxa"/>
            <w:vAlign w:val="bottom"/>
          </w:tcPr>
          <w:p>
            <w:pPr>
              <w:ind w:left="220"/>
              <w:spacing w:after="0"/>
              <w:rPr>
                <w:sz w:val="20"/>
                <w:szCs w:val="20"/>
                <w:color w:val="auto"/>
              </w:rPr>
            </w:pPr>
            <w:r>
              <w:rPr>
                <w:rFonts w:ascii="Arial" w:cs="Arial" w:eastAsia="Arial" w:hAnsi="Arial"/>
                <w:sz w:val="17"/>
                <w:szCs w:val="17"/>
                <w:color w:val="auto"/>
              </w:rPr>
              <w:t>Decrease in receivables and other assets, net</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62,810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44,368</w:t>
            </w:r>
          </w:p>
        </w:tc>
        <w:tc>
          <w:tcPr>
            <w:tcW w:w="0" w:type="dxa"/>
            <w:vAlign w:val="bottom"/>
          </w:tcPr>
          <w:p>
            <w:pPr>
              <w:spacing w:after="0"/>
              <w:rPr>
                <w:sz w:val="1"/>
                <w:szCs w:val="1"/>
                <w:color w:val="auto"/>
              </w:rPr>
            </w:pPr>
          </w:p>
        </w:tc>
      </w:tr>
      <w:tr>
        <w:trPr>
          <w:trHeight w:val="220"/>
        </w:trPr>
        <w:tc>
          <w:tcPr>
            <w:tcW w:w="81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Decrease in other liabilities</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(84,223)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(9,034)</w:t>
            </w:r>
          </w:p>
        </w:tc>
        <w:tc>
          <w:tcPr>
            <w:tcW w:w="0" w:type="dxa"/>
            <w:vAlign w:val="bottom"/>
          </w:tcPr>
          <w:p>
            <w:pPr>
              <w:spacing w:after="0"/>
              <w:rPr>
                <w:sz w:val="1"/>
                <w:szCs w:val="1"/>
                <w:color w:val="auto"/>
              </w:rPr>
            </w:pPr>
          </w:p>
        </w:tc>
      </w:tr>
      <w:tr>
        <w:trPr>
          <w:trHeight w:val="220"/>
        </w:trPr>
        <w:tc>
          <w:tcPr>
            <w:tcW w:w="810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Other, net</w:t>
            </w: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(4,240)</w:t>
            </w:r>
          </w:p>
        </w:tc>
        <w:tc>
          <w:tcPr>
            <w:tcW w:w="0" w:type="dxa"/>
            <w:vAlign w:val="bottom"/>
          </w:tcPr>
          <w:p>
            <w:pPr>
              <w:spacing w:after="0"/>
              <w:rPr>
                <w:sz w:val="1"/>
                <w:szCs w:val="1"/>
                <w:color w:val="auto"/>
              </w:rPr>
            </w:pPr>
          </w:p>
        </w:tc>
      </w:tr>
      <w:tr>
        <w:trPr>
          <w:trHeight w:val="213"/>
        </w:trPr>
        <w:tc>
          <w:tcPr>
            <w:tcW w:w="81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Net cash provided by (used in) operating activities</w:t>
            </w:r>
          </w:p>
        </w:tc>
        <w:tc>
          <w:tcPr>
            <w:tcW w:w="1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298,874</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(216,237)</w:t>
            </w:r>
          </w:p>
        </w:tc>
        <w:tc>
          <w:tcPr>
            <w:tcW w:w="0" w:type="dxa"/>
            <w:vAlign w:val="bottom"/>
          </w:tcPr>
          <w:p>
            <w:pPr>
              <w:spacing w:after="0"/>
              <w:rPr>
                <w:sz w:val="1"/>
                <w:szCs w:val="1"/>
                <w:color w:val="auto"/>
              </w:rPr>
            </w:pPr>
          </w:p>
        </w:tc>
      </w:tr>
      <w:tr>
        <w:trPr>
          <w:trHeight w:val="135"/>
        </w:trPr>
        <w:tc>
          <w:tcPr>
            <w:tcW w:w="8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0"/>
        </w:trPr>
        <w:tc>
          <w:tcPr>
            <w:tcW w:w="81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Cash flows from investing activities</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8100" w:type="dxa"/>
            <w:vAlign w:val="bottom"/>
          </w:tcPr>
          <w:p>
            <w:pPr>
              <w:ind w:left="140"/>
              <w:spacing w:after="0"/>
              <w:rPr>
                <w:sz w:val="20"/>
                <w:szCs w:val="20"/>
                <w:color w:val="auto"/>
              </w:rPr>
            </w:pPr>
            <w:r>
              <w:rPr>
                <w:rFonts w:ascii="Arial" w:cs="Arial" w:eastAsia="Arial" w:hAnsi="Arial"/>
                <w:sz w:val="17"/>
                <w:szCs w:val="17"/>
                <w:color w:val="auto"/>
              </w:rPr>
              <w:t>Origination of loans held for investment</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(1,144,856)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(720,442)</w:t>
            </w:r>
          </w:p>
        </w:tc>
        <w:tc>
          <w:tcPr>
            <w:tcW w:w="0" w:type="dxa"/>
            <w:vAlign w:val="bottom"/>
          </w:tcPr>
          <w:p>
            <w:pPr>
              <w:spacing w:after="0"/>
              <w:rPr>
                <w:sz w:val="1"/>
                <w:szCs w:val="1"/>
                <w:color w:val="auto"/>
              </w:rPr>
            </w:pPr>
          </w:p>
        </w:tc>
      </w:tr>
      <w:tr>
        <w:trPr>
          <w:trHeight w:val="220"/>
        </w:trPr>
        <w:tc>
          <w:tcPr>
            <w:tcW w:w="81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Principal payments received on loans held for investment</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995,711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722,099</w:t>
            </w:r>
          </w:p>
        </w:tc>
        <w:tc>
          <w:tcPr>
            <w:tcW w:w="0" w:type="dxa"/>
            <w:vAlign w:val="bottom"/>
          </w:tcPr>
          <w:p>
            <w:pPr>
              <w:spacing w:after="0"/>
              <w:rPr>
                <w:sz w:val="1"/>
                <w:szCs w:val="1"/>
                <w:color w:val="auto"/>
              </w:rPr>
            </w:pPr>
          </w:p>
        </w:tc>
      </w:tr>
      <w:tr>
        <w:trPr>
          <w:trHeight w:val="220"/>
        </w:trPr>
        <w:tc>
          <w:tcPr>
            <w:tcW w:w="8100" w:type="dxa"/>
            <w:vAlign w:val="bottom"/>
          </w:tcPr>
          <w:p>
            <w:pPr>
              <w:ind w:left="120"/>
              <w:spacing w:after="0"/>
              <w:rPr>
                <w:sz w:val="20"/>
                <w:szCs w:val="20"/>
                <w:color w:val="auto"/>
              </w:rPr>
            </w:pPr>
            <w:r>
              <w:rPr>
                <w:rFonts w:ascii="Arial" w:cs="Arial" w:eastAsia="Arial" w:hAnsi="Arial"/>
                <w:sz w:val="17"/>
                <w:szCs w:val="17"/>
                <w:color w:val="auto"/>
              </w:rPr>
              <w:t>Acquisition of loans held for investment, net</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(3,634)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81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Acquisition of reverse mortgage subservicing agreements</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(6,906)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8100" w:type="dxa"/>
            <w:vAlign w:val="bottom"/>
          </w:tcPr>
          <w:p>
            <w:pPr>
              <w:ind w:left="140"/>
              <w:spacing w:after="0"/>
              <w:rPr>
                <w:sz w:val="20"/>
                <w:szCs w:val="20"/>
                <w:color w:val="auto"/>
              </w:rPr>
            </w:pPr>
            <w:r>
              <w:rPr>
                <w:rFonts w:ascii="Arial" w:cs="Arial" w:eastAsia="Arial" w:hAnsi="Arial"/>
                <w:sz w:val="17"/>
                <w:szCs w:val="17"/>
                <w:color w:val="auto"/>
              </w:rPr>
              <w:t>Purchase of MSRs</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(103,473)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(712,578)</w:t>
            </w:r>
          </w:p>
        </w:tc>
        <w:tc>
          <w:tcPr>
            <w:tcW w:w="0" w:type="dxa"/>
            <w:vAlign w:val="bottom"/>
          </w:tcPr>
          <w:p>
            <w:pPr>
              <w:spacing w:after="0"/>
              <w:rPr>
                <w:sz w:val="1"/>
                <w:szCs w:val="1"/>
                <w:color w:val="auto"/>
              </w:rPr>
            </w:pPr>
          </w:p>
        </w:tc>
      </w:tr>
      <w:tr>
        <w:trPr>
          <w:trHeight w:val="220"/>
        </w:trPr>
        <w:tc>
          <w:tcPr>
            <w:tcW w:w="81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Proceeds from sale of MSRs</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134,465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8100" w:type="dxa"/>
            <w:vAlign w:val="bottom"/>
          </w:tcPr>
          <w:p>
            <w:pPr>
              <w:ind w:left="140"/>
              <w:spacing w:after="0"/>
              <w:rPr>
                <w:sz w:val="20"/>
                <w:szCs w:val="20"/>
                <w:color w:val="auto"/>
              </w:rPr>
            </w:pPr>
            <w:r>
              <w:rPr>
                <w:rFonts w:ascii="Arial" w:cs="Arial" w:eastAsia="Arial" w:hAnsi="Arial"/>
                <w:sz w:val="17"/>
                <w:szCs w:val="17"/>
                <w:color w:val="auto"/>
              </w:rPr>
              <w:t>Proceeds from sale of advances</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754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81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Additions to premises and equipment</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(2,152)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(831)</w:t>
            </w:r>
          </w:p>
        </w:tc>
        <w:tc>
          <w:tcPr>
            <w:tcW w:w="0" w:type="dxa"/>
            <w:vAlign w:val="bottom"/>
          </w:tcPr>
          <w:p>
            <w:pPr>
              <w:spacing w:after="0"/>
              <w:rPr>
                <w:sz w:val="1"/>
                <w:szCs w:val="1"/>
                <w:color w:val="auto"/>
              </w:rPr>
            </w:pPr>
          </w:p>
        </w:tc>
      </w:tr>
      <w:tr>
        <w:trPr>
          <w:trHeight w:val="220"/>
        </w:trPr>
        <w:tc>
          <w:tcPr>
            <w:tcW w:w="8100" w:type="dxa"/>
            <w:vAlign w:val="bottom"/>
          </w:tcPr>
          <w:p>
            <w:pPr>
              <w:ind w:left="140"/>
              <w:spacing w:after="0"/>
              <w:rPr>
                <w:sz w:val="20"/>
                <w:szCs w:val="20"/>
                <w:color w:val="auto"/>
              </w:rPr>
            </w:pPr>
            <w:r>
              <w:rPr>
                <w:rFonts w:ascii="Arial" w:cs="Arial" w:eastAsia="Arial" w:hAnsi="Arial"/>
                <w:sz w:val="17"/>
                <w:szCs w:val="17"/>
                <w:color w:val="auto"/>
              </w:rPr>
              <w:t>Purchase of real estate</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(197)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(5,098)</w:t>
            </w:r>
          </w:p>
        </w:tc>
        <w:tc>
          <w:tcPr>
            <w:tcW w:w="0" w:type="dxa"/>
            <w:vAlign w:val="bottom"/>
          </w:tcPr>
          <w:p>
            <w:pPr>
              <w:spacing w:after="0"/>
              <w:rPr>
                <w:sz w:val="1"/>
                <w:szCs w:val="1"/>
                <w:color w:val="auto"/>
              </w:rPr>
            </w:pPr>
          </w:p>
        </w:tc>
      </w:tr>
      <w:tr>
        <w:trPr>
          <w:trHeight w:val="220"/>
        </w:trPr>
        <w:tc>
          <w:tcPr>
            <w:tcW w:w="81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Proceeds from sale of real estate</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4,402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5,190</w:t>
            </w:r>
          </w:p>
        </w:tc>
        <w:tc>
          <w:tcPr>
            <w:tcW w:w="0" w:type="dxa"/>
            <w:vAlign w:val="bottom"/>
          </w:tcPr>
          <w:p>
            <w:pPr>
              <w:spacing w:after="0"/>
              <w:rPr>
                <w:sz w:val="1"/>
                <w:szCs w:val="1"/>
                <w:color w:val="auto"/>
              </w:rPr>
            </w:pPr>
          </w:p>
        </w:tc>
      </w:tr>
      <w:tr>
        <w:trPr>
          <w:trHeight w:val="220"/>
        </w:trPr>
        <w:tc>
          <w:tcPr>
            <w:tcW w:w="8100" w:type="dxa"/>
            <w:vAlign w:val="bottom"/>
          </w:tcPr>
          <w:p>
            <w:pPr>
              <w:ind w:left="140"/>
              <w:spacing w:after="0"/>
              <w:rPr>
                <w:sz w:val="20"/>
                <w:szCs w:val="20"/>
                <w:color w:val="auto"/>
              </w:rPr>
            </w:pPr>
            <w:r>
              <w:rPr>
                <w:rFonts w:ascii="Arial" w:cs="Arial" w:eastAsia="Arial" w:hAnsi="Arial"/>
                <w:sz w:val="17"/>
                <w:szCs w:val="17"/>
                <w:color w:val="auto"/>
              </w:rPr>
              <w:t>Proceeds from sale of premises and equipment</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135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81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Investment in equity method investee</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(16,500)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(11,528)</w:t>
            </w:r>
          </w:p>
        </w:tc>
        <w:tc>
          <w:tcPr>
            <w:tcW w:w="0" w:type="dxa"/>
            <w:vAlign w:val="bottom"/>
          </w:tcPr>
          <w:p>
            <w:pPr>
              <w:spacing w:after="0"/>
              <w:rPr>
                <w:sz w:val="1"/>
                <w:szCs w:val="1"/>
                <w:color w:val="auto"/>
              </w:rPr>
            </w:pPr>
          </w:p>
        </w:tc>
      </w:tr>
      <w:tr>
        <w:trPr>
          <w:trHeight w:val="220"/>
        </w:trPr>
        <w:tc>
          <w:tcPr>
            <w:tcW w:w="8100" w:type="dxa"/>
            <w:vAlign w:val="bottom"/>
          </w:tcPr>
          <w:p>
            <w:pPr>
              <w:ind w:left="140"/>
              <w:spacing w:after="0"/>
              <w:rPr>
                <w:sz w:val="20"/>
                <w:szCs w:val="20"/>
                <w:color w:val="auto"/>
              </w:rPr>
            </w:pPr>
            <w:r>
              <w:rPr>
                <w:rFonts w:ascii="Arial" w:cs="Arial" w:eastAsia="Arial" w:hAnsi="Arial"/>
                <w:sz w:val="17"/>
                <w:szCs w:val="17"/>
                <w:color w:val="auto"/>
              </w:rPr>
              <w:t>Distribution of capital from equity method investee</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16,875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81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Other, net</w:t>
            </w: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692</w:t>
            </w:r>
          </w:p>
        </w:tc>
        <w:tc>
          <w:tcPr>
            <w:tcW w:w="0" w:type="dxa"/>
            <w:vAlign w:val="bottom"/>
          </w:tcPr>
          <w:p>
            <w:pPr>
              <w:spacing w:after="0"/>
              <w:rPr>
                <w:sz w:val="1"/>
                <w:szCs w:val="1"/>
                <w:color w:val="auto"/>
              </w:rPr>
            </w:pPr>
          </w:p>
        </w:tc>
      </w:tr>
      <w:tr>
        <w:trPr>
          <w:trHeight w:val="213"/>
        </w:trPr>
        <w:tc>
          <w:tcPr>
            <w:tcW w:w="810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Net cash used in investing activities</w:t>
            </w: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(125,346)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(722,496)</w:t>
            </w:r>
          </w:p>
        </w:tc>
        <w:tc>
          <w:tcPr>
            <w:tcW w:w="0" w:type="dxa"/>
            <w:vAlign w:val="bottom"/>
          </w:tcPr>
          <w:p>
            <w:pPr>
              <w:spacing w:after="0"/>
              <w:rPr>
                <w:sz w:val="1"/>
                <w:szCs w:val="1"/>
                <w:color w:val="auto"/>
              </w:rPr>
            </w:pPr>
          </w:p>
        </w:tc>
      </w:tr>
      <w:tr>
        <w:trPr>
          <w:trHeight w:val="135"/>
        </w:trPr>
        <w:tc>
          <w:tcPr>
            <w:tcW w:w="8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20"/>
        </w:trPr>
        <w:tc>
          <w:tcPr>
            <w:tcW w:w="8100" w:type="dxa"/>
            <w:vAlign w:val="bottom"/>
          </w:tcPr>
          <w:p>
            <w:pPr>
              <w:ind w:left="20"/>
              <w:spacing w:after="0"/>
              <w:rPr>
                <w:sz w:val="20"/>
                <w:szCs w:val="20"/>
                <w:color w:val="auto"/>
              </w:rPr>
            </w:pPr>
            <w:r>
              <w:rPr>
                <w:rFonts w:ascii="Arial" w:cs="Arial" w:eastAsia="Arial" w:hAnsi="Arial"/>
                <w:sz w:val="17"/>
                <w:szCs w:val="17"/>
                <w:b w:val="1"/>
                <w:bCs w:val="1"/>
                <w:color w:val="auto"/>
              </w:rPr>
              <w:t>Cash flows from financing activities</w:t>
            </w: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81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Repayment of advance match funded liabilities, net</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(35,319)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(51,106)</w:t>
            </w:r>
          </w:p>
        </w:tc>
        <w:tc>
          <w:tcPr>
            <w:tcW w:w="0" w:type="dxa"/>
            <w:vAlign w:val="bottom"/>
          </w:tcPr>
          <w:p>
            <w:pPr>
              <w:spacing w:after="0"/>
              <w:rPr>
                <w:sz w:val="1"/>
                <w:szCs w:val="1"/>
                <w:color w:val="auto"/>
              </w:rPr>
            </w:pPr>
          </w:p>
        </w:tc>
      </w:tr>
      <w:tr>
        <w:trPr>
          <w:trHeight w:val="220"/>
        </w:trPr>
        <w:tc>
          <w:tcPr>
            <w:tcW w:w="8100" w:type="dxa"/>
            <w:vAlign w:val="bottom"/>
          </w:tcPr>
          <w:p>
            <w:pPr>
              <w:ind w:left="140"/>
              <w:spacing w:after="0"/>
              <w:rPr>
                <w:sz w:val="20"/>
                <w:szCs w:val="20"/>
                <w:color w:val="auto"/>
              </w:rPr>
            </w:pPr>
            <w:r>
              <w:rPr>
                <w:rFonts w:ascii="Arial" w:cs="Arial" w:eastAsia="Arial" w:hAnsi="Arial"/>
                <w:sz w:val="17"/>
                <w:szCs w:val="17"/>
                <w:color w:val="auto"/>
              </w:rPr>
              <w:t>Repayment of other financing liabilities</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(57,608)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(39,616)</w:t>
            </w:r>
          </w:p>
        </w:tc>
        <w:tc>
          <w:tcPr>
            <w:tcW w:w="0" w:type="dxa"/>
            <w:vAlign w:val="bottom"/>
          </w:tcPr>
          <w:p>
            <w:pPr>
              <w:spacing w:after="0"/>
              <w:rPr>
                <w:sz w:val="1"/>
                <w:szCs w:val="1"/>
                <w:color w:val="auto"/>
              </w:rPr>
            </w:pPr>
          </w:p>
        </w:tc>
      </w:tr>
      <w:tr>
        <w:trPr>
          <w:trHeight w:val="220"/>
        </w:trPr>
        <w:tc>
          <w:tcPr>
            <w:tcW w:w="81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Proceeds from (repayment of) mortgage loan warehouse facilities, net</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(305,806)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321,639</w:t>
            </w:r>
          </w:p>
        </w:tc>
        <w:tc>
          <w:tcPr>
            <w:tcW w:w="0" w:type="dxa"/>
            <w:vAlign w:val="bottom"/>
          </w:tcPr>
          <w:p>
            <w:pPr>
              <w:spacing w:after="0"/>
              <w:rPr>
                <w:sz w:val="1"/>
                <w:szCs w:val="1"/>
                <w:color w:val="auto"/>
              </w:rPr>
            </w:pPr>
          </w:p>
        </w:tc>
      </w:tr>
      <w:tr>
        <w:trPr>
          <w:trHeight w:val="220"/>
        </w:trPr>
        <w:tc>
          <w:tcPr>
            <w:tcW w:w="8100" w:type="dxa"/>
            <w:vAlign w:val="bottom"/>
          </w:tcPr>
          <w:p>
            <w:pPr>
              <w:ind w:left="140"/>
              <w:spacing w:after="0"/>
              <w:rPr>
                <w:sz w:val="20"/>
                <w:szCs w:val="20"/>
                <w:color w:val="auto"/>
              </w:rPr>
            </w:pPr>
            <w:r>
              <w:rPr>
                <w:rFonts w:ascii="Arial" w:cs="Arial" w:eastAsia="Arial" w:hAnsi="Arial"/>
                <w:sz w:val="17"/>
                <w:szCs w:val="17"/>
                <w:color w:val="auto"/>
              </w:rPr>
              <w:t>Proceeds from MSR financing facilities</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277,688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630,003</w:t>
            </w:r>
          </w:p>
        </w:tc>
        <w:tc>
          <w:tcPr>
            <w:tcW w:w="0" w:type="dxa"/>
            <w:vAlign w:val="bottom"/>
          </w:tcPr>
          <w:p>
            <w:pPr>
              <w:spacing w:after="0"/>
              <w:rPr>
                <w:sz w:val="1"/>
                <w:szCs w:val="1"/>
                <w:color w:val="auto"/>
              </w:rPr>
            </w:pPr>
          </w:p>
        </w:tc>
      </w:tr>
      <w:tr>
        <w:trPr>
          <w:trHeight w:val="220"/>
        </w:trPr>
        <w:tc>
          <w:tcPr>
            <w:tcW w:w="81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Repayment of MSR financing facilities</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(188,929)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(53,509)</w:t>
            </w:r>
          </w:p>
        </w:tc>
        <w:tc>
          <w:tcPr>
            <w:tcW w:w="0" w:type="dxa"/>
            <w:vAlign w:val="bottom"/>
          </w:tcPr>
          <w:p>
            <w:pPr>
              <w:spacing w:after="0"/>
              <w:rPr>
                <w:sz w:val="1"/>
                <w:szCs w:val="1"/>
                <w:color w:val="auto"/>
              </w:rPr>
            </w:pPr>
          </w:p>
        </w:tc>
      </w:tr>
      <w:tr>
        <w:trPr>
          <w:trHeight w:val="220"/>
        </w:trPr>
        <w:tc>
          <w:tcPr>
            <w:tcW w:w="8100" w:type="dxa"/>
            <w:vAlign w:val="bottom"/>
          </w:tcPr>
          <w:p>
            <w:pPr>
              <w:ind w:left="140"/>
              <w:spacing w:after="0"/>
              <w:rPr>
                <w:sz w:val="20"/>
                <w:szCs w:val="20"/>
                <w:color w:val="auto"/>
              </w:rPr>
            </w:pPr>
            <w:r>
              <w:rPr>
                <w:rFonts w:ascii="Arial" w:cs="Arial" w:eastAsia="Arial" w:hAnsi="Arial"/>
                <w:sz w:val="17"/>
                <w:szCs w:val="17"/>
                <w:color w:val="auto"/>
              </w:rPr>
              <w:t>Repurchase and repayment of Senior notes</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(23,625)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(319,156)</w:t>
            </w:r>
          </w:p>
        </w:tc>
        <w:tc>
          <w:tcPr>
            <w:tcW w:w="0" w:type="dxa"/>
            <w:vAlign w:val="bottom"/>
          </w:tcPr>
          <w:p>
            <w:pPr>
              <w:spacing w:after="0"/>
              <w:rPr>
                <w:sz w:val="1"/>
                <w:szCs w:val="1"/>
                <w:color w:val="auto"/>
              </w:rPr>
            </w:pPr>
          </w:p>
        </w:tc>
      </w:tr>
      <w:tr>
        <w:trPr>
          <w:trHeight w:val="220"/>
        </w:trPr>
        <w:tc>
          <w:tcPr>
            <w:tcW w:w="81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Proceeds from issuance of Senior notes and warrants</w:t>
            </w:r>
          </w:p>
        </w:tc>
        <w:tc>
          <w:tcPr>
            <w:tcW w:w="1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647,944</w:t>
            </w:r>
          </w:p>
        </w:tc>
        <w:tc>
          <w:tcPr>
            <w:tcW w:w="0" w:type="dxa"/>
            <w:vAlign w:val="bottom"/>
          </w:tcPr>
          <w:p>
            <w:pPr>
              <w:spacing w:after="0"/>
              <w:rPr>
                <w:sz w:val="1"/>
                <w:szCs w:val="1"/>
                <w:color w:val="auto"/>
              </w:rPr>
            </w:pPr>
          </w:p>
        </w:tc>
      </w:tr>
      <w:tr>
        <w:trPr>
          <w:trHeight w:val="220"/>
        </w:trPr>
        <w:tc>
          <w:tcPr>
            <w:tcW w:w="8100" w:type="dxa"/>
            <w:vAlign w:val="bottom"/>
          </w:tcPr>
          <w:p>
            <w:pPr>
              <w:ind w:left="140"/>
              <w:spacing w:after="0"/>
              <w:rPr>
                <w:sz w:val="20"/>
                <w:szCs w:val="20"/>
                <w:color w:val="auto"/>
              </w:rPr>
            </w:pPr>
            <w:r>
              <w:rPr>
                <w:rFonts w:ascii="Arial" w:cs="Arial" w:eastAsia="Arial" w:hAnsi="Arial"/>
                <w:sz w:val="17"/>
                <w:szCs w:val="17"/>
                <w:color w:val="auto"/>
              </w:rPr>
              <w:t>Repayment of senior secured term loan (SSTL) borrowings</w:t>
            </w:r>
          </w:p>
        </w:tc>
        <w:tc>
          <w:tcPr>
            <w:tcW w:w="18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(188,700)</w:t>
            </w:r>
          </w:p>
        </w:tc>
        <w:tc>
          <w:tcPr>
            <w:tcW w:w="0" w:type="dxa"/>
            <w:vAlign w:val="bottom"/>
          </w:tcPr>
          <w:p>
            <w:pPr>
              <w:spacing w:after="0"/>
              <w:rPr>
                <w:sz w:val="1"/>
                <w:szCs w:val="1"/>
                <w:color w:val="auto"/>
              </w:rPr>
            </w:pPr>
          </w:p>
        </w:tc>
      </w:tr>
      <w:tr>
        <w:trPr>
          <w:trHeight w:val="220"/>
        </w:trPr>
        <w:tc>
          <w:tcPr>
            <w:tcW w:w="81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Payment of debt issuance costs</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(16,032)</w:t>
            </w:r>
          </w:p>
        </w:tc>
        <w:tc>
          <w:tcPr>
            <w:tcW w:w="0" w:type="dxa"/>
            <w:vAlign w:val="bottom"/>
          </w:tcPr>
          <w:p>
            <w:pPr>
              <w:spacing w:after="0"/>
              <w:rPr>
                <w:sz w:val="1"/>
                <w:szCs w:val="1"/>
                <w:color w:val="auto"/>
              </w:rPr>
            </w:pPr>
          </w:p>
        </w:tc>
      </w:tr>
      <w:tr>
        <w:trPr>
          <w:trHeight w:val="220"/>
        </w:trPr>
        <w:tc>
          <w:tcPr>
            <w:tcW w:w="8100" w:type="dxa"/>
            <w:vAlign w:val="bottom"/>
          </w:tcPr>
          <w:p>
            <w:pPr>
              <w:ind w:left="140"/>
              <w:spacing w:after="0"/>
              <w:rPr>
                <w:sz w:val="20"/>
                <w:szCs w:val="20"/>
                <w:color w:val="auto"/>
              </w:rPr>
            </w:pPr>
            <w:r>
              <w:rPr>
                <w:rFonts w:ascii="Arial" w:cs="Arial" w:eastAsia="Arial" w:hAnsi="Arial"/>
                <w:sz w:val="17"/>
                <w:szCs w:val="17"/>
                <w:color w:val="auto"/>
              </w:rPr>
              <w:t>Proceeds from sale of MSRs accounted for as secured financing</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66,237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68"/>
        </w:trPr>
        <w:tc>
          <w:tcPr>
            <w:tcW w:w="8100" w:type="dxa"/>
            <w:vAlign w:val="bottom"/>
            <w:shd w:val="clear" w:color="auto" w:fill="CCEEFF"/>
          </w:tcPr>
          <w:p>
            <w:pPr>
              <w:ind w:left="140"/>
              <w:spacing w:after="0" w:line="168" w:lineRule="exact"/>
              <w:rPr>
                <w:sz w:val="20"/>
                <w:szCs w:val="20"/>
                <w:color w:val="auto"/>
              </w:rPr>
            </w:pPr>
            <w:r>
              <w:rPr>
                <w:rFonts w:ascii="Arial" w:cs="Arial" w:eastAsia="Arial" w:hAnsi="Arial"/>
                <w:sz w:val="17"/>
                <w:szCs w:val="17"/>
                <w:color w:val="auto"/>
                <w:w w:val="96"/>
              </w:rPr>
              <w:t>Proceeds from sale of Home Equity Conversion Mortgages (HECM, or reverse mortgages) accounted for as a</w:t>
            </w:r>
          </w:p>
        </w:tc>
        <w:tc>
          <w:tcPr>
            <w:tcW w:w="180" w:type="dxa"/>
            <w:vAlign w:val="bottom"/>
            <w:shd w:val="clear" w:color="auto" w:fill="CCEEFF"/>
          </w:tcPr>
          <w:p>
            <w:pPr>
              <w:spacing w:after="0"/>
              <w:rPr>
                <w:sz w:val="14"/>
                <w:szCs w:val="14"/>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1,149,876</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667,480</w:t>
            </w:r>
          </w:p>
        </w:tc>
        <w:tc>
          <w:tcPr>
            <w:tcW w:w="0" w:type="dxa"/>
            <w:vAlign w:val="bottom"/>
          </w:tcPr>
          <w:p>
            <w:pPr>
              <w:spacing w:after="0"/>
              <w:rPr>
                <w:sz w:val="1"/>
                <w:szCs w:val="1"/>
                <w:color w:val="auto"/>
              </w:rPr>
            </w:pPr>
          </w:p>
        </w:tc>
      </w:tr>
      <w:tr>
        <w:trPr>
          <w:trHeight w:val="219"/>
        </w:trPr>
        <w:tc>
          <w:tcPr>
            <w:tcW w:w="8100" w:type="dxa"/>
            <w:vAlign w:val="bottom"/>
            <w:shd w:val="clear" w:color="auto" w:fill="CCEEFF"/>
          </w:tcPr>
          <w:p>
            <w:pPr>
              <w:ind w:left="300"/>
              <w:spacing w:after="0"/>
              <w:rPr>
                <w:sz w:val="20"/>
                <w:szCs w:val="20"/>
                <w:color w:val="auto"/>
              </w:rPr>
            </w:pPr>
            <w:r>
              <w:rPr>
                <w:rFonts w:ascii="Arial" w:cs="Arial" w:eastAsia="Arial" w:hAnsi="Arial"/>
                <w:sz w:val="17"/>
                <w:szCs w:val="17"/>
                <w:color w:val="auto"/>
              </w:rPr>
              <w:t>financing (HMBS-related borrowings)</w:t>
            </w:r>
          </w:p>
        </w:tc>
        <w:tc>
          <w:tcPr>
            <w:tcW w:w="180" w:type="dxa"/>
            <w:vAlign w:val="bottom"/>
            <w:shd w:val="clear" w:color="auto" w:fill="CCEEFF"/>
          </w:tcPr>
          <w:p>
            <w:pPr>
              <w:spacing w:after="0"/>
              <w:rPr>
                <w:sz w:val="19"/>
                <w:szCs w:val="19"/>
                <w:color w:val="auto"/>
              </w:rPr>
            </w:pPr>
          </w:p>
        </w:tc>
        <w:tc>
          <w:tcPr>
            <w:tcW w:w="13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8100" w:type="dxa"/>
            <w:vAlign w:val="bottom"/>
          </w:tcPr>
          <w:p>
            <w:pPr>
              <w:ind w:left="140"/>
              <w:spacing w:after="0"/>
              <w:rPr>
                <w:sz w:val="20"/>
                <w:szCs w:val="20"/>
                <w:color w:val="auto"/>
              </w:rPr>
            </w:pPr>
            <w:r>
              <w:rPr>
                <w:rFonts w:ascii="Arial" w:cs="Arial" w:eastAsia="Arial" w:hAnsi="Arial"/>
                <w:sz w:val="17"/>
                <w:szCs w:val="17"/>
                <w:color w:val="auto"/>
              </w:rPr>
              <w:t>Repayment of HMBS-related borrowings</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(993,487)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(715,332)</w:t>
            </w:r>
          </w:p>
        </w:tc>
        <w:tc>
          <w:tcPr>
            <w:tcW w:w="0" w:type="dxa"/>
            <w:vAlign w:val="bottom"/>
          </w:tcPr>
          <w:p>
            <w:pPr>
              <w:spacing w:after="0"/>
              <w:rPr>
                <w:sz w:val="1"/>
                <w:szCs w:val="1"/>
                <w:color w:val="auto"/>
              </w:rPr>
            </w:pPr>
          </w:p>
        </w:tc>
      </w:tr>
      <w:tr>
        <w:trPr>
          <w:trHeight w:val="220"/>
        </w:trPr>
        <w:tc>
          <w:tcPr>
            <w:tcW w:w="81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Issuance of common stock</w:t>
            </w:r>
          </w:p>
        </w:tc>
        <w:tc>
          <w:tcPr>
            <w:tcW w:w="1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9,878</w:t>
            </w:r>
          </w:p>
        </w:tc>
        <w:tc>
          <w:tcPr>
            <w:tcW w:w="0" w:type="dxa"/>
            <w:vAlign w:val="bottom"/>
          </w:tcPr>
          <w:p>
            <w:pPr>
              <w:spacing w:after="0"/>
              <w:rPr>
                <w:sz w:val="1"/>
                <w:szCs w:val="1"/>
                <w:color w:val="auto"/>
              </w:rPr>
            </w:pPr>
          </w:p>
        </w:tc>
      </w:tr>
      <w:tr>
        <w:trPr>
          <w:trHeight w:val="220"/>
        </w:trPr>
        <w:tc>
          <w:tcPr>
            <w:tcW w:w="8100" w:type="dxa"/>
            <w:vAlign w:val="bottom"/>
          </w:tcPr>
          <w:p>
            <w:pPr>
              <w:ind w:left="140"/>
              <w:spacing w:after="0"/>
              <w:rPr>
                <w:sz w:val="20"/>
                <w:szCs w:val="20"/>
                <w:color w:val="auto"/>
              </w:rPr>
            </w:pPr>
            <w:r>
              <w:rPr>
                <w:rFonts w:ascii="Arial" w:cs="Arial" w:eastAsia="Arial" w:hAnsi="Arial"/>
                <w:sz w:val="17"/>
                <w:szCs w:val="17"/>
                <w:color w:val="auto"/>
              </w:rPr>
              <w:t>Repurchase of common stock</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(2,262)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81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Other, net</w:t>
            </w:r>
          </w:p>
        </w:tc>
        <w:tc>
          <w:tcPr>
            <w:tcW w:w="1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(525)</w:t>
            </w:r>
          </w:p>
        </w:tc>
        <w:tc>
          <w:tcPr>
            <w:tcW w:w="0" w:type="dxa"/>
            <w:vAlign w:val="bottom"/>
          </w:tcPr>
          <w:p>
            <w:pPr>
              <w:spacing w:after="0"/>
              <w:rPr>
                <w:sz w:val="1"/>
                <w:szCs w:val="1"/>
                <w:color w:val="auto"/>
              </w:rPr>
            </w:pPr>
          </w:p>
        </w:tc>
      </w:tr>
      <w:tr>
        <w:trPr>
          <w:trHeight w:val="213"/>
        </w:trPr>
        <w:tc>
          <w:tcPr>
            <w:tcW w:w="810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Net cash provided by (used in) financing activities</w:t>
            </w:r>
          </w:p>
        </w:tc>
        <w:tc>
          <w:tcPr>
            <w:tcW w:w="18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(114,399)</w:t>
            </w:r>
          </w:p>
        </w:tc>
        <w:tc>
          <w:tcPr>
            <w:tcW w:w="10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892,968</w:t>
            </w:r>
          </w:p>
        </w:tc>
        <w:tc>
          <w:tcPr>
            <w:tcW w:w="0" w:type="dxa"/>
            <w:vAlign w:val="bottom"/>
          </w:tcPr>
          <w:p>
            <w:pPr>
              <w:spacing w:after="0"/>
              <w:rPr>
                <w:sz w:val="1"/>
                <w:szCs w:val="1"/>
                <w:color w:val="auto"/>
              </w:rPr>
            </w:pPr>
          </w:p>
        </w:tc>
      </w:tr>
      <w:tr>
        <w:trPr>
          <w:trHeight w:val="135"/>
        </w:trPr>
        <w:tc>
          <w:tcPr>
            <w:tcW w:w="8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20"/>
        </w:trPr>
        <w:tc>
          <w:tcPr>
            <w:tcW w:w="8100" w:type="dxa"/>
            <w:vAlign w:val="bottom"/>
          </w:tcPr>
          <w:p>
            <w:pPr>
              <w:ind w:left="20"/>
              <w:spacing w:after="0"/>
              <w:rPr>
                <w:sz w:val="20"/>
                <w:szCs w:val="20"/>
                <w:color w:val="auto"/>
              </w:rPr>
            </w:pPr>
            <w:r>
              <w:rPr>
                <w:rFonts w:ascii="Arial" w:cs="Arial" w:eastAsia="Arial" w:hAnsi="Arial"/>
                <w:sz w:val="17"/>
                <w:szCs w:val="17"/>
                <w:color w:val="auto"/>
              </w:rPr>
              <w:t>Net increase (decrease) in cash, cash equivalents and restricted cash</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59,129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(45,765)</w:t>
            </w:r>
          </w:p>
        </w:tc>
        <w:tc>
          <w:tcPr>
            <w:tcW w:w="0" w:type="dxa"/>
            <w:vAlign w:val="bottom"/>
          </w:tcPr>
          <w:p>
            <w:pPr>
              <w:spacing w:after="0"/>
              <w:rPr>
                <w:sz w:val="1"/>
                <w:szCs w:val="1"/>
                <w:color w:val="auto"/>
              </w:rPr>
            </w:pPr>
          </w:p>
        </w:tc>
      </w:tr>
      <w:tr>
        <w:trPr>
          <w:trHeight w:val="220"/>
        </w:trPr>
        <w:tc>
          <w:tcPr>
            <w:tcW w:w="8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cash equivalents and restricted cash at beginning of year</w:t>
            </w: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263,446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357,265</w:t>
            </w:r>
          </w:p>
        </w:tc>
        <w:tc>
          <w:tcPr>
            <w:tcW w:w="0" w:type="dxa"/>
            <w:vAlign w:val="bottom"/>
          </w:tcPr>
          <w:p>
            <w:pPr>
              <w:spacing w:after="0"/>
              <w:rPr>
                <w:sz w:val="1"/>
                <w:szCs w:val="1"/>
                <w:color w:val="auto"/>
              </w:rPr>
            </w:pPr>
          </w:p>
        </w:tc>
      </w:tr>
      <w:tr>
        <w:trPr>
          <w:trHeight w:val="213"/>
        </w:trPr>
        <w:tc>
          <w:tcPr>
            <w:tcW w:w="8100" w:type="dxa"/>
            <w:vAlign w:val="bottom"/>
          </w:tcPr>
          <w:p>
            <w:pPr>
              <w:ind w:left="20"/>
              <w:spacing w:after="0"/>
              <w:rPr>
                <w:sz w:val="20"/>
                <w:szCs w:val="20"/>
                <w:color w:val="auto"/>
              </w:rPr>
            </w:pPr>
            <w:r>
              <w:rPr>
                <w:rFonts w:ascii="Arial" w:cs="Arial" w:eastAsia="Arial" w:hAnsi="Arial"/>
                <w:sz w:val="17"/>
                <w:szCs w:val="17"/>
                <w:color w:val="auto"/>
              </w:rPr>
              <w:t>Cash, cash equivalents and restricted cash at end of period</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322,575</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311,500</w:t>
            </w:r>
          </w:p>
        </w:tc>
        <w:tc>
          <w:tcPr>
            <w:tcW w:w="0" w:type="dxa"/>
            <w:vAlign w:val="bottom"/>
          </w:tcPr>
          <w:p>
            <w:pPr>
              <w:spacing w:after="0"/>
              <w:rPr>
                <w:sz w:val="1"/>
                <w:szCs w:val="1"/>
                <w:color w:val="auto"/>
              </w:rPr>
            </w:pPr>
          </w:p>
        </w:tc>
      </w:tr>
      <w:tr>
        <w:trPr>
          <w:trHeight w:val="20"/>
        </w:trPr>
        <w:tc>
          <w:tcPr>
            <w:tcW w:w="8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8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20"/>
        </w:trPr>
        <w:tc>
          <w:tcPr>
            <w:tcW w:w="8100" w:type="dxa"/>
            <w:vAlign w:val="bottom"/>
          </w:tcPr>
          <w:p>
            <w:pPr>
              <w:ind w:left="20"/>
              <w:spacing w:after="0"/>
              <w:rPr>
                <w:sz w:val="20"/>
                <w:szCs w:val="20"/>
                <w:color w:val="auto"/>
              </w:rPr>
            </w:pPr>
            <w:r>
              <w:rPr>
                <w:rFonts w:ascii="Arial" w:cs="Arial" w:eastAsia="Arial" w:hAnsi="Arial"/>
                <w:sz w:val="17"/>
                <w:szCs w:val="17"/>
                <w:b w:val="1"/>
                <w:bCs w:val="1"/>
                <w:color w:val="auto"/>
              </w:rPr>
              <w:t>Supplemental non-cash investing and financing activities:</w:t>
            </w: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8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8100" w:type="dxa"/>
            <w:vAlign w:val="bottom"/>
          </w:tcPr>
          <w:p>
            <w:pPr>
              <w:ind w:left="20"/>
              <w:spacing w:after="0"/>
              <w:rPr>
                <w:sz w:val="20"/>
                <w:szCs w:val="20"/>
                <w:color w:val="auto"/>
              </w:rPr>
            </w:pPr>
            <w:r>
              <w:rPr>
                <w:rFonts w:ascii="Arial" w:cs="Arial" w:eastAsia="Arial" w:hAnsi="Arial"/>
                <w:sz w:val="17"/>
                <w:szCs w:val="17"/>
                <w:color w:val="auto"/>
              </w:rPr>
              <w:t>Loans held for investment acquired at fair value</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224,052</w:t>
            </w:r>
          </w:p>
        </w:tc>
        <w:tc>
          <w:tcPr>
            <w:tcW w:w="100" w:type="dxa"/>
            <w:vAlign w:val="bottom"/>
          </w:tcPr>
          <w:p>
            <w:pPr>
              <w:spacing w:after="0"/>
              <w:rPr>
                <w:sz w:val="19"/>
                <w:szCs w:val="19"/>
                <w:color w:val="auto"/>
              </w:rPr>
            </w:pP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8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HMBS-related borrowings assumed at fair value</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(219,509)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9"/>
        </w:trPr>
        <w:tc>
          <w:tcPr>
            <w:tcW w:w="8100" w:type="dxa"/>
            <w:vAlign w:val="bottom"/>
          </w:tcPr>
          <w:p>
            <w:pPr>
              <w:ind w:left="20"/>
              <w:spacing w:after="0"/>
              <w:rPr>
                <w:sz w:val="20"/>
                <w:szCs w:val="20"/>
                <w:color w:val="auto"/>
              </w:rPr>
            </w:pPr>
            <w:r>
              <w:rPr>
                <w:rFonts w:ascii="Arial" w:cs="Arial" w:eastAsia="Arial" w:hAnsi="Arial"/>
                <w:sz w:val="17"/>
                <w:szCs w:val="17"/>
                <w:color w:val="auto"/>
              </w:rPr>
              <w:t>Holdback</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(909)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7020" w:orient="portrait"/>
          <w:cols w:equalWidth="0" w:num="1">
            <w:col w:w="11240"/>
          </w:cols>
          <w:pgMar w:left="320" w:top="354" w:right="339" w:bottom="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8100" w:type="dxa"/>
            <w:vAlign w:val="bottom"/>
            <w:tcBorders>
              <w:top w:val="single" w:sz="8" w:color="CCEEFF"/>
              <w:bottom w:val="single" w:sz="8" w:color="CCEEFF"/>
            </w:tcBorders>
            <w:shd w:val="clear" w:color="auto" w:fill="CCEEFF"/>
          </w:tcPr>
          <w:p>
            <w:pPr>
              <w:ind w:left="80"/>
              <w:spacing w:after="0"/>
              <w:rPr>
                <w:sz w:val="20"/>
                <w:szCs w:val="20"/>
                <w:color w:val="auto"/>
              </w:rPr>
            </w:pPr>
            <w:r>
              <w:rPr>
                <w:rFonts w:ascii="Arial" w:cs="Arial" w:eastAsia="Arial" w:hAnsi="Arial"/>
                <w:sz w:val="17"/>
                <w:szCs w:val="17"/>
                <w:color w:val="auto"/>
              </w:rPr>
              <w:t>Net cash paid to acquire loans held for investment</w:t>
            </w:r>
          </w:p>
        </w:tc>
        <w:tc>
          <w:tcPr>
            <w:tcW w:w="580" w:type="dxa"/>
            <w:vAlign w:val="bottom"/>
            <w:tcBorders>
              <w:top w:val="single" w:sz="8" w:color="auto"/>
              <w:bottom w:val="single" w:sz="8" w:color="auto"/>
            </w:tcBorders>
            <w:shd w:val="clear" w:color="auto" w:fill="CCEEFF"/>
          </w:tcPr>
          <w:p>
            <w:pPr>
              <w:jc w:val="right"/>
              <w:ind w:right="394"/>
              <w:spacing w:after="0"/>
              <w:rPr>
                <w:sz w:val="20"/>
                <w:szCs w:val="20"/>
                <w:color w:val="auto"/>
              </w:rPr>
            </w:pPr>
            <w:r>
              <w:rPr>
                <w:rFonts w:ascii="Arial" w:cs="Arial" w:eastAsia="Arial" w:hAnsi="Arial"/>
                <w:sz w:val="17"/>
                <w:szCs w:val="17"/>
                <w:color w:val="auto"/>
                <w:w w:val="84"/>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3,634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shd w:val="clear" w:color="auto" w:fill="CCEEFF"/>
          </w:tcPr>
          <w:p>
            <w:pPr>
              <w:jc w:val="right"/>
              <w:ind w:right="354"/>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101"/>
        </w:trPr>
        <w:tc>
          <w:tcPr>
            <w:tcW w:w="8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980" w:type="dxa"/>
            <w:vAlign w:val="bottom"/>
          </w:tcPr>
          <w:p>
            <w:pPr>
              <w:spacing w:after="0"/>
              <w:rPr>
                <w:sz w:val="8"/>
                <w:szCs w:val="8"/>
                <w:color w:val="auto"/>
              </w:rPr>
            </w:pPr>
          </w:p>
        </w:tc>
      </w:tr>
      <w:tr>
        <w:trPr>
          <w:trHeight w:val="220"/>
        </w:trPr>
        <w:tc>
          <w:tcPr>
            <w:tcW w:w="8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Recognition of gross right-of-use asset and lease liability:</w:t>
            </w: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0"/>
        </w:trPr>
        <w:tc>
          <w:tcPr>
            <w:tcW w:w="8100" w:type="dxa"/>
            <w:vAlign w:val="bottom"/>
          </w:tcPr>
          <w:p>
            <w:pPr>
              <w:ind w:left="140"/>
              <w:spacing w:after="0"/>
              <w:rPr>
                <w:sz w:val="20"/>
                <w:szCs w:val="20"/>
                <w:color w:val="auto"/>
              </w:rPr>
            </w:pPr>
            <w:r>
              <w:rPr>
                <w:rFonts w:ascii="Arial" w:cs="Arial" w:eastAsia="Arial" w:hAnsi="Arial"/>
                <w:sz w:val="17"/>
                <w:szCs w:val="17"/>
                <w:color w:val="auto"/>
              </w:rPr>
              <w:t>Right-of-use asset</w:t>
            </w:r>
          </w:p>
        </w:tc>
        <w:tc>
          <w:tcPr>
            <w:tcW w:w="580" w:type="dxa"/>
            <w:vAlign w:val="bottom"/>
          </w:tcPr>
          <w:p>
            <w:pPr>
              <w:jc w:val="right"/>
              <w:ind w:right="394"/>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8,583</w:t>
            </w:r>
          </w:p>
        </w:tc>
        <w:tc>
          <w:tcPr>
            <w:tcW w:w="100" w:type="dxa"/>
            <w:vAlign w:val="bottom"/>
          </w:tcPr>
          <w:p>
            <w:pPr>
              <w:spacing w:after="0"/>
              <w:rPr>
                <w:sz w:val="19"/>
                <w:szCs w:val="19"/>
                <w:color w:val="auto"/>
              </w:rPr>
            </w:pPr>
          </w:p>
        </w:tc>
        <w:tc>
          <w:tcPr>
            <w:tcW w:w="540" w:type="dxa"/>
            <w:vAlign w:val="bottom"/>
          </w:tcPr>
          <w:p>
            <w:pPr>
              <w:jc w:val="right"/>
              <w:ind w:right="354"/>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3,204</w:t>
            </w:r>
          </w:p>
        </w:tc>
      </w:tr>
      <w:tr>
        <w:trPr>
          <w:trHeight w:val="220"/>
        </w:trPr>
        <w:tc>
          <w:tcPr>
            <w:tcW w:w="81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Lease liability</w:t>
            </w: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8,583</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3,204</w:t>
            </w:r>
          </w:p>
        </w:tc>
      </w:tr>
      <w:tr>
        <w:trPr>
          <w:trHeight w:val="220"/>
        </w:trPr>
        <w:tc>
          <w:tcPr>
            <w:tcW w:w="8100" w:type="dxa"/>
            <w:vAlign w:val="bottom"/>
          </w:tcPr>
          <w:p>
            <w:pPr>
              <w:ind w:left="20"/>
              <w:spacing w:after="0"/>
              <w:rPr>
                <w:sz w:val="20"/>
                <w:szCs w:val="20"/>
                <w:color w:val="auto"/>
              </w:rPr>
            </w:pPr>
            <w:r>
              <w:rPr>
                <w:rFonts w:ascii="Arial" w:cs="Arial" w:eastAsia="Arial" w:hAnsi="Arial"/>
                <w:sz w:val="17"/>
                <w:szCs w:val="17"/>
                <w:color w:val="auto"/>
              </w:rPr>
              <w:t>Transfers of loans held for sale to real estate owned (REO)</w:t>
            </w: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381</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4,090</w:t>
            </w:r>
          </w:p>
        </w:tc>
      </w:tr>
      <w:tr>
        <w:trPr>
          <w:trHeight w:val="155"/>
        </w:trPr>
        <w:tc>
          <w:tcPr>
            <w:tcW w:w="8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r>
      <w:tr>
        <w:trPr>
          <w:trHeight w:val="220"/>
        </w:trPr>
        <w:tc>
          <w:tcPr>
            <w:tcW w:w="8100" w:type="dxa"/>
            <w:vAlign w:val="bottom"/>
          </w:tcPr>
          <w:p>
            <w:pPr>
              <w:ind w:left="20"/>
              <w:spacing w:after="0"/>
              <w:rPr>
                <w:sz w:val="20"/>
                <w:szCs w:val="20"/>
                <w:color w:val="auto"/>
              </w:rPr>
            </w:pPr>
            <w:r>
              <w:rPr>
                <w:rFonts w:ascii="Arial" w:cs="Arial" w:eastAsia="Arial" w:hAnsi="Arial"/>
                <w:sz w:val="17"/>
                <w:szCs w:val="17"/>
                <w:b w:val="1"/>
                <w:bCs w:val="1"/>
                <w:color w:val="auto"/>
              </w:rPr>
              <w:t>Supplemental information - Sale and deconsolidation of subsidiary</w:t>
            </w:r>
          </w:p>
        </w:tc>
        <w:tc>
          <w:tcPr>
            <w:tcW w:w="5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0"/>
        </w:trPr>
        <w:tc>
          <w:tcPr>
            <w:tcW w:w="81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Cash proceeds received</w:t>
            </w:r>
          </w:p>
        </w:tc>
        <w:tc>
          <w:tcPr>
            <w:tcW w:w="580" w:type="dxa"/>
            <w:vAlign w:val="bottom"/>
            <w:shd w:val="clear" w:color="auto" w:fill="CCEEFF"/>
          </w:tcPr>
          <w:p>
            <w:pPr>
              <w:jc w:val="right"/>
              <w:ind w:right="394"/>
              <w:spacing w:after="0"/>
              <w:rPr>
                <w:sz w:val="20"/>
                <w:szCs w:val="20"/>
                <w:color w:val="auto"/>
              </w:rPr>
            </w:pPr>
            <w:r>
              <w:rPr>
                <w:rFonts w:ascii="Arial" w:cs="Arial" w:eastAsia="Arial" w:hAnsi="Arial"/>
                <w:sz w:val="17"/>
                <w:szCs w:val="17"/>
                <w:color w:val="auto"/>
                <w:w w:val="84"/>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ind w:right="354"/>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4,409</w:t>
            </w:r>
          </w:p>
        </w:tc>
      </w:tr>
      <w:tr>
        <w:trPr>
          <w:trHeight w:val="220"/>
        </w:trPr>
        <w:tc>
          <w:tcPr>
            <w:tcW w:w="8100" w:type="dxa"/>
            <w:vAlign w:val="bottom"/>
          </w:tcPr>
          <w:p>
            <w:pPr>
              <w:ind w:left="120"/>
              <w:spacing w:after="0"/>
              <w:rPr>
                <w:sz w:val="20"/>
                <w:szCs w:val="20"/>
                <w:color w:val="auto"/>
              </w:rPr>
            </w:pPr>
            <w:r>
              <w:rPr>
                <w:rFonts w:ascii="Arial" w:cs="Arial" w:eastAsia="Arial" w:hAnsi="Arial"/>
                <w:sz w:val="17"/>
                <w:szCs w:val="17"/>
                <w:color w:val="auto"/>
              </w:rPr>
              <w:t>Equity / cash balance held by subsidiary upon sale</w:t>
            </w:r>
          </w:p>
        </w:tc>
        <w:tc>
          <w:tcPr>
            <w:tcW w:w="5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(5,250)</w:t>
            </w:r>
          </w:p>
        </w:tc>
      </w:tr>
    </w:tbl>
    <w:p>
      <w:pPr>
        <w:spacing w:after="0" w:line="65" w:lineRule="exact"/>
        <w:rPr>
          <w:sz w:val="20"/>
          <w:szCs w:val="20"/>
          <w:color w:val="auto"/>
        </w:rPr>
      </w:pPr>
    </w:p>
    <w:p>
      <w:pPr>
        <w:ind w:right="480"/>
        <w:spacing w:after="0" w:line="283" w:lineRule="auto"/>
        <w:rPr>
          <w:sz w:val="20"/>
          <w:szCs w:val="20"/>
          <w:color w:val="auto"/>
        </w:rPr>
      </w:pPr>
      <w:r>
        <w:rPr>
          <w:rFonts w:ascii="Arial" w:cs="Arial" w:eastAsia="Arial" w:hAnsi="Arial"/>
          <w:sz w:val="17"/>
          <w:szCs w:val="17"/>
          <w:color w:val="auto"/>
        </w:rPr>
        <w:t>The following table provides a reconciliation of cash, cash equivalents and restricted cash reported within the unaudited consolidated balance sheets and the unaudited consolidated statements of cash flows:</w:t>
      </w:r>
    </w:p>
    <w:p>
      <w:pPr>
        <w:spacing w:after="0" w:line="76" w:lineRule="exact"/>
        <w:rPr>
          <w:sz w:val="20"/>
          <w:szCs w:val="20"/>
          <w:color w:val="auto"/>
        </w:rPr>
      </w:pPr>
    </w:p>
    <w:tbl>
      <w:tblPr>
        <w:tblLayout w:type="fixed"/>
        <w:tblInd w:w="20" w:type="dxa"/>
        <w:tblCellMar>
          <w:top w:w="0" w:type="dxa"/>
          <w:left w:w="0" w:type="dxa"/>
          <w:bottom w:w="0" w:type="dxa"/>
          <w:right w:w="0" w:type="dxa"/>
        </w:tblCellMar>
      </w:tblPr>
      <w:tr>
        <w:trPr>
          <w:trHeight w:val="225"/>
        </w:trPr>
        <w:tc>
          <w:tcPr>
            <w:tcW w:w="8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gridSpan w:val="2"/>
          </w:tcPr>
          <w:p>
            <w:pPr>
              <w:ind w:left="80"/>
              <w:spacing w:after="0"/>
              <w:rPr>
                <w:sz w:val="20"/>
                <w:szCs w:val="20"/>
                <w:color w:val="auto"/>
              </w:rPr>
            </w:pPr>
            <w:r>
              <w:rPr>
                <w:rFonts w:ascii="Arial" w:cs="Arial" w:eastAsia="Arial" w:hAnsi="Arial"/>
                <w:sz w:val="17"/>
                <w:szCs w:val="17"/>
                <w:b w:val="1"/>
                <w:bCs w:val="1"/>
                <w:color w:val="auto"/>
              </w:rPr>
              <w:t>June 30, 2022</w:t>
            </w:r>
          </w:p>
        </w:tc>
        <w:tc>
          <w:tcPr>
            <w:tcW w:w="180" w:type="dxa"/>
            <w:vAlign w:val="bottom"/>
          </w:tcPr>
          <w:p>
            <w:pPr>
              <w:spacing w:after="0"/>
              <w:rPr>
                <w:sz w:val="19"/>
                <w:szCs w:val="19"/>
                <w:color w:val="auto"/>
              </w:rPr>
            </w:pPr>
          </w:p>
        </w:tc>
        <w:tc>
          <w:tcPr>
            <w:tcW w:w="1360" w:type="dxa"/>
            <w:vAlign w:val="bottom"/>
          </w:tcPr>
          <w:p>
            <w:pPr>
              <w:jc w:val="right"/>
              <w:ind w:right="194"/>
              <w:spacing w:after="0"/>
              <w:rPr>
                <w:sz w:val="20"/>
                <w:szCs w:val="20"/>
                <w:color w:val="auto"/>
              </w:rPr>
            </w:pPr>
            <w:r>
              <w:rPr>
                <w:rFonts w:ascii="Arial" w:cs="Arial" w:eastAsia="Arial" w:hAnsi="Arial"/>
                <w:sz w:val="17"/>
                <w:szCs w:val="17"/>
                <w:b w:val="1"/>
                <w:bCs w:val="1"/>
                <w:color w:val="auto"/>
                <w:w w:val="95"/>
              </w:rPr>
              <w:t>June 30, 2021</w:t>
            </w:r>
          </w:p>
        </w:tc>
      </w:tr>
      <w:tr>
        <w:trPr>
          <w:trHeight w:val="213"/>
        </w:trPr>
        <w:tc>
          <w:tcPr>
            <w:tcW w:w="8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Cash and cash equivalents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255,885</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243,582</w:t>
            </w:r>
          </w:p>
        </w:tc>
      </w:tr>
      <w:tr>
        <w:trPr>
          <w:trHeight w:val="220"/>
        </w:trPr>
        <w:tc>
          <w:tcPr>
            <w:tcW w:w="8060" w:type="dxa"/>
            <w:vAlign w:val="bottom"/>
          </w:tcPr>
          <w:p>
            <w:pPr>
              <w:ind w:left="20"/>
              <w:spacing w:after="0"/>
              <w:rPr>
                <w:sz w:val="20"/>
                <w:szCs w:val="20"/>
                <w:color w:val="auto"/>
              </w:rPr>
            </w:pPr>
            <w:r>
              <w:rPr>
                <w:rFonts w:ascii="Arial" w:cs="Arial" w:eastAsia="Arial" w:hAnsi="Arial"/>
                <w:sz w:val="17"/>
                <w:szCs w:val="17"/>
                <w:color w:val="auto"/>
              </w:rPr>
              <w:t>Restricted cash and equivalents:</w:t>
            </w: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0"/>
        </w:trPr>
        <w:tc>
          <w:tcPr>
            <w:tcW w:w="80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Debt service accounts</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13,605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15,643</w:t>
            </w:r>
          </w:p>
        </w:tc>
      </w:tr>
      <w:tr>
        <w:trPr>
          <w:trHeight w:val="220"/>
        </w:trPr>
        <w:tc>
          <w:tcPr>
            <w:tcW w:w="806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Other restricted cash</w:t>
            </w: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53,085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52,275</w:t>
            </w:r>
          </w:p>
        </w:tc>
      </w:tr>
      <w:tr>
        <w:trPr>
          <w:trHeight w:val="238"/>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cash, cash equivalents and restricted cash reported in the statements of cash flows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322,575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311,500</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accompanying notes are an integral part of these unaudited consolidated financial statements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sectPr>
      </w:pPr>
    </w:p>
    <w:bookmarkStart w:id="11" w:name="page12"/>
    <w:bookmarkEnd w:id="11"/>
    <w:p>
      <w:pPr>
        <w:jc w:val="center"/>
        <w:ind w:right="-39"/>
        <w:spacing w:after="0"/>
        <w:rPr>
          <w:sz w:val="20"/>
          <w:szCs w:val="20"/>
          <w:color w:val="auto"/>
        </w:rPr>
      </w:pPr>
      <w:r>
        <w:rPr>
          <w:rFonts w:ascii="Arial" w:cs="Arial" w:eastAsia="Arial" w:hAnsi="Arial"/>
          <w:sz w:val="17"/>
          <w:szCs w:val="17"/>
          <w:b w:val="1"/>
          <w:bCs w:val="1"/>
          <w:color w:val="auto"/>
        </w:rPr>
        <w:t>OCWEN FINANCIAL CORPORATION AND SUBSIDIARIES</w:t>
      </w:r>
    </w:p>
    <w:p>
      <w:pPr>
        <w:spacing w:after="0" w:line="30"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UNAUDITED CONSOLIDATED FINANCIAL STATEMENTS</w:t>
      </w:r>
    </w:p>
    <w:p>
      <w:pPr>
        <w:spacing w:after="0" w:line="1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JUNE 30, 2022</w:t>
      </w:r>
    </w:p>
    <w:p>
      <w:pPr>
        <w:spacing w:after="0" w:line="1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(Dollars in thousands, except per share data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640"/>
        <w:spacing w:after="0"/>
        <w:rPr>
          <w:sz w:val="20"/>
          <w:szCs w:val="20"/>
          <w:color w:val="auto"/>
        </w:rPr>
      </w:pPr>
      <w:r>
        <w:rPr>
          <w:rFonts w:ascii="Arial" w:cs="Arial" w:eastAsia="Arial" w:hAnsi="Arial"/>
          <w:sz w:val="17"/>
          <w:szCs w:val="17"/>
          <w:b w:val="1"/>
          <w:bCs w:val="1"/>
          <w:color w:val="auto"/>
        </w:rPr>
        <w:t>Note 1 - Organization and Basis of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396240</wp:posOffset>
            </wp:positionH>
            <wp:positionV relativeFrom="paragraph">
              <wp:posOffset>84455</wp:posOffset>
            </wp:positionV>
            <wp:extent cx="68046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04660" cy="8255"/>
                    </a:xfrm>
                    <a:prstGeom prst="rect">
                      <a:avLst/>
                    </a:prstGeom>
                    <a:noFill/>
                  </pic:spPr>
                </pic:pic>
              </a:graphicData>
            </a:graphic>
          </wp:anchor>
        </w:drawing>
      </w:r>
    </w:p>
    <w:p>
      <w:pPr>
        <w:spacing w:after="0" w:line="2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Organization</w:t>
      </w:r>
    </w:p>
    <w:p>
      <w:pPr>
        <w:spacing w:after="0" w:line="121"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Ocwen Financial Corporation (NYSE: OCN) (Ocwen, OFC, we, us and our) is a non-bank mortgage servicer and originator providing solutions to homeowners, clients, investors and others through its primary operating subsidiary, PHH Mortgage Corporation (PMC). We are headquartered in West Palm Beach, Florida with offices and operations in the United States (U.S.), the United States Virgin Islands (USVI), India and the Philippines. Ocwen is a Florida corporation organized in February 1988.</w:t>
      </w:r>
    </w:p>
    <w:p>
      <w:pPr>
        <w:spacing w:after="0" w:line="73" w:lineRule="exact"/>
        <w:rPr>
          <w:sz w:val="20"/>
          <w:szCs w:val="20"/>
          <w:color w:val="auto"/>
        </w:rPr>
      </w:pPr>
    </w:p>
    <w:p>
      <w:pPr>
        <w:ind w:right="40"/>
        <w:spacing w:after="0" w:line="263" w:lineRule="auto"/>
        <w:rPr>
          <w:sz w:val="20"/>
          <w:szCs w:val="20"/>
          <w:color w:val="auto"/>
        </w:rPr>
      </w:pPr>
      <w:r>
        <w:rPr>
          <w:rFonts w:ascii="Arial" w:cs="Arial" w:eastAsia="Arial" w:hAnsi="Arial"/>
          <w:sz w:val="17"/>
          <w:szCs w:val="17"/>
          <w:color w:val="auto"/>
        </w:rPr>
        <w:t>Ocwen directly or indirectly owns all of the outstanding common stock of its operating subsidiaries, including PMC since its acquisition on October 4, 2018, Ocwen Financial Solutions Private Limited (OFSPL) and Ocwen USVI Services, LLC (OVIS). Effective May 3, 2021, Ocwen holds a 15% equity interest in MAV Canopy HoldCo I, LLC (MAV Canopy) that invests in mortgage servicing assets through its licensed mortgage subsidiary MSR Asset Vehicle LLC (MAV). See Note 10 - Investment in Equity Method Investee and Related Party Transactions for additional information.</w:t>
      </w:r>
    </w:p>
    <w:p>
      <w:pPr>
        <w:spacing w:after="0" w:line="73"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We perform servicing activities related to our own MSR portfolio (primary) and on behalf of other servicers (subservicing), the largest being New Residential Investment Corp. (NRZ), and investors (primary and master servicing), including the Federal National Mortgage Association (Fannie Mae) and Federal Home Loan Mortgage Corporation (Freddie Mac) (collectively referred to as GSEs), the Government National Mortgage Association (Ginnie Mae, and together with the GSEs, the Agencies) and private-label securitizations (PLS, or non-Agency). As a subservicer or primary servicer, we may be required to make advances for certain property tax and insurance premium payments, default and property maintenance payments and principal and interest payments on behalf of delinquent borrowers to mortgage loan investors before recovering them from borrowers. Most, but not all, of our subservicing agreements provide for us to be reimbursed for any such advances by the owner of the servicing rights. Advances made by us as primary servicer are generally recovered from the borrower or the mortgage loan investor. As master servicer, we collect mortgage payments from primary servicers and distribute the funds to investors in the mortgage-backed securities. To the extent the primary servicer does not advance the scheduled principal and interest, as master servicer we are responsible for advancing the shortfall, subject to certain limitations.</w:t>
      </w:r>
    </w:p>
    <w:p>
      <w:pPr>
        <w:spacing w:after="0" w:line="70" w:lineRule="exact"/>
        <w:rPr>
          <w:sz w:val="20"/>
          <w:szCs w:val="20"/>
          <w:color w:val="auto"/>
        </w:rPr>
      </w:pPr>
    </w:p>
    <w:p>
      <w:pPr>
        <w:ind w:right="40"/>
        <w:spacing w:after="0" w:line="300" w:lineRule="auto"/>
        <w:rPr>
          <w:sz w:val="20"/>
          <w:szCs w:val="20"/>
          <w:color w:val="auto"/>
        </w:rPr>
      </w:pPr>
      <w:r>
        <w:rPr>
          <w:rFonts w:ascii="Arial" w:cs="Arial" w:eastAsia="Arial" w:hAnsi="Arial"/>
          <w:sz w:val="15"/>
          <w:szCs w:val="15"/>
          <w:color w:val="auto"/>
        </w:rPr>
        <w:t>We source our servicing portfolio through multiple channels, including retail, wholesale, correspondent, flow MSR purchase agreements, the Agency Cash Window programs and bulk MSR purchases. We originate, sell and securitize conventional (conforming to the underwriting standards of Fannie Mae or Freddie Mac; collectively referred to as Agency or GSE) loans and government-insured (Federal Housing Administration (FHA), Department of Veterans Affairs (VA) or United States Department of Agriculture (USDA)) forward mortgage loans, generally with servicing retained. The GSEs or Ginnie Mae guarantee these mortgage securitizations. We originate and purchase Home Equity Conversion Mortgage (HECM) loans, or reverse mortgages, that are mostly insured by the FHA and we are an approved issuer of Home Equity Conversion Mortgage-Backed Securities (HMBS) that are guaranteed by Ginnie Mae.</w:t>
      </w:r>
    </w:p>
    <w:p>
      <w:pPr>
        <w:spacing w:after="0" w:line="50" w:lineRule="exact"/>
        <w:rPr>
          <w:sz w:val="20"/>
          <w:szCs w:val="20"/>
          <w:color w:val="auto"/>
        </w:rPr>
      </w:pPr>
    </w:p>
    <w:p>
      <w:pPr>
        <w:ind w:right="120"/>
        <w:spacing w:after="0" w:line="292" w:lineRule="auto"/>
        <w:rPr>
          <w:sz w:val="20"/>
          <w:szCs w:val="20"/>
          <w:color w:val="auto"/>
        </w:rPr>
      </w:pPr>
      <w:r>
        <w:rPr>
          <w:rFonts w:ascii="Arial" w:cs="Arial" w:eastAsia="Arial" w:hAnsi="Arial"/>
          <w:sz w:val="16"/>
          <w:szCs w:val="16"/>
          <w:color w:val="auto"/>
        </w:rPr>
        <w:t>We had a total of approximately 5,600 employees at June 30, 2022 of which approximately 3,400 were located in India and approximately 400 were based in the Philippines. Our operations in India and the Philippines provide internal support services to our loan servicing and originations businesses and our corporate functions. Of our foreign-based employees, approximately 72% were engaged in supporting our loan servicing operations as of June 30, 2022.</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of Presentation</w:t>
      </w:r>
    </w:p>
    <w:p>
      <w:pPr>
        <w:spacing w:after="0" w:line="121"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The accompanying unaudited consolidated financial statements have been prepared in conformity with the instructions of the Securities and Exchange Commission (SEC) to Form 10-Q and SEC Regulation S-X, Article 10, Rule 10-01 for interim financial statements. Accordingly, they do not include all of the information and footnotes required by accounting principles generally accepted in the United States of America (GAAP) for complete financial statements. In our opinion, the accompanying unaudited consolidated financial statements contain all adjustments, consisting only of normal recurring adjustments, necessary for a fair presentation. The results of operations and other data for the three and six months ended June 30, 2022 are not necessarily indicative of the results that may be expected for any other interim period or for the year ending December 31, 2022. The unaudited consolidated financial statements presented herein should be read in conjunction with the audited consolidated financial statements and related notes thereto included in our Annual Report on Form 10-K for the year ended December 31, 2021.</w:t>
      </w:r>
    </w:p>
    <w:p>
      <w:pPr>
        <w:spacing w:after="0" w:line="200" w:lineRule="exact"/>
        <w:rPr>
          <w:sz w:val="20"/>
          <w:szCs w:val="20"/>
          <w:color w:val="auto"/>
        </w:rPr>
      </w:pPr>
    </w:p>
    <w:p>
      <w:pPr>
        <w:spacing w:after="0" w:line="30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961" w:right="379" w:bottom="1440" w:gutter="0" w:footer="0" w:header="0"/>
        </w:sectPr>
      </w:pPr>
    </w:p>
    <w:bookmarkStart w:id="12" w:name="page13"/>
    <w:bookmarkEnd w:id="12"/>
    <w:p>
      <w:pPr>
        <w:spacing w:after="0"/>
        <w:rPr>
          <w:sz w:val="20"/>
          <w:szCs w:val="20"/>
          <w:color w:val="auto"/>
        </w:rPr>
      </w:pPr>
      <w:r>
        <w:rPr>
          <w:rFonts w:ascii="Arial" w:cs="Arial" w:eastAsia="Arial" w:hAnsi="Arial"/>
          <w:sz w:val="17"/>
          <w:szCs w:val="17"/>
          <w:b w:val="1"/>
          <w:bCs w:val="1"/>
          <w:color w:val="auto"/>
        </w:rPr>
        <w:t>Use of Estimates and Assumptions</w:t>
      </w:r>
    </w:p>
    <w:p>
      <w:pPr>
        <w:spacing w:after="0" w:line="121" w:lineRule="exact"/>
        <w:rPr>
          <w:sz w:val="20"/>
          <w:szCs w:val="20"/>
          <w:color w:val="auto"/>
        </w:rPr>
      </w:pPr>
    </w:p>
    <w:p>
      <w:pPr>
        <w:ind w:right="160"/>
        <w:spacing w:after="0" w:line="281" w:lineRule="auto"/>
        <w:rPr>
          <w:sz w:val="20"/>
          <w:szCs w:val="20"/>
          <w:color w:val="auto"/>
        </w:rPr>
      </w:pPr>
      <w:r>
        <w:rPr>
          <w:rFonts w:ascii="Arial" w:cs="Arial" w:eastAsia="Arial" w:hAnsi="Arial"/>
          <w:sz w:val="16"/>
          <w:szCs w:val="16"/>
          <w:color w:val="auto"/>
        </w:rPr>
        <w:t>The preparation of financial statements in conformity with GAAP requires that management make estimates and assumptions that affect the reported amounts of assets and liabilities and disclosure of contingent assets and liabilities at the date of the financial statements and the reported amounts of revenues and expenses during the reporting period. Such estimates and assumptions include, but are not limited to, those that relate to fair value measurements, income taxes and the provision for losses that may arise from contingencies including litigation proceedings. In developing estimates and assumptions, management uses all available information; however, actual results could materially differ from those estimates and assumptions.</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Recently Adopted Accounting Standards</w:t>
      </w:r>
    </w:p>
    <w:p>
      <w:pPr>
        <w:spacing w:after="0" w:line="121"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b w:val="1"/>
          <w:bCs w:val="1"/>
          <w:i w:val="1"/>
          <w:iCs w:val="1"/>
          <w:color w:val="auto"/>
        </w:rPr>
        <w:t>Earnings Per Share (ASC 260), Debt—Modifications and Extinguishments (Subtopic 470-50), Compensation—Stock Compensation (ASC 718), and Derivatives and Hedging—Contracts in Entity’s Own Equity (Subtopic 815-40): Issuer’s Accounting for Certain Modifications or Exchanges of Freestanding Equity-Classified Written Call Options (a consensus of the FASB Emerging Issues Task Force) (ASU 2021-04)</w:t>
      </w:r>
    </w:p>
    <w:p>
      <w:pPr>
        <w:spacing w:after="0" w:line="69" w:lineRule="exact"/>
        <w:rPr>
          <w:sz w:val="20"/>
          <w:szCs w:val="20"/>
          <w:color w:val="auto"/>
        </w:rPr>
      </w:pPr>
    </w:p>
    <w:p>
      <w:pPr>
        <w:spacing w:after="0" w:line="291" w:lineRule="auto"/>
        <w:rPr>
          <w:sz w:val="20"/>
          <w:szCs w:val="20"/>
          <w:color w:val="auto"/>
        </w:rPr>
      </w:pPr>
      <w:r>
        <w:rPr>
          <w:rFonts w:ascii="Arial" w:cs="Arial" w:eastAsia="Arial" w:hAnsi="Arial"/>
          <w:sz w:val="15"/>
          <w:szCs w:val="15"/>
          <w:color w:val="auto"/>
        </w:rPr>
        <w:t>The amendments in this ASU provide the following guidance for a modification or an exchange of a freestanding equity-classified written call option that is not within the scope of another Topic: (1) treat a modification of the terms or conditions or an exchange of a freestanding equity-classified written call option that remains equity classified after modification or exchange as an exchange of the original instrument for a new instrument, (2) measure the effect of a modification or an exchange of a freestanding equity-classified written call option that remains equity classified after modification or exchange and (3) recognize the effect of a modification or an exchange of a freestanding equity-classified written call option to compensate for goods or services in accordance with the guidance in ASC</w:t>
      </w:r>
    </w:p>
    <w:p>
      <w:pPr>
        <w:spacing w:after="0" w:line="1" w:lineRule="exact"/>
        <w:rPr>
          <w:sz w:val="20"/>
          <w:szCs w:val="20"/>
          <w:color w:val="auto"/>
        </w:rPr>
      </w:pPr>
    </w:p>
    <w:p>
      <w:pPr>
        <w:ind w:right="380" w:firstLine="3"/>
        <w:spacing w:after="0" w:line="267" w:lineRule="auto"/>
        <w:tabs>
          <w:tab w:leader="none" w:pos="344" w:val="left"/>
        </w:tabs>
        <w:numPr>
          <w:ilvl w:val="0"/>
          <w:numId w:val="5"/>
        </w:numPr>
        <w:rPr>
          <w:rFonts w:ascii="Arial" w:cs="Arial" w:eastAsia="Arial" w:hAnsi="Arial"/>
          <w:sz w:val="17"/>
          <w:szCs w:val="17"/>
          <w:color w:val="auto"/>
        </w:rPr>
      </w:pPr>
      <w:r>
        <w:rPr>
          <w:rFonts w:ascii="Arial" w:cs="Arial" w:eastAsia="Arial" w:hAnsi="Arial"/>
          <w:sz w:val="17"/>
          <w:szCs w:val="17"/>
          <w:color w:val="auto"/>
        </w:rPr>
        <w:t>In a multiple-element transaction (for example, one that includes both debt financing and equity financing), the total effect of the modification should be allocated to the respective elements in the transaction.</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color w:val="auto"/>
        </w:rPr>
        <w:t>Our adoption of this standard on January 1, 2022 did not have a material impact on our consolidated financial statements.</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Reference Rate Reform: Facilitation of the Effects of Reference Rate Reform on Financial Reporting (ASU 2020-04)</w:t>
      </w:r>
    </w:p>
    <w:p>
      <w:pPr>
        <w:spacing w:after="0" w:line="115" w:lineRule="exact"/>
        <w:rPr>
          <w:sz w:val="20"/>
          <w:szCs w:val="20"/>
          <w:color w:val="auto"/>
        </w:rPr>
      </w:pPr>
    </w:p>
    <w:p>
      <w:pPr>
        <w:ind w:right="20"/>
        <w:spacing w:after="0" w:line="258" w:lineRule="auto"/>
        <w:rPr>
          <w:sz w:val="20"/>
          <w:szCs w:val="20"/>
          <w:color w:val="auto"/>
        </w:rPr>
      </w:pPr>
      <w:r>
        <w:rPr>
          <w:rFonts w:ascii="Arial" w:cs="Arial" w:eastAsia="Arial" w:hAnsi="Arial"/>
          <w:sz w:val="17"/>
          <w:szCs w:val="17"/>
          <w:color w:val="auto"/>
        </w:rPr>
        <w:t>This standard provides for optional expedients and other guidance regarding the accounting related to modifications of contracts, hedging relationships and other transactions affected by the phase-out of certain tenors of the London Inter-bank Offered Rate (LIBOR) by the end of 2021 (or June 30, 2023 for U.S. dollar LIBOR of certain tenors). This guidance is effective upon issuance in March 2020 through December 31, 2022 and allows for retrospective application to contract modifications as early as January 1, 2020. We elected to retrospectively adopt this ASU as of January 1, 2020 which resulted in no immediate impact on our consolidated financial statements. Although we do not have any hedge accounting relationships, many of our debt facilities and loan agreements incorporate LIBOR as the referenced interest rate. Some of these facilities and loan agreements either matured prior to June 30, 2022 or have terms in place that provide for an alternative to LIBOR upon its phase-out.</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Accounting Standards Issued but Not Yet Adopted</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Business Combinations (ASC 805) - Accounting for Contract Assets and Contract Liabilities (ASU 2021-08)</w:t>
      </w:r>
    </w:p>
    <w:p>
      <w:pPr>
        <w:spacing w:after="0" w:line="115"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The amendments in this Update apply to all entities that enter into a business combination within the scope of Subtopic 805-10, Business Combinations— Overall. The amendments in this ASU are issued to improve the accounting for acquired revenue contracts with customers in a business combination by addressing diversity in practice and inconsistency related to the following: (1) recognition of an acquired contract liability and (2) payment terms and their effect on subsequent revenue recognized by the acquirer. The amendments in this ASU require that an entity (acquirer) recognize and measure contract assets and contract liabilities acquired in a business combination in accordance with ASC 606. At the acquisition date, an acquirer should account for the related revenue contracts in accordance with ASC 606 as if it had originated the contracts. To achieve this, an acquirer may assess how the acquiree applied ASC 606 to determine what to record for the acquired revenue contracts. Generally, this should result in an acquirer recognizing and measuring the acquired contract assets and contract liabilities consistent with how they were recognized and measured in the acquiree’s financial statements (if the acquiree prepared financial statements in accordance with generally accepted accounting principles (GAAP)).</w:t>
      </w:r>
    </w:p>
    <w:p>
      <w:pPr>
        <w:spacing w:after="0" w:line="67" w:lineRule="exact"/>
        <w:rPr>
          <w:sz w:val="20"/>
          <w:szCs w:val="20"/>
          <w:color w:val="auto"/>
        </w:rPr>
      </w:pPr>
    </w:p>
    <w:p>
      <w:pPr>
        <w:ind w:right="300"/>
        <w:spacing w:after="0" w:line="283" w:lineRule="auto"/>
        <w:rPr>
          <w:sz w:val="20"/>
          <w:szCs w:val="20"/>
          <w:color w:val="auto"/>
        </w:rPr>
      </w:pPr>
      <w:r>
        <w:rPr>
          <w:rFonts w:ascii="Arial" w:cs="Arial" w:eastAsia="Arial" w:hAnsi="Arial"/>
          <w:sz w:val="17"/>
          <w:szCs w:val="17"/>
          <w:color w:val="auto"/>
        </w:rPr>
        <w:t>The amendments in this ASU are effective for us on January 1, 2023. We do not anticipate that the adoption of this standard will have a material impact on our consolidated financial statements.</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97" w:right="339" w:bottom="1440" w:gutter="0" w:footer="0" w:header="0"/>
        </w:sectPr>
      </w:pPr>
    </w:p>
    <w:bookmarkStart w:id="13" w:name="page14"/>
    <w:bookmarkEnd w:id="13"/>
    <w:p>
      <w:pPr>
        <w:ind w:left="20"/>
        <w:spacing w:after="0"/>
        <w:rPr>
          <w:sz w:val="20"/>
          <w:szCs w:val="20"/>
          <w:color w:val="auto"/>
        </w:rPr>
      </w:pPr>
      <w:r>
        <w:rPr>
          <w:rFonts w:ascii="Arial" w:cs="Arial" w:eastAsia="Arial" w:hAnsi="Arial"/>
          <w:sz w:val="17"/>
          <w:szCs w:val="17"/>
          <w:b w:val="1"/>
          <w:bCs w:val="1"/>
          <w:color w:val="auto"/>
        </w:rPr>
        <w:t>Note 2 – Securitizations and Variable Interest Entities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84455</wp:posOffset>
            </wp:positionV>
            <wp:extent cx="71215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94"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We securitize, sell and service forward and reverse residential mortgage loans and regularly transfer financial assets in connection with asset-backed financing arrangements. We have aggregated these transfers of financial assets and asset-backed financing arrangements using special purpose entities (SPEs) or variable interest entities (VIEs) into the following groups: (1) securitizations of residential mortgage loans, (2) financings of loans held for sale, (3) financings of advances and (4) MSR financings. Financing transactions that do not use SPEs or VIEs are disclosed in Note 13 – Borrowings.</w:t>
      </w:r>
    </w:p>
    <w:p>
      <w:pPr>
        <w:spacing w:after="0" w:line="56"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From time to time, we may acquire beneficial interests issued in connection with mortgage-backed securitizations where we may also be the master and/or primary servicer. These beneficial interests consist of subordinate and residual interests acquired from third-parties in market transactions. We consolidate the VIE when we conclude we are the primary beneficiary.</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Securitizations of Residential Mortgage Loans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Transfers of Forward Loans</w:t>
      </w:r>
    </w:p>
    <w:p>
      <w:pPr>
        <w:spacing w:after="0" w:line="115"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We sell or securitize forward loans that we originate or purchase from third parties, generally in the form of mortgage-backed securities guaranteed by the GSEs or Ginnie Mae. Securitization typically occurs within 30 days of loan closing or purchase. We act only as a fiduciary and do not have a variable interest in the securitization trusts. As a result, we account for these transactions as sales upon transfer.</w:t>
      </w:r>
    </w:p>
    <w:p>
      <w:pPr>
        <w:spacing w:after="0" w:line="69" w:lineRule="exact"/>
        <w:rPr>
          <w:sz w:val="20"/>
          <w:szCs w:val="20"/>
          <w:color w:val="auto"/>
        </w:rPr>
      </w:pPr>
    </w:p>
    <w:p>
      <w:pPr>
        <w:ind w:right="160"/>
        <w:spacing w:after="0" w:line="283" w:lineRule="auto"/>
        <w:rPr>
          <w:sz w:val="20"/>
          <w:szCs w:val="20"/>
          <w:color w:val="auto"/>
        </w:rPr>
      </w:pPr>
      <w:r>
        <w:rPr>
          <w:rFonts w:ascii="Arial" w:cs="Arial" w:eastAsia="Arial" w:hAnsi="Arial"/>
          <w:sz w:val="17"/>
          <w:szCs w:val="17"/>
          <w:color w:val="auto"/>
        </w:rPr>
        <w:t>The following table presents a summary of cash flows received from and paid to securitization trusts related to transfers of loans accounted for as sales that were outstanding:</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980" w:type="dxa"/>
            <w:vAlign w:val="bottom"/>
            <w:gridSpan w:val="5"/>
          </w:tcPr>
          <w:p>
            <w:pPr>
              <w:ind w:left="180"/>
              <w:spacing w:after="0"/>
              <w:rPr>
                <w:sz w:val="20"/>
                <w:szCs w:val="20"/>
                <w:color w:val="auto"/>
              </w:rPr>
            </w:pPr>
            <w:r>
              <w:rPr>
                <w:rFonts w:ascii="Arial" w:cs="Arial" w:eastAsia="Arial" w:hAnsi="Arial"/>
                <w:sz w:val="17"/>
                <w:szCs w:val="17"/>
                <w:b w:val="1"/>
                <w:bCs w:val="1"/>
                <w:color w:val="auto"/>
              </w:rPr>
              <w:t>Three Months Ended June 30,</w:t>
            </w:r>
          </w:p>
        </w:tc>
        <w:tc>
          <w:tcPr>
            <w:tcW w:w="320" w:type="dxa"/>
            <w:vAlign w:val="bottom"/>
          </w:tcPr>
          <w:p>
            <w:pPr>
              <w:spacing w:after="0"/>
              <w:rPr>
                <w:sz w:val="19"/>
                <w:szCs w:val="19"/>
                <w:color w:val="auto"/>
              </w:rPr>
            </w:pPr>
          </w:p>
        </w:tc>
        <w:tc>
          <w:tcPr>
            <w:tcW w:w="2820" w:type="dxa"/>
            <w:vAlign w:val="bottom"/>
            <w:gridSpan w:val="4"/>
          </w:tcPr>
          <w:p>
            <w:pPr>
              <w:jc w:val="right"/>
              <w:ind w:right="474"/>
              <w:spacing w:after="0"/>
              <w:rPr>
                <w:sz w:val="20"/>
                <w:szCs w:val="20"/>
                <w:color w:val="auto"/>
              </w:rPr>
            </w:pPr>
            <w:r>
              <w:rPr>
                <w:rFonts w:ascii="Arial" w:cs="Arial" w:eastAsia="Arial" w:hAnsi="Arial"/>
                <w:sz w:val="17"/>
                <w:szCs w:val="17"/>
                <w:b w:val="1"/>
                <w:bCs w:val="1"/>
                <w:color w:val="auto"/>
              </w:rPr>
              <w:t>Six Months Ended June 30,</w:t>
            </w:r>
          </w:p>
        </w:tc>
      </w:tr>
      <w:tr>
        <w:trPr>
          <w:trHeight w:val="225"/>
        </w:trPr>
        <w:tc>
          <w:tcPr>
            <w:tcW w:w="484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7"/>
                <w:szCs w:val="17"/>
                <w:b w:val="1"/>
                <w:bCs w:val="1"/>
                <w:color w:val="auto"/>
              </w:rPr>
              <w:t>2021</w:t>
            </w:r>
          </w:p>
        </w:tc>
        <w:tc>
          <w:tcPr>
            <w:tcW w:w="12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7"/>
                <w:szCs w:val="17"/>
                <w:b w:val="1"/>
                <w:bCs w:val="1"/>
                <w:color w:val="auto"/>
              </w:rPr>
              <w:t>2021</w:t>
            </w:r>
          </w:p>
        </w:tc>
      </w:tr>
      <w:tr>
        <w:trPr>
          <w:trHeight w:val="213"/>
        </w:trPr>
        <w:tc>
          <w:tcPr>
            <w:tcW w:w="48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Proceeds received from securitizations</w:t>
            </w: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4,109,553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3,147,912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7,697,825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6,396,831</w:t>
            </w:r>
          </w:p>
        </w:tc>
      </w:tr>
      <w:tr>
        <w:trPr>
          <w:trHeight w:val="220"/>
        </w:trPr>
        <w:tc>
          <w:tcPr>
            <w:tcW w:w="4840" w:type="dxa"/>
            <w:vAlign w:val="bottom"/>
          </w:tcPr>
          <w:p>
            <w:pPr>
              <w:ind w:left="140"/>
              <w:spacing w:after="0"/>
              <w:rPr>
                <w:sz w:val="20"/>
                <w:szCs w:val="20"/>
                <w:color w:val="auto"/>
              </w:rPr>
            </w:pPr>
            <w:r>
              <w:rPr>
                <w:rFonts w:ascii="Arial" w:cs="Arial" w:eastAsia="Arial" w:hAnsi="Arial"/>
                <w:sz w:val="17"/>
                <w:szCs w:val="17"/>
                <w:color w:val="auto"/>
              </w:rPr>
              <w:t>Servicing fees collected (1)</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23,908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14,350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45,577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27,528</w:t>
            </w:r>
          </w:p>
        </w:tc>
      </w:tr>
      <w:tr>
        <w:trPr>
          <w:trHeight w:val="220"/>
        </w:trPr>
        <w:tc>
          <w:tcPr>
            <w:tcW w:w="4840" w:type="dxa"/>
            <w:vAlign w:val="bottom"/>
            <w:shd w:val="clear" w:color="auto" w:fill="CCEEFF"/>
          </w:tcPr>
          <w:p>
            <w:pPr>
              <w:ind w:left="140"/>
              <w:spacing w:after="0"/>
              <w:rPr>
                <w:sz w:val="20"/>
                <w:szCs w:val="20"/>
                <w:color w:val="auto"/>
              </w:rPr>
            </w:pPr>
            <w:r>
              <w:rPr>
                <w:rFonts w:ascii="Arial" w:cs="Arial" w:eastAsia="Arial" w:hAnsi="Arial"/>
                <w:sz w:val="17"/>
                <w:szCs w:val="17"/>
                <w:color w:val="auto"/>
                <w:w w:val="90"/>
              </w:rPr>
              <w:t>Purchases of previously transferred assets, net of claims reimbursed</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(4,794)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(6,780)</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(6,824)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(10,019)</w:t>
            </w:r>
          </w:p>
        </w:tc>
      </w:tr>
      <w:tr>
        <w:trPr>
          <w:trHeight w:val="213"/>
        </w:trPr>
        <w:tc>
          <w:tcPr>
            <w:tcW w:w="4840" w:type="dxa"/>
            <w:vAlign w:val="bottom"/>
          </w:tcPr>
          <w:p>
            <w:pPr>
              <w:spacing w:after="0"/>
              <w:rPr>
                <w:sz w:val="18"/>
                <w:szCs w:val="18"/>
                <w:color w:val="auto"/>
              </w:rPr>
            </w:pPr>
          </w:p>
        </w:tc>
        <w:tc>
          <w:tcPr>
            <w:tcW w:w="28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4,128,667</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3,155,482</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7,736,578</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6,414,340</w:t>
            </w:r>
          </w:p>
        </w:tc>
      </w:tr>
      <w:tr>
        <w:trPr>
          <w:trHeight w:val="20"/>
        </w:trPr>
        <w:tc>
          <w:tcPr>
            <w:tcW w:w="48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left="320" w:right="380" w:hanging="317"/>
        <w:spacing w:after="0" w:line="251" w:lineRule="auto"/>
        <w:tabs>
          <w:tab w:leader="none" w:pos="320" w:val="left"/>
        </w:tabs>
        <w:numPr>
          <w:ilvl w:val="0"/>
          <w:numId w:val="6"/>
        </w:numPr>
        <w:rPr>
          <w:rFonts w:ascii="Arial" w:cs="Arial" w:eastAsia="Arial" w:hAnsi="Arial"/>
          <w:sz w:val="16"/>
          <w:szCs w:val="16"/>
          <w:color w:val="auto"/>
        </w:rPr>
      </w:pPr>
      <w:r>
        <w:rPr>
          <w:rFonts w:ascii="Arial" w:cs="Arial" w:eastAsia="Arial" w:hAnsi="Arial"/>
          <w:sz w:val="16"/>
          <w:szCs w:val="16"/>
          <w:color w:val="auto"/>
        </w:rPr>
        <w:t>We receive servicing fees based upon the securitized loan balances and certain ancillary fees, all of which are reported in Servicing and subservicing fees in the unaudited consolidated statements of operations.</w:t>
      </w:r>
    </w:p>
    <w:p>
      <w:pPr>
        <w:spacing w:after="0" w:line="76" w:lineRule="exact"/>
        <w:rPr>
          <w:sz w:val="20"/>
          <w:szCs w:val="20"/>
          <w:color w:val="auto"/>
        </w:rPr>
      </w:pPr>
    </w:p>
    <w:p>
      <w:pPr>
        <w:jc w:val="both"/>
        <w:ind w:right="120"/>
        <w:spacing w:after="0" w:line="268" w:lineRule="auto"/>
        <w:rPr>
          <w:sz w:val="20"/>
          <w:szCs w:val="20"/>
          <w:color w:val="auto"/>
        </w:rPr>
      </w:pPr>
      <w:r>
        <w:rPr>
          <w:rFonts w:ascii="Arial" w:cs="Arial" w:eastAsia="Arial" w:hAnsi="Arial"/>
          <w:sz w:val="17"/>
          <w:szCs w:val="17"/>
          <w:color w:val="auto"/>
        </w:rPr>
        <w:t>In connection with these transfers, we retained MSRs of $60.2 million and $106.0 million during the three and six months ended June 30, 2022, respectively, and $35.8 million and $70.1 million during the three and six months ended June 30, 2021, respectively. We securitize forward and reverse residential mortgage loans involving the GSEs and loans insured by the FHA, VA or USDA through Ginnie Mae.</w:t>
      </w:r>
    </w:p>
    <w:p>
      <w:pPr>
        <w:spacing w:after="0" w:line="69" w:lineRule="exact"/>
        <w:rPr>
          <w:sz w:val="20"/>
          <w:szCs w:val="20"/>
          <w:color w:val="auto"/>
        </w:rPr>
      </w:pPr>
    </w:p>
    <w:p>
      <w:pPr>
        <w:ind w:right="380"/>
        <w:spacing w:after="0" w:line="353" w:lineRule="auto"/>
        <w:rPr>
          <w:sz w:val="20"/>
          <w:szCs w:val="20"/>
          <w:color w:val="auto"/>
        </w:rPr>
      </w:pPr>
      <w:r>
        <w:rPr>
          <w:rFonts w:ascii="Arial" w:cs="Arial" w:eastAsia="Arial" w:hAnsi="Arial"/>
          <w:sz w:val="15"/>
          <w:szCs w:val="15"/>
          <w:color w:val="auto"/>
        </w:rPr>
        <w:t>Certain obligations arise from the agreements associated with our transfers of loans. Under these agreements, we may be obligated to repurchase the loans, or otherwise indemnify or reimburse the investor or insurer for losses incurred due to material breach of contractual representations and warranties.</w:t>
      </w:r>
    </w:p>
    <w:p>
      <w:pPr>
        <w:spacing w:after="0" w:line="9" w:lineRule="exact"/>
        <w:rPr>
          <w:sz w:val="20"/>
          <w:szCs w:val="20"/>
          <w:color w:val="auto"/>
        </w:rPr>
      </w:pPr>
    </w:p>
    <w:p>
      <w:pPr>
        <w:ind w:right="620"/>
        <w:spacing w:after="0" w:line="283" w:lineRule="auto"/>
        <w:rPr>
          <w:sz w:val="20"/>
          <w:szCs w:val="20"/>
          <w:color w:val="auto"/>
        </w:rPr>
      </w:pPr>
      <w:r>
        <w:rPr>
          <w:rFonts w:ascii="Arial" w:cs="Arial" w:eastAsia="Arial" w:hAnsi="Arial"/>
          <w:sz w:val="17"/>
          <w:szCs w:val="17"/>
          <w:color w:val="auto"/>
        </w:rPr>
        <w:t>The following table presents the carrying amounts of our assets that relate to our continuing involvement with forward loans that we have transferred with servicing rights retained as well as an estimate of our maximum exposure to loss including the UPB of the transferred loans: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gridSpan w:val="2"/>
          </w:tcPr>
          <w:p>
            <w:pPr>
              <w:ind w:left="80"/>
              <w:spacing w:after="0"/>
              <w:rPr>
                <w:sz w:val="20"/>
                <w:szCs w:val="20"/>
                <w:color w:val="auto"/>
              </w:rPr>
            </w:pPr>
            <w:r>
              <w:rPr>
                <w:rFonts w:ascii="Arial" w:cs="Arial" w:eastAsia="Arial" w:hAnsi="Arial"/>
                <w:sz w:val="17"/>
                <w:szCs w:val="17"/>
                <w:b w:val="1"/>
                <w:bCs w:val="1"/>
                <w:color w:val="auto"/>
              </w:rPr>
              <w:t>June 30, 2022</w:t>
            </w:r>
          </w:p>
        </w:tc>
        <w:tc>
          <w:tcPr>
            <w:tcW w:w="1520" w:type="dxa"/>
            <w:vAlign w:val="bottom"/>
            <w:gridSpan w:val="2"/>
          </w:tcPr>
          <w:p>
            <w:pPr>
              <w:jc w:val="right"/>
              <w:spacing w:after="0"/>
              <w:rPr>
                <w:sz w:val="20"/>
                <w:szCs w:val="20"/>
                <w:color w:val="auto"/>
              </w:rPr>
            </w:pPr>
            <w:r>
              <w:rPr>
                <w:rFonts w:ascii="Arial" w:cs="Arial" w:eastAsia="Arial" w:hAnsi="Arial"/>
                <w:sz w:val="17"/>
                <w:szCs w:val="17"/>
                <w:b w:val="1"/>
                <w:bCs w:val="1"/>
                <w:color w:val="auto"/>
                <w:w w:val="94"/>
              </w:rPr>
              <w:t>December 31, 2021</w:t>
            </w:r>
          </w:p>
        </w:tc>
      </w:tr>
      <w:tr>
        <w:trPr>
          <w:trHeight w:val="200"/>
        </w:trPr>
        <w:tc>
          <w:tcPr>
            <w:tcW w:w="8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Carrying value of assets</w:t>
            </w:r>
          </w:p>
        </w:tc>
        <w:tc>
          <w:tcPr>
            <w:tcW w:w="18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r>
      <w:tr>
        <w:trPr>
          <w:trHeight w:val="220"/>
        </w:trPr>
        <w:tc>
          <w:tcPr>
            <w:tcW w:w="8060" w:type="dxa"/>
            <w:vAlign w:val="bottom"/>
          </w:tcPr>
          <w:p>
            <w:pPr>
              <w:ind w:left="140"/>
              <w:spacing w:after="0"/>
              <w:rPr>
                <w:sz w:val="20"/>
                <w:szCs w:val="20"/>
                <w:color w:val="auto"/>
              </w:rPr>
            </w:pPr>
            <w:r>
              <w:rPr>
                <w:rFonts w:ascii="Arial" w:cs="Arial" w:eastAsia="Arial" w:hAnsi="Arial"/>
                <w:sz w:val="17"/>
                <w:szCs w:val="17"/>
                <w:color w:val="auto"/>
              </w:rPr>
              <w:t>MSRs, at fair value</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415,869</w:t>
            </w:r>
          </w:p>
        </w:tc>
        <w:tc>
          <w:tcPr>
            <w:tcW w:w="100" w:type="dxa"/>
            <w:vAlign w:val="bottom"/>
          </w:tcPr>
          <w:p>
            <w:pPr>
              <w:spacing w:after="0"/>
              <w:rPr>
                <w:sz w:val="19"/>
                <w:szCs w:val="19"/>
                <w:color w:val="auto"/>
              </w:rPr>
            </w:pPr>
          </w:p>
        </w:tc>
        <w:tc>
          <w:tcPr>
            <w:tcW w:w="400" w:type="dxa"/>
            <w:vAlign w:val="bottom"/>
          </w:tcPr>
          <w:p>
            <w:pPr>
              <w:jc w:val="right"/>
              <w:ind w:right="214"/>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360,830</w:t>
            </w:r>
          </w:p>
        </w:tc>
      </w:tr>
      <w:tr>
        <w:trPr>
          <w:trHeight w:val="220"/>
        </w:trPr>
        <w:tc>
          <w:tcPr>
            <w:tcW w:w="80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Advances</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67,499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151,166</w:t>
            </w:r>
          </w:p>
        </w:tc>
      </w:tr>
      <w:tr>
        <w:trPr>
          <w:trHeight w:val="220"/>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UPB of loans transferred (1)</w:t>
            </w: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30,276,506</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31,864,769</w:t>
            </w:r>
          </w:p>
        </w:tc>
      </w:tr>
      <w:tr>
        <w:trPr>
          <w:trHeight w:val="238"/>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Maximum exposure to loss (2)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30,759,874</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32,376,765</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left="320" w:right="120" w:hanging="317"/>
        <w:spacing w:after="0" w:line="243" w:lineRule="auto"/>
        <w:tabs>
          <w:tab w:leader="none" w:pos="32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Includes $5.8 billion and $5.6 billion of loans delivered to Ginnie Mae as of June 30, 2022 and December 31, 2021, respectively, and includes loan modifications repurchased and delivered through the Ginnie Mae Early Buyout Program (EBO).</w:t>
      </w:r>
    </w:p>
    <w:p>
      <w:pPr>
        <w:spacing w:after="0" w:line="1" w:lineRule="exact"/>
        <w:rPr>
          <w:rFonts w:ascii="Arial" w:cs="Arial" w:eastAsia="Arial" w:hAnsi="Arial"/>
          <w:sz w:val="16"/>
          <w:szCs w:val="16"/>
          <w:color w:val="auto"/>
        </w:rPr>
      </w:pPr>
    </w:p>
    <w:p>
      <w:pPr>
        <w:ind w:left="320" w:right="40" w:hanging="317"/>
        <w:spacing w:after="0" w:line="238" w:lineRule="auto"/>
        <w:tabs>
          <w:tab w:leader="none" w:pos="32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maximum exposure to loss does not take into consideration any recourse available to us, including from the underlying collateral or from correspondent sellers. Also, refer to Loan Put-Back and Related Contingencies in Note 22 – Contingencies,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349" w:right="339" w:bottom="1440" w:gutter="0" w:footer="0" w:header="0"/>
        </w:sectPr>
      </w:pPr>
    </w:p>
    <w:bookmarkStart w:id="14" w:name="page15"/>
    <w:bookmarkEnd w:id="14"/>
    <w:p>
      <w:pPr>
        <w:ind w:right="340"/>
        <w:spacing w:after="0" w:line="268" w:lineRule="auto"/>
        <w:rPr>
          <w:sz w:val="20"/>
          <w:szCs w:val="20"/>
          <w:color w:val="auto"/>
        </w:rPr>
      </w:pPr>
      <w:r>
        <w:rPr>
          <w:rFonts w:ascii="Arial" w:cs="Arial" w:eastAsia="Arial" w:hAnsi="Arial"/>
          <w:sz w:val="17"/>
          <w:szCs w:val="17"/>
          <w:color w:val="auto"/>
        </w:rPr>
        <w:t>At June 30, 2022 and December 31, 2021, 2.5% and 3.6%, respectively, of the transferred residential loans that we service were 60 days or more past due, including 60 days or more past due loans under forbearance. This includes 7.5% and 12.0%, respectively, of loans delivered to Ginnie Mae that are 60 days or more past due.</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Transfers of Reverse Mortgages</w:t>
      </w:r>
    </w:p>
    <w:p>
      <w:pPr>
        <w:spacing w:after="0" w:line="115" w:lineRule="exact"/>
        <w:rPr>
          <w:sz w:val="20"/>
          <w:szCs w:val="20"/>
          <w:color w:val="auto"/>
        </w:rPr>
      </w:pPr>
    </w:p>
    <w:p>
      <w:pPr>
        <w:ind w:right="20"/>
        <w:spacing w:after="0" w:line="278" w:lineRule="auto"/>
        <w:rPr>
          <w:sz w:val="20"/>
          <w:szCs w:val="20"/>
          <w:color w:val="auto"/>
        </w:rPr>
      </w:pPr>
      <w:r>
        <w:rPr>
          <w:rFonts w:ascii="Arial" w:cs="Arial" w:eastAsia="Arial" w:hAnsi="Arial"/>
          <w:sz w:val="16"/>
          <w:szCs w:val="16"/>
          <w:color w:val="auto"/>
        </w:rPr>
        <w:t>We pool HECM loans into HMBS that we sell into the secondary market with servicing rights retained. We have determined that loan transfers in the HMBS program do not meet the definition of a participating interest and the servicing requirements require the issuer/servicer to absorb some level of interest rate risk, cash flow timing risk and incidental credit risk. As a result, the transfers of the HECM loans do not qualify for sale accounting, and therefore, we account for these transfers as financings. Under this accounting treatment, the HECM loans are classified as Loans held for investment, at fair value, on our unaudited consolidated balance sheets. Holders of participating interests in the HMBS have no recourse against the assets of Ocwen, except with respect to standard representations and warranties and our contractual obligation to service the HECM loans and the HMBS.</w:t>
      </w:r>
    </w:p>
    <w:p>
      <w:pPr>
        <w:spacing w:after="0" w:line="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Financing of Loans Held for Sale using SPEs</w:t>
      </w:r>
    </w:p>
    <w:p>
      <w:pPr>
        <w:spacing w:after="0" w:line="121" w:lineRule="exact"/>
        <w:rPr>
          <w:sz w:val="20"/>
          <w:szCs w:val="20"/>
          <w:color w:val="auto"/>
        </w:rPr>
      </w:pPr>
    </w:p>
    <w:p>
      <w:pPr>
        <w:ind w:right="140"/>
        <w:spacing w:after="0" w:line="263" w:lineRule="auto"/>
        <w:rPr>
          <w:sz w:val="20"/>
          <w:szCs w:val="20"/>
          <w:color w:val="auto"/>
        </w:rPr>
      </w:pPr>
      <w:r>
        <w:rPr>
          <w:rFonts w:ascii="Arial" w:cs="Arial" w:eastAsia="Arial" w:hAnsi="Arial"/>
          <w:sz w:val="17"/>
          <w:szCs w:val="17"/>
          <w:color w:val="auto"/>
        </w:rPr>
        <w:t>We entered into a warehouse mortgage loan financing facility with a third-party lender involving an SPE (trust). This facility is structured as a gestation repurchase facility whereby Agency mortgage loans are transferred by PMC to the trust for collateralization purposes. We have designed the trust to facilitate the third party financing facility and have determined that the trust is a VIE for which we are the primary beneficiary. Therefore, we have included the trust in our consolidated financial statements.</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presents the carrying value and classification of the assets and liabilities of the loans held for sale financing facility:</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gridSpan w:val="2"/>
          </w:tcPr>
          <w:p>
            <w:pPr>
              <w:ind w:left="80"/>
              <w:spacing w:after="0"/>
              <w:rPr>
                <w:sz w:val="20"/>
                <w:szCs w:val="20"/>
                <w:color w:val="auto"/>
              </w:rPr>
            </w:pPr>
            <w:r>
              <w:rPr>
                <w:rFonts w:ascii="Arial" w:cs="Arial" w:eastAsia="Arial" w:hAnsi="Arial"/>
                <w:sz w:val="17"/>
                <w:szCs w:val="17"/>
                <w:b w:val="1"/>
                <w:bCs w:val="1"/>
                <w:color w:val="auto"/>
              </w:rPr>
              <w:t>June 30, 2022</w:t>
            </w:r>
          </w:p>
        </w:tc>
        <w:tc>
          <w:tcPr>
            <w:tcW w:w="1520" w:type="dxa"/>
            <w:vAlign w:val="bottom"/>
            <w:gridSpan w:val="2"/>
          </w:tcPr>
          <w:p>
            <w:pPr>
              <w:jc w:val="right"/>
              <w:spacing w:after="0"/>
              <w:rPr>
                <w:sz w:val="20"/>
                <w:szCs w:val="20"/>
                <w:color w:val="auto"/>
              </w:rPr>
            </w:pPr>
            <w:r>
              <w:rPr>
                <w:rFonts w:ascii="Arial" w:cs="Arial" w:eastAsia="Arial" w:hAnsi="Arial"/>
                <w:sz w:val="17"/>
                <w:szCs w:val="17"/>
                <w:b w:val="1"/>
                <w:bCs w:val="1"/>
                <w:color w:val="auto"/>
                <w:w w:val="94"/>
              </w:rPr>
              <w:t>December 31, 2021</w:t>
            </w:r>
          </w:p>
        </w:tc>
      </w:tr>
      <w:tr>
        <w:trPr>
          <w:trHeight w:val="213"/>
        </w:trPr>
        <w:tc>
          <w:tcPr>
            <w:tcW w:w="8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Mortgage loans (Loans held for sale, at fair value)</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127,138</w:t>
            </w: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ind w:right="314"/>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462,144</w:t>
            </w:r>
          </w:p>
        </w:tc>
      </w:tr>
      <w:tr>
        <w:trPr>
          <w:trHeight w:val="220"/>
        </w:trPr>
        <w:tc>
          <w:tcPr>
            <w:tcW w:w="8100" w:type="dxa"/>
            <w:vAlign w:val="bottom"/>
          </w:tcPr>
          <w:p>
            <w:pPr>
              <w:ind w:left="20"/>
              <w:spacing w:after="0"/>
              <w:rPr>
                <w:sz w:val="20"/>
                <w:szCs w:val="20"/>
                <w:color w:val="auto"/>
              </w:rPr>
            </w:pPr>
            <w:r>
              <w:rPr>
                <w:rFonts w:ascii="Arial" w:cs="Arial" w:eastAsia="Arial" w:hAnsi="Arial"/>
                <w:sz w:val="17"/>
                <w:szCs w:val="17"/>
                <w:color w:val="auto"/>
              </w:rPr>
              <w:t>Outstanding borrowings (Mortgage loan warehouse facilities)</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126,098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459,344</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Financings of Advances using SPEs</w:t>
      </w:r>
    </w:p>
    <w:p>
      <w:pPr>
        <w:spacing w:after="0" w:line="121" w:lineRule="exact"/>
        <w:rPr>
          <w:sz w:val="20"/>
          <w:szCs w:val="20"/>
          <w:color w:val="auto"/>
        </w:rPr>
      </w:pPr>
    </w:p>
    <w:p>
      <w:pPr>
        <w:ind w:right="20"/>
        <w:spacing w:after="0" w:line="261" w:lineRule="auto"/>
        <w:rPr>
          <w:sz w:val="20"/>
          <w:szCs w:val="20"/>
          <w:color w:val="auto"/>
        </w:rPr>
      </w:pPr>
      <w:r>
        <w:rPr>
          <w:rFonts w:ascii="Arial" w:cs="Arial" w:eastAsia="Arial" w:hAnsi="Arial"/>
          <w:sz w:val="17"/>
          <w:szCs w:val="17"/>
          <w:color w:val="auto"/>
        </w:rPr>
        <w:t>Match funded advances, i.e., advances that are pledged as collateral to our advance facilities, result from our transfers of residential loan servicing advances to SPEs in exchange for cash. We consolidate these SPEs because we have determined that we are the primary beneficiary of the SPEs. Through wholly-owned subsidiaries we hold the sole equity interests in the SPEs and service the mortgage loans that generate the advances. These SPEs issue debt supported by collections on the transferred advances, and we refer to this debt as Advance match funded liabilities. Holders of the debt issued by the SPEs have recourse only to the assets of the SPE for satisfaction of the debt.</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presents the carrying value and classification of the assets and liabilities of the advance financing facilities: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gridSpan w:val="2"/>
          </w:tcPr>
          <w:p>
            <w:pPr>
              <w:ind w:left="80"/>
              <w:spacing w:after="0"/>
              <w:rPr>
                <w:sz w:val="20"/>
                <w:szCs w:val="20"/>
                <w:color w:val="auto"/>
              </w:rPr>
            </w:pPr>
            <w:r>
              <w:rPr>
                <w:rFonts w:ascii="Arial" w:cs="Arial" w:eastAsia="Arial" w:hAnsi="Arial"/>
                <w:sz w:val="17"/>
                <w:szCs w:val="17"/>
                <w:b w:val="1"/>
                <w:bCs w:val="1"/>
                <w:color w:val="auto"/>
              </w:rPr>
              <w:t>June 30, 2022</w:t>
            </w:r>
          </w:p>
        </w:tc>
        <w:tc>
          <w:tcPr>
            <w:tcW w:w="1520" w:type="dxa"/>
            <w:vAlign w:val="bottom"/>
            <w:gridSpan w:val="2"/>
          </w:tcPr>
          <w:p>
            <w:pPr>
              <w:jc w:val="right"/>
              <w:spacing w:after="0"/>
              <w:rPr>
                <w:sz w:val="20"/>
                <w:szCs w:val="20"/>
                <w:color w:val="auto"/>
              </w:rPr>
            </w:pPr>
            <w:r>
              <w:rPr>
                <w:rFonts w:ascii="Arial" w:cs="Arial" w:eastAsia="Arial" w:hAnsi="Arial"/>
                <w:sz w:val="17"/>
                <w:szCs w:val="17"/>
                <w:b w:val="1"/>
                <w:bCs w:val="1"/>
                <w:color w:val="auto"/>
                <w:w w:val="94"/>
              </w:rPr>
              <w:t>December 31, 2021</w:t>
            </w:r>
          </w:p>
        </w:tc>
      </w:tr>
      <w:tr>
        <w:trPr>
          <w:trHeight w:val="213"/>
        </w:trPr>
        <w:tc>
          <w:tcPr>
            <w:tcW w:w="8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Match funded advances (Advances, net)</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550,978</w:t>
            </w: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ind w:right="314"/>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587,059</w:t>
            </w:r>
          </w:p>
        </w:tc>
      </w:tr>
      <w:tr>
        <w:trPr>
          <w:trHeight w:val="220"/>
        </w:trPr>
        <w:tc>
          <w:tcPr>
            <w:tcW w:w="8100" w:type="dxa"/>
            <w:vAlign w:val="bottom"/>
          </w:tcPr>
          <w:p>
            <w:pPr>
              <w:ind w:left="20"/>
              <w:spacing w:after="0"/>
              <w:rPr>
                <w:sz w:val="20"/>
                <w:szCs w:val="20"/>
                <w:color w:val="auto"/>
              </w:rPr>
            </w:pPr>
            <w:r>
              <w:rPr>
                <w:rFonts w:ascii="Arial" w:cs="Arial" w:eastAsia="Arial" w:hAnsi="Arial"/>
                <w:sz w:val="17"/>
                <w:szCs w:val="17"/>
                <w:color w:val="auto"/>
              </w:rPr>
              <w:t>Debt service accounts (Restricted cash)</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6,931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7,687</w:t>
            </w:r>
          </w:p>
        </w:tc>
      </w:tr>
      <w:tr>
        <w:trPr>
          <w:trHeight w:val="220"/>
        </w:trPr>
        <w:tc>
          <w:tcPr>
            <w:tcW w:w="8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Unamortized deferred lender fees (Other assets)</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1,305</w:t>
            </w:r>
          </w:p>
        </w:tc>
      </w:tr>
      <w:tr>
        <w:trPr>
          <w:trHeight w:val="220"/>
        </w:trPr>
        <w:tc>
          <w:tcPr>
            <w:tcW w:w="8100" w:type="dxa"/>
            <w:vAlign w:val="bottom"/>
          </w:tcPr>
          <w:p>
            <w:pPr>
              <w:ind w:left="20"/>
              <w:spacing w:after="0"/>
              <w:rPr>
                <w:sz w:val="20"/>
                <w:szCs w:val="20"/>
                <w:color w:val="auto"/>
              </w:rPr>
            </w:pPr>
            <w:r>
              <w:rPr>
                <w:rFonts w:ascii="Arial" w:cs="Arial" w:eastAsia="Arial" w:hAnsi="Arial"/>
                <w:sz w:val="17"/>
                <w:szCs w:val="17"/>
                <w:color w:val="auto"/>
              </w:rPr>
              <w:t>Prepaid interest (Other assets)</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177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225</w:t>
            </w:r>
          </w:p>
        </w:tc>
      </w:tr>
      <w:tr>
        <w:trPr>
          <w:trHeight w:val="220"/>
        </w:trPr>
        <w:tc>
          <w:tcPr>
            <w:tcW w:w="8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Advance match funded liabilities</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475,487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512,297</w:t>
            </w:r>
          </w:p>
        </w:tc>
      </w:tr>
    </w:tbl>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MSR Financings using SPEs</w:t>
      </w:r>
    </w:p>
    <w:p>
      <w:pPr>
        <w:spacing w:after="0" w:line="121" w:lineRule="exact"/>
        <w:rPr>
          <w:sz w:val="20"/>
          <w:szCs w:val="20"/>
          <w:color w:val="auto"/>
        </w:rPr>
      </w:pPr>
    </w:p>
    <w:p>
      <w:pPr>
        <w:ind w:right="140"/>
        <w:spacing w:after="0" w:line="261" w:lineRule="auto"/>
        <w:rPr>
          <w:sz w:val="20"/>
          <w:szCs w:val="20"/>
          <w:color w:val="auto"/>
        </w:rPr>
      </w:pPr>
      <w:r>
        <w:rPr>
          <w:rFonts w:ascii="Arial" w:cs="Arial" w:eastAsia="Arial" w:hAnsi="Arial"/>
          <w:sz w:val="17"/>
          <w:szCs w:val="17"/>
          <w:color w:val="auto"/>
        </w:rPr>
        <w:t>We established two SPEs (trusts) in connection with a third-party financing facility secured by certain Fannie Mae and Freddie Mac MSRs (Agency MSRs). We determined that the trusts are VIEs for which we are the primary beneficiary. Therefore, we have included the trusts in our consolidated financial statements. We have the power to direct the activities of the VIEs that most significantly impact the VIE’s economic performance given that we are the servicer of the Agency MSRs that result in cash flows to the trusts. In addition, we have designed the trusts at inception to facilitate the third-party funding facility under which we have the obligation to absorb the losses of the VIEs that could be potentially significant to the VIEs.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7" w:right="339" w:bottom="1440" w:gutter="0" w:footer="0" w:header="0"/>
        </w:sectPr>
      </w:pPr>
    </w:p>
    <w:bookmarkStart w:id="15" w:name="page16"/>
    <w:bookmarkEnd w:id="15"/>
    <w:p>
      <w:pPr>
        <w:spacing w:after="0"/>
        <w:rPr>
          <w:sz w:val="20"/>
          <w:szCs w:val="20"/>
          <w:color w:val="auto"/>
        </w:rPr>
      </w:pPr>
      <w:r>
        <w:rPr>
          <w:rFonts w:ascii="Arial" w:cs="Arial" w:eastAsia="Arial" w:hAnsi="Arial"/>
          <w:sz w:val="17"/>
          <w:szCs w:val="17"/>
          <w:color w:val="auto"/>
        </w:rPr>
        <w:t>The table below presents the carrying value and classification of the assets and liabilities of the Agency MSR financing facility:</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gridSpan w:val="2"/>
          </w:tcPr>
          <w:p>
            <w:pPr>
              <w:ind w:left="80"/>
              <w:spacing w:after="0"/>
              <w:rPr>
                <w:sz w:val="20"/>
                <w:szCs w:val="20"/>
                <w:color w:val="auto"/>
              </w:rPr>
            </w:pPr>
            <w:r>
              <w:rPr>
                <w:rFonts w:ascii="Arial" w:cs="Arial" w:eastAsia="Arial" w:hAnsi="Arial"/>
                <w:sz w:val="17"/>
                <w:szCs w:val="17"/>
                <w:b w:val="1"/>
                <w:bCs w:val="1"/>
                <w:color w:val="auto"/>
              </w:rPr>
              <w:t>June 30, 2022</w:t>
            </w:r>
          </w:p>
        </w:tc>
        <w:tc>
          <w:tcPr>
            <w:tcW w:w="1520" w:type="dxa"/>
            <w:vAlign w:val="bottom"/>
            <w:gridSpan w:val="2"/>
          </w:tcPr>
          <w:p>
            <w:pPr>
              <w:jc w:val="right"/>
              <w:spacing w:after="0"/>
              <w:rPr>
                <w:sz w:val="20"/>
                <w:szCs w:val="20"/>
                <w:color w:val="auto"/>
              </w:rPr>
            </w:pPr>
            <w:r>
              <w:rPr>
                <w:rFonts w:ascii="Arial" w:cs="Arial" w:eastAsia="Arial" w:hAnsi="Arial"/>
                <w:sz w:val="17"/>
                <w:szCs w:val="17"/>
                <w:b w:val="1"/>
                <w:bCs w:val="1"/>
                <w:color w:val="auto"/>
                <w:w w:val="94"/>
              </w:rPr>
              <w:t>December 31, 2021</w:t>
            </w:r>
          </w:p>
        </w:tc>
      </w:tr>
      <w:tr>
        <w:trPr>
          <w:trHeight w:val="213"/>
        </w:trPr>
        <w:tc>
          <w:tcPr>
            <w:tcW w:w="8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MSRs pledged (MSRs, at fair value)</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655,389</w:t>
            </w: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ind w:right="314"/>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630,605</w:t>
            </w:r>
          </w:p>
        </w:tc>
      </w:tr>
      <w:tr>
        <w:trPr>
          <w:trHeight w:val="220"/>
        </w:trPr>
        <w:tc>
          <w:tcPr>
            <w:tcW w:w="8100" w:type="dxa"/>
            <w:vAlign w:val="bottom"/>
          </w:tcPr>
          <w:p>
            <w:pPr>
              <w:ind w:left="20"/>
              <w:spacing w:after="0"/>
              <w:rPr>
                <w:sz w:val="20"/>
                <w:szCs w:val="20"/>
                <w:color w:val="auto"/>
              </w:rPr>
            </w:pPr>
            <w:r>
              <w:rPr>
                <w:rFonts w:ascii="Arial" w:cs="Arial" w:eastAsia="Arial" w:hAnsi="Arial"/>
                <w:sz w:val="17"/>
                <w:szCs w:val="17"/>
                <w:color w:val="auto"/>
              </w:rPr>
              <w:t>Unamortized deferred lender fees (Other assets)</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2,250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1,495</w:t>
            </w:r>
          </w:p>
        </w:tc>
      </w:tr>
      <w:tr>
        <w:trPr>
          <w:trHeight w:val="220"/>
        </w:trPr>
        <w:tc>
          <w:tcPr>
            <w:tcW w:w="8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Debt service account (Restricted cash)</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w:t>
            </w:r>
          </w:p>
        </w:tc>
      </w:tr>
      <w:tr>
        <w:trPr>
          <w:trHeight w:val="220"/>
        </w:trPr>
        <w:tc>
          <w:tcPr>
            <w:tcW w:w="8100" w:type="dxa"/>
            <w:vAlign w:val="bottom"/>
          </w:tcPr>
          <w:p>
            <w:pPr>
              <w:ind w:left="20"/>
              <w:spacing w:after="0"/>
              <w:rPr>
                <w:sz w:val="20"/>
                <w:szCs w:val="20"/>
                <w:color w:val="auto"/>
              </w:rPr>
            </w:pPr>
            <w:r>
              <w:rPr>
                <w:rFonts w:ascii="Arial" w:cs="Arial" w:eastAsia="Arial" w:hAnsi="Arial"/>
                <w:sz w:val="17"/>
                <w:szCs w:val="17"/>
                <w:color w:val="auto"/>
              </w:rPr>
              <w:t>Outstanding borrowings (MSR financing facilities, net)</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389,037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317,523</w:t>
            </w:r>
          </w:p>
        </w:tc>
      </w:tr>
    </w:tbl>
    <w:p>
      <w:pPr>
        <w:spacing w:after="0" w:line="181" w:lineRule="exact"/>
        <w:rPr>
          <w:sz w:val="20"/>
          <w:szCs w:val="20"/>
          <w:color w:val="auto"/>
        </w:rPr>
      </w:pPr>
    </w:p>
    <w:p>
      <w:pPr>
        <w:ind w:right="120"/>
        <w:spacing w:after="0" w:line="263" w:lineRule="auto"/>
        <w:rPr>
          <w:sz w:val="20"/>
          <w:szCs w:val="20"/>
          <w:color w:val="auto"/>
        </w:rPr>
      </w:pPr>
      <w:r>
        <w:rPr>
          <w:rFonts w:ascii="Arial" w:cs="Arial" w:eastAsia="Arial" w:hAnsi="Arial"/>
          <w:sz w:val="17"/>
          <w:szCs w:val="17"/>
          <w:color w:val="auto"/>
        </w:rPr>
        <w:t>In 2019, we issued Ocwen Excess Spread-Collateralized Notes, Series 2019-PLS1 Class A (PLS Notes) secured by certain of PMC’s private label MSRs (PLS MSRs). On March 15, 2022, we replaced the existing PLS Notes with a new series of notes, Ocwen Excess Spread-Collateralized Notes, Series 2022-PLS1 Class A, at an initial principal amount of $75.0 million</w:t>
      </w:r>
      <w:r>
        <w:rPr>
          <w:rFonts w:ascii="Arial" w:cs="Arial" w:eastAsia="Arial" w:hAnsi="Arial"/>
          <w:sz w:val="15"/>
          <w:szCs w:val="15"/>
          <w:color w:val="auto"/>
        </w:rPr>
        <w:t>.</w:t>
      </w:r>
      <w:r>
        <w:rPr>
          <w:rFonts w:ascii="Arial" w:cs="Arial" w:eastAsia="Arial" w:hAnsi="Arial"/>
          <w:sz w:val="17"/>
          <w:szCs w:val="17"/>
          <w:color w:val="auto"/>
        </w:rPr>
        <w:t xml:space="preserve"> An SPE, PMC PLS ESR Issuer LLC (PLS Issuer), was established in this connection as a wholly owned subsidiary of PMC. Ocwen guarantees the obligations of PLS Issuer under the facility.</w:t>
      </w:r>
    </w:p>
    <w:p>
      <w:pPr>
        <w:spacing w:after="0" w:line="73" w:lineRule="exact"/>
        <w:rPr>
          <w:sz w:val="20"/>
          <w:szCs w:val="20"/>
          <w:color w:val="auto"/>
        </w:rPr>
      </w:pPr>
    </w:p>
    <w:p>
      <w:pPr>
        <w:ind w:right="40"/>
        <w:spacing w:after="0" w:line="261" w:lineRule="auto"/>
        <w:rPr>
          <w:sz w:val="20"/>
          <w:szCs w:val="20"/>
          <w:color w:val="auto"/>
        </w:rPr>
      </w:pPr>
      <w:r>
        <w:rPr>
          <w:rFonts w:ascii="Arial" w:cs="Arial" w:eastAsia="Arial" w:hAnsi="Arial"/>
          <w:sz w:val="17"/>
          <w:szCs w:val="17"/>
          <w:color w:val="auto"/>
        </w:rPr>
        <w:t>We determined that PLS Issuer is a VIE for which we are the primary beneficiary. Therefore, we have included PLS Issuer in our consolidated financial statements. We have the power to direct the activities of the VIE that most significantly impact the VIE’s economic performance given that we are the servicer of the MSRs that result in cash flows to PLS Issuer. In addition, PMC has designed PLS Issuer at inception to facilitate the funding of PMC’s MSRs. In return for the participation interests, PMC received the proceeds from issuance of the PLS Notes. PMC is the sole member of PLS Issuer, thus PMC has the obligation to absorb the losses of the VIE that could be potentially significant to the VIE.</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presents the carrying value and classification of the assets and liabilities of the PLS Notes facility:</w:t>
      </w:r>
    </w:p>
    <w:p>
      <w:pPr>
        <w:spacing w:after="0" w:line="238" w:lineRule="exact"/>
        <w:rPr>
          <w:sz w:val="20"/>
          <w:szCs w:val="20"/>
          <w:color w:val="auto"/>
        </w:rPr>
      </w:pPr>
    </w:p>
    <w:tbl>
      <w:tblPr>
        <w:tblLayout w:type="fixed"/>
        <w:tblInd w:w="20" w:type="dxa"/>
        <w:tblCellMar>
          <w:top w:w="0" w:type="dxa"/>
          <w:left w:w="0" w:type="dxa"/>
          <w:bottom w:w="0" w:type="dxa"/>
          <w:right w:w="0" w:type="dxa"/>
        </w:tblCellMar>
      </w:tblPr>
      <w:tr>
        <w:trPr>
          <w:trHeight w:val="225"/>
        </w:trPr>
        <w:tc>
          <w:tcPr>
            <w:tcW w:w="8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gridSpan w:val="2"/>
          </w:tcPr>
          <w:p>
            <w:pPr>
              <w:ind w:left="80"/>
              <w:spacing w:after="0"/>
              <w:rPr>
                <w:sz w:val="20"/>
                <w:szCs w:val="20"/>
                <w:color w:val="auto"/>
              </w:rPr>
            </w:pPr>
            <w:r>
              <w:rPr>
                <w:rFonts w:ascii="Arial" w:cs="Arial" w:eastAsia="Arial" w:hAnsi="Arial"/>
                <w:sz w:val="17"/>
                <w:szCs w:val="17"/>
                <w:b w:val="1"/>
                <w:bCs w:val="1"/>
                <w:color w:val="auto"/>
              </w:rPr>
              <w:t>June 30, 2022</w:t>
            </w:r>
          </w:p>
        </w:tc>
        <w:tc>
          <w:tcPr>
            <w:tcW w:w="1540" w:type="dxa"/>
            <w:vAlign w:val="bottom"/>
            <w:gridSpan w:val="2"/>
          </w:tcPr>
          <w:p>
            <w:pPr>
              <w:jc w:val="right"/>
              <w:spacing w:after="0"/>
              <w:rPr>
                <w:sz w:val="20"/>
                <w:szCs w:val="20"/>
                <w:color w:val="auto"/>
              </w:rPr>
            </w:pPr>
            <w:r>
              <w:rPr>
                <w:rFonts w:ascii="Arial" w:cs="Arial" w:eastAsia="Arial" w:hAnsi="Arial"/>
                <w:sz w:val="17"/>
                <w:szCs w:val="17"/>
                <w:b w:val="1"/>
                <w:bCs w:val="1"/>
                <w:color w:val="auto"/>
                <w:w w:val="94"/>
              </w:rPr>
              <w:t>December 31, 2021</w:t>
            </w:r>
          </w:p>
        </w:tc>
      </w:tr>
      <w:tr>
        <w:trPr>
          <w:trHeight w:val="213"/>
        </w:trPr>
        <w:tc>
          <w:tcPr>
            <w:tcW w:w="8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MSRs pledged (MSRs, at fair value)</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114,600</w:t>
            </w:r>
          </w:p>
        </w:tc>
        <w:tc>
          <w:tcPr>
            <w:tcW w:w="1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ind w:right="354"/>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99,833</w:t>
            </w:r>
          </w:p>
        </w:tc>
      </w:tr>
      <w:tr>
        <w:trPr>
          <w:trHeight w:val="220"/>
        </w:trPr>
        <w:tc>
          <w:tcPr>
            <w:tcW w:w="8060" w:type="dxa"/>
            <w:vAlign w:val="bottom"/>
          </w:tcPr>
          <w:p>
            <w:pPr>
              <w:ind w:left="20"/>
              <w:spacing w:after="0"/>
              <w:rPr>
                <w:sz w:val="20"/>
                <w:szCs w:val="20"/>
                <w:color w:val="auto"/>
              </w:rPr>
            </w:pPr>
            <w:r>
              <w:rPr>
                <w:rFonts w:ascii="Arial" w:cs="Arial" w:eastAsia="Arial" w:hAnsi="Arial"/>
                <w:sz w:val="17"/>
                <w:szCs w:val="17"/>
                <w:color w:val="auto"/>
              </w:rPr>
              <w:t>Debt service account (Restricted cash)</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1,999</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1,968</w:t>
            </w:r>
          </w:p>
        </w:tc>
      </w:tr>
      <w:tr>
        <w:trPr>
          <w:trHeight w:val="220"/>
        </w:trPr>
        <w:tc>
          <w:tcPr>
            <w:tcW w:w="8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Outstanding borrowings (MSR financing facilities, net)</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67,131</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41,663</w:t>
            </w:r>
          </w:p>
        </w:tc>
      </w:tr>
      <w:tr>
        <w:trPr>
          <w:trHeight w:val="220"/>
        </w:trPr>
        <w:tc>
          <w:tcPr>
            <w:tcW w:w="8060" w:type="dxa"/>
            <w:vAlign w:val="bottom"/>
          </w:tcPr>
          <w:p>
            <w:pPr>
              <w:ind w:left="20"/>
              <w:spacing w:after="0"/>
              <w:rPr>
                <w:sz w:val="20"/>
                <w:szCs w:val="20"/>
                <w:color w:val="auto"/>
              </w:rPr>
            </w:pPr>
            <w:r>
              <w:rPr>
                <w:rFonts w:ascii="Arial" w:cs="Arial" w:eastAsia="Arial" w:hAnsi="Arial"/>
                <w:sz w:val="17"/>
                <w:szCs w:val="17"/>
                <w:color w:val="auto"/>
              </w:rPr>
              <w:t>Unamortized debt issuance costs (MSR financing facilities, net)</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951</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413</w:t>
            </w:r>
          </w:p>
        </w:tc>
      </w:tr>
    </w:tbl>
    <w:p>
      <w:pPr>
        <w:spacing w:after="0" w:line="200" w:lineRule="exact"/>
        <w:rPr>
          <w:sz w:val="20"/>
          <w:szCs w:val="20"/>
          <w:color w:val="auto"/>
        </w:rPr>
      </w:pPr>
    </w:p>
    <w:p>
      <w:pPr>
        <w:spacing w:after="0" w:line="350"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Note 3 –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84455</wp:posOffset>
            </wp:positionV>
            <wp:extent cx="71215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07" w:lineRule="exact"/>
        <w:rPr>
          <w:sz w:val="20"/>
          <w:szCs w:val="20"/>
          <w:color w:val="auto"/>
        </w:rPr>
      </w:pPr>
    </w:p>
    <w:p>
      <w:pPr>
        <w:ind w:right="100"/>
        <w:spacing w:after="0" w:line="281" w:lineRule="auto"/>
        <w:rPr>
          <w:sz w:val="20"/>
          <w:szCs w:val="20"/>
          <w:color w:val="auto"/>
        </w:rPr>
      </w:pPr>
      <w:r>
        <w:rPr>
          <w:rFonts w:ascii="Arial" w:cs="Arial" w:eastAsia="Arial" w:hAnsi="Arial"/>
          <w:sz w:val="16"/>
          <w:szCs w:val="16"/>
          <w:color w:val="auto"/>
        </w:rPr>
        <w:t>Fair value is estimated based on a hierarchy that maximizes the use of observable inputs and minimizes the use of unobservable inputs. Observable inputs are inputs that reflect the assumptions that market participants would use in pricing the asset or liability developed based on market data obtained from sources independent of the reporting entity. Unobservable inputs are inputs that reflect the reporting entity’s own assumptions about the assumptions market participants would use in pricing the asset or liability developed based on the best information available in the circumstances. The fair value hierarchy prioritizes the inputs to valuation techniques into three broad levels whereby the highest priority is given to Level 1 inputs and the lowest to Level 3 inputs.</w:t>
      </w:r>
    </w:p>
    <w:p>
      <w:pPr>
        <w:spacing w:after="0" w:line="60" w:lineRule="exact"/>
        <w:rPr>
          <w:sz w:val="20"/>
          <w:szCs w:val="20"/>
          <w:color w:val="auto"/>
        </w:rPr>
      </w:pPr>
    </w:p>
    <w:p>
      <w:pPr>
        <w:ind w:right="20"/>
        <w:spacing w:after="0" w:line="283" w:lineRule="auto"/>
        <w:rPr>
          <w:sz w:val="20"/>
          <w:szCs w:val="20"/>
          <w:color w:val="auto"/>
        </w:rPr>
      </w:pPr>
      <w:r>
        <w:rPr>
          <w:rFonts w:ascii="Arial" w:cs="Arial" w:eastAsia="Arial" w:hAnsi="Arial"/>
          <w:sz w:val="17"/>
          <w:szCs w:val="17"/>
          <w:color w:val="auto"/>
        </w:rPr>
        <w:t>The carrying amounts and the estimated fair values of our financial instruments and certain of our nonfinancial assets measured at fair value on a recurring or non-recurring basis or disclosed, but not measured, at fair value are as follows: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20" w:type="dxa"/>
            <w:vAlign w:val="bottom"/>
            <w:gridSpan w:val="5"/>
          </w:tcPr>
          <w:p>
            <w:pPr>
              <w:ind w:left="840"/>
              <w:spacing w:after="0"/>
              <w:rPr>
                <w:sz w:val="20"/>
                <w:szCs w:val="20"/>
                <w:color w:val="auto"/>
              </w:rPr>
            </w:pPr>
            <w:r>
              <w:rPr>
                <w:rFonts w:ascii="Arial" w:cs="Arial" w:eastAsia="Arial" w:hAnsi="Arial"/>
                <w:sz w:val="17"/>
                <w:szCs w:val="17"/>
                <w:b w:val="1"/>
                <w:bCs w:val="1"/>
                <w:color w:val="auto"/>
              </w:rPr>
              <w:t>June 30, 2022</w:t>
            </w:r>
          </w:p>
        </w:tc>
        <w:tc>
          <w:tcPr>
            <w:tcW w:w="120" w:type="dxa"/>
            <w:vAlign w:val="bottom"/>
          </w:tcPr>
          <w:p>
            <w:pPr>
              <w:spacing w:after="0"/>
              <w:rPr>
                <w:sz w:val="19"/>
                <w:szCs w:val="19"/>
                <w:color w:val="auto"/>
              </w:rPr>
            </w:pPr>
          </w:p>
        </w:tc>
        <w:tc>
          <w:tcPr>
            <w:tcW w:w="2840" w:type="dxa"/>
            <w:vAlign w:val="bottom"/>
            <w:gridSpan w:val="4"/>
          </w:tcPr>
          <w:p>
            <w:pPr>
              <w:jc w:val="right"/>
              <w:ind w:right="694"/>
              <w:spacing w:after="0"/>
              <w:rPr>
                <w:sz w:val="20"/>
                <w:szCs w:val="20"/>
                <w:color w:val="auto"/>
              </w:rPr>
            </w:pPr>
            <w:r>
              <w:rPr>
                <w:rFonts w:ascii="Arial" w:cs="Arial" w:eastAsia="Arial" w:hAnsi="Arial"/>
                <w:sz w:val="17"/>
                <w:szCs w:val="17"/>
                <w:b w:val="1"/>
                <w:bCs w:val="1"/>
                <w:color w:val="auto"/>
              </w:rPr>
              <w:t>December 31, 2021</w:t>
            </w:r>
          </w:p>
        </w:tc>
      </w:tr>
      <w:tr>
        <w:trPr>
          <w:trHeight w:val="213"/>
        </w:trPr>
        <w:tc>
          <w:tcPr>
            <w:tcW w:w="4340" w:type="dxa"/>
            <w:vAlign w:val="bottom"/>
          </w:tcPr>
          <w:p>
            <w:pPr>
              <w:spacing w:after="0"/>
              <w:rPr>
                <w:sz w:val="18"/>
                <w:szCs w:val="18"/>
                <w:color w:val="auto"/>
              </w:rPr>
            </w:pPr>
          </w:p>
        </w:tc>
        <w:tc>
          <w:tcPr>
            <w:tcW w:w="880" w:type="dxa"/>
            <w:vAlign w:val="bottom"/>
            <w:gridSpan w:val="2"/>
          </w:tcPr>
          <w:p>
            <w:pPr>
              <w:ind w:left="180"/>
              <w:spacing w:after="0"/>
              <w:rPr>
                <w:sz w:val="20"/>
                <w:szCs w:val="20"/>
                <w:color w:val="auto"/>
              </w:rPr>
            </w:pPr>
            <w:r>
              <w:rPr>
                <w:rFonts w:ascii="Arial" w:cs="Arial" w:eastAsia="Arial" w:hAnsi="Arial"/>
                <w:sz w:val="17"/>
                <w:szCs w:val="17"/>
                <w:b w:val="1"/>
                <w:bCs w:val="1"/>
                <w:color w:val="auto"/>
              </w:rPr>
              <w:t>Level</w:t>
            </w:r>
          </w:p>
        </w:tc>
        <w:tc>
          <w:tcPr>
            <w:tcW w:w="12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gridSpan w:val="2"/>
          </w:tcPr>
          <w:p>
            <w:pPr>
              <w:ind w:left="20"/>
              <w:spacing w:after="0"/>
              <w:rPr>
                <w:sz w:val="20"/>
                <w:szCs w:val="20"/>
                <w:color w:val="auto"/>
              </w:rPr>
            </w:pPr>
            <w:r>
              <w:rPr>
                <w:rFonts w:ascii="Arial" w:cs="Arial" w:eastAsia="Arial" w:hAnsi="Arial"/>
                <w:sz w:val="17"/>
                <w:szCs w:val="17"/>
                <w:b w:val="1"/>
                <w:bCs w:val="1"/>
                <w:color w:val="auto"/>
              </w:rPr>
              <w:t>Carrying Value</w:t>
            </w:r>
          </w:p>
        </w:tc>
        <w:tc>
          <w:tcPr>
            <w:tcW w:w="2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234"/>
              <w:spacing w:after="0"/>
              <w:rPr>
                <w:sz w:val="20"/>
                <w:szCs w:val="20"/>
                <w:color w:val="auto"/>
              </w:rPr>
            </w:pPr>
            <w:r>
              <w:rPr>
                <w:rFonts w:ascii="Arial" w:cs="Arial" w:eastAsia="Arial" w:hAnsi="Arial"/>
                <w:sz w:val="17"/>
                <w:szCs w:val="17"/>
                <w:b w:val="1"/>
                <w:bCs w:val="1"/>
                <w:color w:val="auto"/>
              </w:rPr>
              <w:t>Fair Value</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gridSpan w:val="2"/>
          </w:tcPr>
          <w:p>
            <w:pPr>
              <w:ind w:left="20"/>
              <w:spacing w:after="0"/>
              <w:rPr>
                <w:sz w:val="20"/>
                <w:szCs w:val="20"/>
                <w:color w:val="auto"/>
              </w:rPr>
            </w:pPr>
            <w:r>
              <w:rPr>
                <w:rFonts w:ascii="Arial" w:cs="Arial" w:eastAsia="Arial" w:hAnsi="Arial"/>
                <w:sz w:val="17"/>
                <w:szCs w:val="17"/>
                <w:b w:val="1"/>
                <w:bCs w:val="1"/>
                <w:color w:val="auto"/>
              </w:rPr>
              <w:t>Carrying Value</w:t>
            </w:r>
          </w:p>
        </w:tc>
        <w:tc>
          <w:tcPr>
            <w:tcW w:w="2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254"/>
              <w:spacing w:after="0"/>
              <w:rPr>
                <w:sz w:val="20"/>
                <w:szCs w:val="20"/>
                <w:color w:val="auto"/>
              </w:rPr>
            </w:pPr>
            <w:r>
              <w:rPr>
                <w:rFonts w:ascii="Arial" w:cs="Arial" w:eastAsia="Arial" w:hAnsi="Arial"/>
                <w:sz w:val="17"/>
                <w:szCs w:val="17"/>
                <w:b w:val="1"/>
                <w:bCs w:val="1"/>
                <w:color w:val="auto"/>
              </w:rPr>
              <w:t>Fair Value</w:t>
            </w:r>
          </w:p>
        </w:tc>
      </w:tr>
      <w:tr>
        <w:trPr>
          <w:trHeight w:val="213"/>
        </w:trPr>
        <w:tc>
          <w:tcPr>
            <w:tcW w:w="4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Financial assets</w:t>
            </w:r>
          </w:p>
        </w:tc>
        <w:tc>
          <w:tcPr>
            <w:tcW w:w="7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r>
      <w:tr>
        <w:trPr>
          <w:trHeight w:val="220"/>
        </w:trPr>
        <w:tc>
          <w:tcPr>
            <w:tcW w:w="4340" w:type="dxa"/>
            <w:vAlign w:val="bottom"/>
          </w:tcPr>
          <w:p>
            <w:pPr>
              <w:ind w:left="140"/>
              <w:spacing w:after="0"/>
              <w:rPr>
                <w:sz w:val="20"/>
                <w:szCs w:val="20"/>
                <w:color w:val="auto"/>
              </w:rPr>
            </w:pPr>
            <w:r>
              <w:rPr>
                <w:rFonts w:ascii="Arial" w:cs="Arial" w:eastAsia="Arial" w:hAnsi="Arial"/>
                <w:sz w:val="17"/>
                <w:szCs w:val="17"/>
                <w:color w:val="auto"/>
              </w:rPr>
              <w:t>Loans held for sale</w:t>
            </w: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0"/>
        </w:trPr>
        <w:tc>
          <w:tcPr>
            <w:tcW w:w="43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Loans held for sale, at fair value (a) (e)</w:t>
            </w:r>
          </w:p>
        </w:tc>
        <w:tc>
          <w:tcPr>
            <w:tcW w:w="7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3, 2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683,140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683,140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917,534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917,534</w:t>
            </w:r>
          </w:p>
        </w:tc>
      </w:tr>
      <w:tr>
        <w:trPr>
          <w:trHeight w:val="220"/>
        </w:trPr>
        <w:tc>
          <w:tcPr>
            <w:tcW w:w="434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Loans held for sale, at lower of cost or fair value (b)</w:t>
            </w:r>
          </w:p>
        </w:tc>
        <w:tc>
          <w:tcPr>
            <w:tcW w:w="760" w:type="dxa"/>
            <w:vAlign w:val="bottom"/>
            <w:tcBorders>
              <w:bottom w:val="single" w:sz="8" w:color="CCEEFF"/>
            </w:tcBorders>
          </w:tcPr>
          <w:p>
            <w:pPr>
              <w:jc w:val="right"/>
              <w:ind w:right="254"/>
              <w:spacing w:after="0"/>
              <w:rPr>
                <w:sz w:val="20"/>
                <w:szCs w:val="20"/>
                <w:color w:val="auto"/>
              </w:rPr>
            </w:pPr>
            <w:r>
              <w:rPr>
                <w:rFonts w:ascii="Arial" w:cs="Arial" w:eastAsia="Arial" w:hAnsi="Arial"/>
                <w:sz w:val="17"/>
                <w:szCs w:val="17"/>
                <w:color w:val="auto"/>
              </w:rPr>
              <w:t>3</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4,325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4,325</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10,993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10,993</w:t>
            </w:r>
          </w:p>
        </w:tc>
      </w:tr>
      <w:tr>
        <w:trPr>
          <w:trHeight w:val="238"/>
        </w:trPr>
        <w:tc>
          <w:tcPr>
            <w:tcW w:w="43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Total Loans held for sale</w:t>
            </w:r>
          </w:p>
        </w:tc>
        <w:tc>
          <w:tcPr>
            <w:tcW w:w="7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687,465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687,465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928,527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928,527</w:t>
            </w: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7"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25"/>
        </w:trPr>
        <w:tc>
          <w:tcPr>
            <w:tcW w:w="4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20" w:type="dxa"/>
            <w:vAlign w:val="bottom"/>
            <w:gridSpan w:val="5"/>
          </w:tcPr>
          <w:p>
            <w:pPr>
              <w:ind w:left="840"/>
              <w:spacing w:after="0"/>
              <w:rPr>
                <w:sz w:val="20"/>
                <w:szCs w:val="20"/>
                <w:color w:val="auto"/>
              </w:rPr>
            </w:pPr>
            <w:r>
              <w:rPr>
                <w:rFonts w:ascii="Arial" w:cs="Arial" w:eastAsia="Arial" w:hAnsi="Arial"/>
                <w:sz w:val="17"/>
                <w:szCs w:val="17"/>
                <w:b w:val="1"/>
                <w:bCs w:val="1"/>
                <w:color w:val="auto"/>
              </w:rPr>
              <w:t>June 30, 2022</w:t>
            </w:r>
          </w:p>
        </w:tc>
        <w:tc>
          <w:tcPr>
            <w:tcW w:w="120" w:type="dxa"/>
            <w:vAlign w:val="bottom"/>
          </w:tcPr>
          <w:p>
            <w:pPr>
              <w:spacing w:after="0"/>
              <w:rPr>
                <w:sz w:val="19"/>
                <w:szCs w:val="19"/>
                <w:color w:val="auto"/>
              </w:rPr>
            </w:pPr>
          </w:p>
        </w:tc>
        <w:tc>
          <w:tcPr>
            <w:tcW w:w="2840" w:type="dxa"/>
            <w:vAlign w:val="bottom"/>
            <w:gridSpan w:val="4"/>
          </w:tcPr>
          <w:p>
            <w:pPr>
              <w:jc w:val="right"/>
              <w:ind w:right="694"/>
              <w:spacing w:after="0"/>
              <w:rPr>
                <w:sz w:val="20"/>
                <w:szCs w:val="20"/>
                <w:color w:val="auto"/>
              </w:rPr>
            </w:pPr>
            <w:r>
              <w:rPr>
                <w:rFonts w:ascii="Arial" w:cs="Arial" w:eastAsia="Arial" w:hAnsi="Arial"/>
                <w:sz w:val="17"/>
                <w:szCs w:val="17"/>
                <w:b w:val="1"/>
                <w:bCs w:val="1"/>
                <w:color w:val="auto"/>
              </w:rPr>
              <w:t>December 31, 2021</w:t>
            </w:r>
          </w:p>
        </w:tc>
        <w:tc>
          <w:tcPr>
            <w:tcW w:w="0" w:type="dxa"/>
            <w:vAlign w:val="bottom"/>
          </w:tcPr>
          <w:p>
            <w:pPr>
              <w:spacing w:after="0"/>
              <w:rPr>
                <w:sz w:val="1"/>
                <w:szCs w:val="1"/>
                <w:color w:val="auto"/>
              </w:rPr>
            </w:pPr>
          </w:p>
        </w:tc>
      </w:tr>
      <w:tr>
        <w:trPr>
          <w:trHeight w:val="213"/>
        </w:trPr>
        <w:tc>
          <w:tcPr>
            <w:tcW w:w="4340" w:type="dxa"/>
            <w:vAlign w:val="bottom"/>
          </w:tcPr>
          <w:p>
            <w:pPr>
              <w:spacing w:after="0"/>
              <w:rPr>
                <w:sz w:val="18"/>
                <w:szCs w:val="18"/>
                <w:color w:val="auto"/>
              </w:rPr>
            </w:pPr>
          </w:p>
        </w:tc>
        <w:tc>
          <w:tcPr>
            <w:tcW w:w="880" w:type="dxa"/>
            <w:vAlign w:val="bottom"/>
            <w:gridSpan w:val="2"/>
          </w:tcPr>
          <w:p>
            <w:pPr>
              <w:jc w:val="center"/>
              <w:ind w:right="120"/>
              <w:spacing w:after="0"/>
              <w:rPr>
                <w:sz w:val="20"/>
                <w:szCs w:val="20"/>
                <w:color w:val="auto"/>
              </w:rPr>
            </w:pPr>
            <w:r>
              <w:rPr>
                <w:rFonts w:ascii="Arial" w:cs="Arial" w:eastAsia="Arial" w:hAnsi="Arial"/>
                <w:sz w:val="17"/>
                <w:szCs w:val="17"/>
                <w:b w:val="1"/>
                <w:bCs w:val="1"/>
                <w:color w:val="auto"/>
                <w:w w:val="91"/>
              </w:rPr>
              <w:t>Level</w:t>
            </w:r>
          </w:p>
        </w:tc>
        <w:tc>
          <w:tcPr>
            <w:tcW w:w="12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gridSpan w:val="2"/>
          </w:tcPr>
          <w:p>
            <w:pPr>
              <w:ind w:left="20"/>
              <w:spacing w:after="0"/>
              <w:rPr>
                <w:sz w:val="20"/>
                <w:szCs w:val="20"/>
                <w:color w:val="auto"/>
              </w:rPr>
            </w:pPr>
            <w:r>
              <w:rPr>
                <w:rFonts w:ascii="Arial" w:cs="Arial" w:eastAsia="Arial" w:hAnsi="Arial"/>
                <w:sz w:val="17"/>
                <w:szCs w:val="17"/>
                <w:b w:val="1"/>
                <w:bCs w:val="1"/>
                <w:color w:val="auto"/>
              </w:rPr>
              <w:t>Carrying Value</w:t>
            </w:r>
          </w:p>
        </w:tc>
        <w:tc>
          <w:tcPr>
            <w:tcW w:w="2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234"/>
              <w:spacing w:after="0"/>
              <w:rPr>
                <w:sz w:val="20"/>
                <w:szCs w:val="20"/>
                <w:color w:val="auto"/>
              </w:rPr>
            </w:pPr>
            <w:r>
              <w:rPr>
                <w:rFonts w:ascii="Arial" w:cs="Arial" w:eastAsia="Arial" w:hAnsi="Arial"/>
                <w:sz w:val="17"/>
                <w:szCs w:val="17"/>
                <w:b w:val="1"/>
                <w:bCs w:val="1"/>
                <w:color w:val="auto"/>
              </w:rPr>
              <w:t>Fair Value</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gridSpan w:val="2"/>
          </w:tcPr>
          <w:p>
            <w:pPr>
              <w:ind w:left="20"/>
              <w:spacing w:after="0"/>
              <w:rPr>
                <w:sz w:val="20"/>
                <w:szCs w:val="20"/>
                <w:color w:val="auto"/>
              </w:rPr>
            </w:pPr>
            <w:r>
              <w:rPr>
                <w:rFonts w:ascii="Arial" w:cs="Arial" w:eastAsia="Arial" w:hAnsi="Arial"/>
                <w:sz w:val="17"/>
                <w:szCs w:val="17"/>
                <w:b w:val="1"/>
                <w:bCs w:val="1"/>
                <w:color w:val="auto"/>
              </w:rPr>
              <w:t>Carrying Value</w:t>
            </w:r>
          </w:p>
        </w:tc>
        <w:tc>
          <w:tcPr>
            <w:tcW w:w="2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254"/>
              <w:spacing w:after="0"/>
              <w:rPr>
                <w:sz w:val="20"/>
                <w:szCs w:val="20"/>
                <w:color w:val="auto"/>
              </w:rPr>
            </w:pPr>
            <w:r>
              <w:rPr>
                <w:rFonts w:ascii="Arial" w:cs="Arial" w:eastAsia="Arial" w:hAnsi="Arial"/>
                <w:sz w:val="17"/>
                <w:szCs w:val="17"/>
                <w:b w:val="1"/>
                <w:bCs w:val="1"/>
                <w:color w:val="auto"/>
              </w:rPr>
              <w:t>Fair Value</w:t>
            </w:r>
          </w:p>
        </w:tc>
        <w:tc>
          <w:tcPr>
            <w:tcW w:w="0" w:type="dxa"/>
            <w:vAlign w:val="bottom"/>
          </w:tcPr>
          <w:p>
            <w:pPr>
              <w:spacing w:after="0"/>
              <w:rPr>
                <w:sz w:val="1"/>
                <w:szCs w:val="1"/>
                <w:color w:val="auto"/>
              </w:rPr>
            </w:pPr>
          </w:p>
        </w:tc>
      </w:tr>
      <w:tr>
        <w:trPr>
          <w:trHeight w:val="200"/>
        </w:trPr>
        <w:tc>
          <w:tcPr>
            <w:tcW w:w="434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Loans held for investment</w:t>
            </w:r>
          </w:p>
        </w:tc>
        <w:tc>
          <w:tcPr>
            <w:tcW w:w="7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340" w:type="dxa"/>
            <w:vAlign w:val="bottom"/>
          </w:tcPr>
          <w:p>
            <w:pPr>
              <w:ind w:left="220"/>
              <w:spacing w:after="0"/>
              <w:rPr>
                <w:sz w:val="20"/>
                <w:szCs w:val="20"/>
                <w:color w:val="auto"/>
              </w:rPr>
            </w:pPr>
            <w:r>
              <w:rPr>
                <w:rFonts w:ascii="Arial" w:cs="Arial" w:eastAsia="Arial" w:hAnsi="Arial"/>
                <w:sz w:val="17"/>
                <w:szCs w:val="17"/>
                <w:color w:val="auto"/>
              </w:rPr>
              <w:t>Loans held for investment - Reverse mortgages (a)</w:t>
            </w:r>
          </w:p>
        </w:tc>
        <w:tc>
          <w:tcPr>
            <w:tcW w:w="760" w:type="dxa"/>
            <w:vAlign w:val="bottom"/>
          </w:tcPr>
          <w:p>
            <w:pPr>
              <w:jc w:val="center"/>
              <w:spacing w:after="0"/>
              <w:rPr>
                <w:sz w:val="20"/>
                <w:szCs w:val="20"/>
                <w:color w:val="auto"/>
              </w:rPr>
            </w:pPr>
            <w:r>
              <w:rPr>
                <w:rFonts w:ascii="Arial" w:cs="Arial" w:eastAsia="Arial" w:hAnsi="Arial"/>
                <w:sz w:val="17"/>
                <w:szCs w:val="17"/>
                <w:color w:val="auto"/>
                <w:w w:val="84"/>
              </w:rPr>
              <w:t>3</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7,376,528</w:t>
            </w:r>
          </w:p>
        </w:tc>
        <w:tc>
          <w:tcPr>
            <w:tcW w:w="10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7,376,528</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7,199,762</w:t>
            </w:r>
          </w:p>
        </w:tc>
        <w:tc>
          <w:tcPr>
            <w:tcW w:w="10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7,199,762</w:t>
            </w:r>
          </w:p>
        </w:tc>
        <w:tc>
          <w:tcPr>
            <w:tcW w:w="0" w:type="dxa"/>
            <w:vAlign w:val="bottom"/>
          </w:tcPr>
          <w:p>
            <w:pPr>
              <w:spacing w:after="0"/>
              <w:rPr>
                <w:sz w:val="1"/>
                <w:szCs w:val="1"/>
                <w:color w:val="auto"/>
              </w:rPr>
            </w:pPr>
          </w:p>
        </w:tc>
      </w:tr>
      <w:tr>
        <w:trPr>
          <w:trHeight w:val="168"/>
        </w:trPr>
        <w:tc>
          <w:tcPr>
            <w:tcW w:w="4340" w:type="dxa"/>
            <w:vAlign w:val="bottom"/>
            <w:shd w:val="clear" w:color="auto" w:fill="CCEEFF"/>
          </w:tcPr>
          <w:p>
            <w:pPr>
              <w:ind w:left="220"/>
              <w:spacing w:after="0" w:line="168" w:lineRule="exact"/>
              <w:rPr>
                <w:sz w:val="20"/>
                <w:szCs w:val="20"/>
                <w:color w:val="auto"/>
              </w:rPr>
            </w:pPr>
            <w:r>
              <w:rPr>
                <w:rFonts w:ascii="Arial" w:cs="Arial" w:eastAsia="Arial" w:hAnsi="Arial"/>
                <w:sz w:val="17"/>
                <w:szCs w:val="17"/>
                <w:color w:val="auto"/>
                <w:w w:val="98"/>
              </w:rPr>
              <w:t>Loans held for investment - Restricted for securitization</w:t>
            </w:r>
          </w:p>
        </w:tc>
        <w:tc>
          <w:tcPr>
            <w:tcW w:w="760" w:type="dxa"/>
            <w:vAlign w:val="bottom"/>
            <w:vMerge w:val="restart"/>
            <w:shd w:val="clear" w:color="auto" w:fill="CCEEFF"/>
          </w:tcPr>
          <w:p>
            <w:pPr>
              <w:jc w:val="center"/>
              <w:spacing w:after="0"/>
              <w:rPr>
                <w:sz w:val="20"/>
                <w:szCs w:val="20"/>
                <w:color w:val="auto"/>
              </w:rPr>
            </w:pPr>
            <w:r>
              <w:rPr>
                <w:rFonts w:ascii="Arial" w:cs="Arial" w:eastAsia="Arial" w:hAnsi="Arial"/>
                <w:sz w:val="17"/>
                <w:szCs w:val="17"/>
                <w:color w:val="auto"/>
                <w:w w:val="84"/>
              </w:rPr>
              <w:t>3</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7,289</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7,289</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7,879</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7,879</w:t>
            </w:r>
          </w:p>
        </w:tc>
        <w:tc>
          <w:tcPr>
            <w:tcW w:w="0" w:type="dxa"/>
            <w:vAlign w:val="bottom"/>
          </w:tcPr>
          <w:p>
            <w:pPr>
              <w:spacing w:after="0"/>
              <w:rPr>
                <w:sz w:val="1"/>
                <w:szCs w:val="1"/>
                <w:color w:val="auto"/>
              </w:rPr>
            </w:pPr>
          </w:p>
        </w:tc>
      </w:tr>
      <w:tr>
        <w:trPr>
          <w:trHeight w:val="219"/>
        </w:trPr>
        <w:tc>
          <w:tcPr>
            <w:tcW w:w="4340" w:type="dxa"/>
            <w:vAlign w:val="bottom"/>
            <w:shd w:val="clear" w:color="auto" w:fill="CCEEFF"/>
          </w:tcPr>
          <w:p>
            <w:pPr>
              <w:ind w:left="360"/>
              <w:spacing w:after="0"/>
              <w:rPr>
                <w:sz w:val="20"/>
                <w:szCs w:val="20"/>
                <w:color w:val="auto"/>
              </w:rPr>
            </w:pPr>
            <w:r>
              <w:rPr>
                <w:rFonts w:ascii="Arial" w:cs="Arial" w:eastAsia="Arial" w:hAnsi="Arial"/>
                <w:sz w:val="17"/>
                <w:szCs w:val="17"/>
                <w:color w:val="auto"/>
              </w:rPr>
              <w:t>investors (a)</w:t>
            </w:r>
          </w:p>
        </w:tc>
        <w:tc>
          <w:tcPr>
            <w:tcW w:w="7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340" w:type="dxa"/>
            <w:vAlign w:val="bottom"/>
            <w:tcBorders>
              <w:bottom w:val="single" w:sz="8" w:color="CCEEFF"/>
            </w:tcBorders>
          </w:tcPr>
          <w:p>
            <w:pPr>
              <w:ind w:left="340"/>
              <w:spacing w:after="0"/>
              <w:rPr>
                <w:sz w:val="20"/>
                <w:szCs w:val="20"/>
                <w:color w:val="auto"/>
              </w:rPr>
            </w:pPr>
            <w:r>
              <w:rPr>
                <w:rFonts w:ascii="Arial" w:cs="Arial" w:eastAsia="Arial" w:hAnsi="Arial"/>
                <w:sz w:val="17"/>
                <w:szCs w:val="17"/>
                <w:color w:val="auto"/>
              </w:rPr>
              <w:t>Total loans held for investment</w:t>
            </w:r>
          </w:p>
        </w:tc>
        <w:tc>
          <w:tcPr>
            <w:tcW w:w="7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7,383,817</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7,383,817</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7,207,641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7,207,641</w:t>
            </w:r>
          </w:p>
        </w:tc>
        <w:tc>
          <w:tcPr>
            <w:tcW w:w="0" w:type="dxa"/>
            <w:vAlign w:val="bottom"/>
          </w:tcPr>
          <w:p>
            <w:pPr>
              <w:spacing w:after="0"/>
              <w:rPr>
                <w:sz w:val="1"/>
                <w:szCs w:val="1"/>
                <w:color w:val="auto"/>
              </w:rPr>
            </w:pPr>
          </w:p>
        </w:tc>
      </w:tr>
      <w:tr>
        <w:trPr>
          <w:trHeight w:val="135"/>
        </w:trPr>
        <w:tc>
          <w:tcPr>
            <w:tcW w:w="43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20"/>
        </w:trPr>
        <w:tc>
          <w:tcPr>
            <w:tcW w:w="4340" w:type="dxa"/>
            <w:vAlign w:val="bottom"/>
          </w:tcPr>
          <w:p>
            <w:pPr>
              <w:ind w:left="140"/>
              <w:spacing w:after="0"/>
              <w:rPr>
                <w:sz w:val="20"/>
                <w:szCs w:val="20"/>
                <w:color w:val="auto"/>
              </w:rPr>
            </w:pPr>
            <w:r>
              <w:rPr>
                <w:rFonts w:ascii="Arial" w:cs="Arial" w:eastAsia="Arial" w:hAnsi="Arial"/>
                <w:sz w:val="17"/>
                <w:szCs w:val="17"/>
                <w:color w:val="auto"/>
              </w:rPr>
              <w:t>Advances, net (c)</w:t>
            </w:r>
          </w:p>
        </w:tc>
        <w:tc>
          <w:tcPr>
            <w:tcW w:w="760" w:type="dxa"/>
            <w:vAlign w:val="bottom"/>
          </w:tcPr>
          <w:p>
            <w:pPr>
              <w:jc w:val="center"/>
              <w:spacing w:after="0"/>
              <w:rPr>
                <w:sz w:val="20"/>
                <w:szCs w:val="20"/>
                <w:color w:val="auto"/>
              </w:rPr>
            </w:pPr>
            <w:r>
              <w:rPr>
                <w:rFonts w:ascii="Arial" w:cs="Arial" w:eastAsia="Arial" w:hAnsi="Arial"/>
                <w:sz w:val="17"/>
                <w:szCs w:val="17"/>
                <w:color w:val="auto"/>
                <w:w w:val="84"/>
              </w:rPr>
              <w:t>3</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647,167</w:t>
            </w:r>
          </w:p>
        </w:tc>
        <w:tc>
          <w:tcPr>
            <w:tcW w:w="10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647,167</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772,433</w:t>
            </w:r>
          </w:p>
        </w:tc>
        <w:tc>
          <w:tcPr>
            <w:tcW w:w="10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772,433</w:t>
            </w:r>
          </w:p>
        </w:tc>
        <w:tc>
          <w:tcPr>
            <w:tcW w:w="0" w:type="dxa"/>
            <w:vAlign w:val="bottom"/>
          </w:tcPr>
          <w:p>
            <w:pPr>
              <w:spacing w:after="0"/>
              <w:rPr>
                <w:sz w:val="1"/>
                <w:szCs w:val="1"/>
                <w:color w:val="auto"/>
              </w:rPr>
            </w:pPr>
          </w:p>
        </w:tc>
      </w:tr>
      <w:tr>
        <w:trPr>
          <w:trHeight w:val="220"/>
        </w:trPr>
        <w:tc>
          <w:tcPr>
            <w:tcW w:w="43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Receivables, net (c)</w:t>
            </w:r>
          </w:p>
        </w:tc>
        <w:tc>
          <w:tcPr>
            <w:tcW w:w="7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178,480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178,480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180,707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180,707</w:t>
            </w:r>
          </w:p>
        </w:tc>
        <w:tc>
          <w:tcPr>
            <w:tcW w:w="0" w:type="dxa"/>
            <w:vAlign w:val="bottom"/>
          </w:tcPr>
          <w:p>
            <w:pPr>
              <w:spacing w:after="0"/>
              <w:rPr>
                <w:sz w:val="1"/>
                <w:szCs w:val="1"/>
                <w:color w:val="auto"/>
              </w:rPr>
            </w:pPr>
          </w:p>
        </w:tc>
      </w:tr>
      <w:tr>
        <w:trPr>
          <w:trHeight w:val="220"/>
        </w:trPr>
        <w:tc>
          <w:tcPr>
            <w:tcW w:w="4340" w:type="dxa"/>
            <w:vAlign w:val="bottom"/>
          </w:tcPr>
          <w:p>
            <w:pPr>
              <w:ind w:left="140"/>
              <w:spacing w:after="0"/>
              <w:rPr>
                <w:sz w:val="20"/>
                <w:szCs w:val="20"/>
                <w:color w:val="auto"/>
              </w:rPr>
            </w:pPr>
            <w:r>
              <w:rPr>
                <w:rFonts w:ascii="Arial" w:cs="Arial" w:eastAsia="Arial" w:hAnsi="Arial"/>
                <w:sz w:val="17"/>
                <w:szCs w:val="17"/>
                <w:color w:val="auto"/>
              </w:rPr>
              <w:t>Mortgage-backed securities (a)</w:t>
            </w:r>
          </w:p>
        </w:tc>
        <w:tc>
          <w:tcPr>
            <w:tcW w:w="760" w:type="dxa"/>
            <w:vAlign w:val="bottom"/>
          </w:tcPr>
          <w:p>
            <w:pPr>
              <w:jc w:val="center"/>
              <w:spacing w:after="0"/>
              <w:rPr>
                <w:sz w:val="20"/>
                <w:szCs w:val="20"/>
                <w:color w:val="auto"/>
              </w:rPr>
            </w:pPr>
            <w:r>
              <w:rPr>
                <w:rFonts w:ascii="Arial" w:cs="Arial" w:eastAsia="Arial" w:hAnsi="Arial"/>
                <w:sz w:val="17"/>
                <w:szCs w:val="17"/>
                <w:color w:val="auto"/>
                <w:w w:val="84"/>
              </w:rPr>
              <w:t>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20"/>
        </w:trPr>
        <w:tc>
          <w:tcPr>
            <w:tcW w:w="43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Corporate bonds (a)</w:t>
            </w:r>
          </w:p>
        </w:tc>
        <w:tc>
          <w:tcPr>
            <w:tcW w:w="7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211</w:t>
            </w:r>
          </w:p>
        </w:tc>
        <w:tc>
          <w:tcPr>
            <w:tcW w:w="0" w:type="dxa"/>
            <w:vAlign w:val="bottom"/>
          </w:tcPr>
          <w:p>
            <w:pPr>
              <w:spacing w:after="0"/>
              <w:rPr>
                <w:sz w:val="1"/>
                <w:szCs w:val="1"/>
                <w:color w:val="auto"/>
              </w:rPr>
            </w:pPr>
          </w:p>
        </w:tc>
      </w:tr>
      <w:tr>
        <w:trPr>
          <w:trHeight w:val="155"/>
        </w:trPr>
        <w:tc>
          <w:tcPr>
            <w:tcW w:w="43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4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Financial liabilities:</w:t>
            </w: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340" w:type="dxa"/>
            <w:vAlign w:val="bottom"/>
          </w:tcPr>
          <w:p>
            <w:pPr>
              <w:ind w:left="140"/>
              <w:spacing w:after="0"/>
              <w:rPr>
                <w:sz w:val="20"/>
                <w:szCs w:val="20"/>
                <w:color w:val="auto"/>
              </w:rPr>
            </w:pPr>
            <w:r>
              <w:rPr>
                <w:rFonts w:ascii="Arial" w:cs="Arial" w:eastAsia="Arial" w:hAnsi="Arial"/>
                <w:sz w:val="17"/>
                <w:szCs w:val="17"/>
                <w:color w:val="auto"/>
              </w:rPr>
              <w:t>Advance match funded liabilities (c)</w:t>
            </w:r>
          </w:p>
        </w:tc>
        <w:tc>
          <w:tcPr>
            <w:tcW w:w="760" w:type="dxa"/>
            <w:vAlign w:val="bottom"/>
          </w:tcPr>
          <w:p>
            <w:pPr>
              <w:jc w:val="center"/>
              <w:spacing w:after="0"/>
              <w:rPr>
                <w:sz w:val="20"/>
                <w:szCs w:val="20"/>
                <w:color w:val="auto"/>
              </w:rPr>
            </w:pPr>
            <w:r>
              <w:rPr>
                <w:rFonts w:ascii="Arial" w:cs="Arial" w:eastAsia="Arial" w:hAnsi="Arial"/>
                <w:sz w:val="17"/>
                <w:szCs w:val="17"/>
                <w:color w:val="auto"/>
                <w:w w:val="84"/>
              </w:rPr>
              <w:t>3</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476,978</w:t>
            </w:r>
          </w:p>
        </w:tc>
        <w:tc>
          <w:tcPr>
            <w:tcW w:w="10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471,357</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512,297</w:t>
            </w:r>
          </w:p>
        </w:tc>
        <w:tc>
          <w:tcPr>
            <w:tcW w:w="10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511,994</w:t>
            </w:r>
          </w:p>
        </w:tc>
        <w:tc>
          <w:tcPr>
            <w:tcW w:w="0" w:type="dxa"/>
            <w:vAlign w:val="bottom"/>
          </w:tcPr>
          <w:p>
            <w:pPr>
              <w:spacing w:after="0"/>
              <w:rPr>
                <w:sz w:val="1"/>
                <w:szCs w:val="1"/>
                <w:color w:val="auto"/>
              </w:rPr>
            </w:pPr>
          </w:p>
        </w:tc>
      </w:tr>
      <w:tr>
        <w:trPr>
          <w:trHeight w:val="220"/>
        </w:trPr>
        <w:tc>
          <w:tcPr>
            <w:tcW w:w="43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Financing liabilities:</w:t>
            </w: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340" w:type="dxa"/>
            <w:vAlign w:val="bottom"/>
          </w:tcPr>
          <w:p>
            <w:pPr>
              <w:ind w:left="220"/>
              <w:spacing w:after="0"/>
              <w:rPr>
                <w:sz w:val="20"/>
                <w:szCs w:val="20"/>
                <w:color w:val="auto"/>
              </w:rPr>
            </w:pPr>
            <w:r>
              <w:rPr>
                <w:rFonts w:ascii="Arial" w:cs="Arial" w:eastAsia="Arial" w:hAnsi="Arial"/>
                <w:sz w:val="17"/>
                <w:szCs w:val="17"/>
                <w:color w:val="auto"/>
              </w:rPr>
              <w:t>HMBS-related borrowings (a)</w:t>
            </w:r>
          </w:p>
        </w:tc>
        <w:tc>
          <w:tcPr>
            <w:tcW w:w="760" w:type="dxa"/>
            <w:vAlign w:val="bottom"/>
          </w:tcPr>
          <w:p>
            <w:pPr>
              <w:jc w:val="center"/>
              <w:spacing w:after="0"/>
              <w:rPr>
                <w:sz w:val="20"/>
                <w:szCs w:val="20"/>
                <w:color w:val="auto"/>
              </w:rPr>
            </w:pPr>
            <w:r>
              <w:rPr>
                <w:rFonts w:ascii="Arial" w:cs="Arial" w:eastAsia="Arial" w:hAnsi="Arial"/>
                <w:sz w:val="17"/>
                <w:szCs w:val="17"/>
                <w:color w:val="auto"/>
                <w:w w:val="84"/>
              </w:rPr>
              <w:t>3</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7,155,251</w:t>
            </w:r>
          </w:p>
        </w:tc>
        <w:tc>
          <w:tcPr>
            <w:tcW w:w="10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7,155,251</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6,885,022</w:t>
            </w:r>
          </w:p>
        </w:tc>
        <w:tc>
          <w:tcPr>
            <w:tcW w:w="10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6,885,022</w:t>
            </w:r>
          </w:p>
        </w:tc>
        <w:tc>
          <w:tcPr>
            <w:tcW w:w="0" w:type="dxa"/>
            <w:vAlign w:val="bottom"/>
          </w:tcPr>
          <w:p>
            <w:pPr>
              <w:spacing w:after="0"/>
              <w:rPr>
                <w:sz w:val="1"/>
                <w:szCs w:val="1"/>
                <w:color w:val="auto"/>
              </w:rPr>
            </w:pPr>
          </w:p>
        </w:tc>
      </w:tr>
      <w:tr>
        <w:trPr>
          <w:trHeight w:val="220"/>
        </w:trPr>
        <w:tc>
          <w:tcPr>
            <w:tcW w:w="43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Other financing liabilities</w:t>
            </w: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340" w:type="dxa"/>
            <w:vAlign w:val="bottom"/>
          </w:tcPr>
          <w:p>
            <w:pPr>
              <w:ind w:left="320"/>
              <w:spacing w:after="0"/>
              <w:rPr>
                <w:sz w:val="20"/>
                <w:szCs w:val="20"/>
                <w:color w:val="auto"/>
              </w:rPr>
            </w:pPr>
            <w:r>
              <w:rPr>
                <w:rFonts w:ascii="Arial" w:cs="Arial" w:eastAsia="Arial" w:hAnsi="Arial"/>
                <w:sz w:val="17"/>
                <w:szCs w:val="17"/>
                <w:color w:val="auto"/>
              </w:rPr>
              <w:t>Financing liability -Transferred MSR liability (a)</w:t>
            </w:r>
          </w:p>
        </w:tc>
        <w:tc>
          <w:tcPr>
            <w:tcW w:w="760" w:type="dxa"/>
            <w:vAlign w:val="bottom"/>
          </w:tcPr>
          <w:p>
            <w:pPr>
              <w:jc w:val="center"/>
              <w:spacing w:after="0"/>
              <w:rPr>
                <w:sz w:val="20"/>
                <w:szCs w:val="20"/>
                <w:color w:val="auto"/>
              </w:rPr>
            </w:pPr>
            <w:r>
              <w:rPr>
                <w:rFonts w:ascii="Arial" w:cs="Arial" w:eastAsia="Arial" w:hAnsi="Arial"/>
                <w:sz w:val="17"/>
                <w:szCs w:val="17"/>
                <w:color w:val="auto"/>
                <w:w w:val="84"/>
              </w:rPr>
              <w:t>3</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906,338</w:t>
            </w:r>
          </w:p>
        </w:tc>
        <w:tc>
          <w:tcPr>
            <w:tcW w:w="10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906,338</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797,084</w:t>
            </w:r>
          </w:p>
        </w:tc>
        <w:tc>
          <w:tcPr>
            <w:tcW w:w="10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797,084</w:t>
            </w:r>
          </w:p>
        </w:tc>
        <w:tc>
          <w:tcPr>
            <w:tcW w:w="0" w:type="dxa"/>
            <w:vAlign w:val="bottom"/>
          </w:tcPr>
          <w:p>
            <w:pPr>
              <w:spacing w:after="0"/>
              <w:rPr>
                <w:sz w:val="1"/>
                <w:szCs w:val="1"/>
                <w:color w:val="auto"/>
              </w:rPr>
            </w:pPr>
          </w:p>
        </w:tc>
      </w:tr>
      <w:tr>
        <w:trPr>
          <w:trHeight w:val="220"/>
        </w:trPr>
        <w:tc>
          <w:tcPr>
            <w:tcW w:w="4340" w:type="dxa"/>
            <w:vAlign w:val="bottom"/>
            <w:shd w:val="clear" w:color="auto" w:fill="CCEEFF"/>
          </w:tcPr>
          <w:p>
            <w:pPr>
              <w:ind w:left="320"/>
              <w:spacing w:after="0"/>
              <w:rPr>
                <w:sz w:val="20"/>
                <w:szCs w:val="20"/>
                <w:color w:val="auto"/>
              </w:rPr>
            </w:pPr>
            <w:r>
              <w:rPr>
                <w:rFonts w:ascii="Arial" w:cs="Arial" w:eastAsia="Arial" w:hAnsi="Arial"/>
                <w:sz w:val="17"/>
                <w:szCs w:val="17"/>
                <w:color w:val="auto"/>
                <w:w w:val="97"/>
              </w:rPr>
              <w:t>Financing liability - Owed to securitization investors (a)</w:t>
            </w:r>
          </w:p>
        </w:tc>
        <w:tc>
          <w:tcPr>
            <w:tcW w:w="7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3</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7,289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7,289</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7,879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7,879</w:t>
            </w:r>
          </w:p>
        </w:tc>
        <w:tc>
          <w:tcPr>
            <w:tcW w:w="0" w:type="dxa"/>
            <w:vAlign w:val="bottom"/>
          </w:tcPr>
          <w:p>
            <w:pPr>
              <w:spacing w:after="0"/>
              <w:rPr>
                <w:sz w:val="1"/>
                <w:szCs w:val="1"/>
                <w:color w:val="auto"/>
              </w:rPr>
            </w:pPr>
          </w:p>
        </w:tc>
      </w:tr>
      <w:tr>
        <w:trPr>
          <w:trHeight w:val="187"/>
        </w:trPr>
        <w:tc>
          <w:tcPr>
            <w:tcW w:w="4340" w:type="dxa"/>
            <w:vAlign w:val="bottom"/>
          </w:tcPr>
          <w:p>
            <w:pPr>
              <w:ind w:left="440"/>
              <w:spacing w:after="0" w:line="187" w:lineRule="exact"/>
              <w:rPr>
                <w:sz w:val="20"/>
                <w:szCs w:val="20"/>
                <w:color w:val="auto"/>
              </w:rPr>
            </w:pPr>
            <w:r>
              <w:rPr>
                <w:rFonts w:ascii="Arial" w:cs="Arial" w:eastAsia="Arial" w:hAnsi="Arial"/>
                <w:sz w:val="17"/>
                <w:szCs w:val="17"/>
                <w:color w:val="auto"/>
              </w:rPr>
              <w:t>Total Other financing liabilities</w:t>
            </w: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913,627</w:t>
            </w: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14"/>
              <w:spacing w:after="0" w:line="187" w:lineRule="exact"/>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913,627</w:t>
            </w: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804,963</w:t>
            </w:r>
          </w:p>
        </w:tc>
        <w:tc>
          <w:tcPr>
            <w:tcW w:w="100" w:type="dxa"/>
            <w:vAlign w:val="bottom"/>
          </w:tcPr>
          <w:p>
            <w:pPr>
              <w:spacing w:after="0"/>
              <w:rPr>
                <w:sz w:val="16"/>
                <w:szCs w:val="16"/>
                <w:color w:val="auto"/>
              </w:rPr>
            </w:pPr>
          </w:p>
        </w:tc>
        <w:tc>
          <w:tcPr>
            <w:tcW w:w="220" w:type="dxa"/>
            <w:vAlign w:val="bottom"/>
            <w:tcBorders>
              <w:bottom w:val="single" w:sz="8" w:color="auto"/>
            </w:tcBorders>
          </w:tcPr>
          <w:p>
            <w:pPr>
              <w:jc w:val="right"/>
              <w:ind w:right="34"/>
              <w:spacing w:after="0" w:line="187" w:lineRule="exact"/>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804,963</w:t>
            </w:r>
          </w:p>
        </w:tc>
        <w:tc>
          <w:tcPr>
            <w:tcW w:w="0" w:type="dxa"/>
            <w:vAlign w:val="bottom"/>
          </w:tcPr>
          <w:p>
            <w:pPr>
              <w:spacing w:after="0"/>
              <w:rPr>
                <w:sz w:val="1"/>
                <w:szCs w:val="1"/>
                <w:color w:val="auto"/>
              </w:rPr>
            </w:pPr>
          </w:p>
        </w:tc>
      </w:tr>
      <w:tr>
        <w:trPr>
          <w:trHeight w:val="20"/>
        </w:trPr>
        <w:tc>
          <w:tcPr>
            <w:tcW w:w="43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43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4340" w:type="dxa"/>
            <w:vAlign w:val="bottom"/>
          </w:tcPr>
          <w:p>
            <w:pPr>
              <w:ind w:left="220"/>
              <w:spacing w:after="0"/>
              <w:rPr>
                <w:sz w:val="20"/>
                <w:szCs w:val="20"/>
                <w:color w:val="auto"/>
              </w:rPr>
            </w:pPr>
            <w:r>
              <w:rPr>
                <w:rFonts w:ascii="Arial" w:cs="Arial" w:eastAsia="Arial" w:hAnsi="Arial"/>
                <w:sz w:val="17"/>
                <w:szCs w:val="17"/>
                <w:color w:val="auto"/>
              </w:rPr>
              <w:t>Mortgage loan warehouse facilities (c)</w:t>
            </w:r>
          </w:p>
        </w:tc>
        <w:tc>
          <w:tcPr>
            <w:tcW w:w="760" w:type="dxa"/>
            <w:vAlign w:val="bottom"/>
          </w:tcPr>
          <w:p>
            <w:pPr>
              <w:jc w:val="center"/>
              <w:spacing w:after="0"/>
              <w:rPr>
                <w:sz w:val="20"/>
                <w:szCs w:val="20"/>
                <w:color w:val="auto"/>
              </w:rPr>
            </w:pPr>
            <w:r>
              <w:rPr>
                <w:rFonts w:ascii="Arial" w:cs="Arial" w:eastAsia="Arial" w:hAnsi="Arial"/>
                <w:sz w:val="17"/>
                <w:szCs w:val="17"/>
                <w:color w:val="auto"/>
                <w:w w:val="84"/>
              </w:rPr>
              <w:t>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779,270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779,270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1,085,076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1,085,076</w:t>
            </w:r>
          </w:p>
        </w:tc>
        <w:tc>
          <w:tcPr>
            <w:tcW w:w="0" w:type="dxa"/>
            <w:vAlign w:val="bottom"/>
          </w:tcPr>
          <w:p>
            <w:pPr>
              <w:spacing w:after="0"/>
              <w:rPr>
                <w:sz w:val="1"/>
                <w:szCs w:val="1"/>
                <w:color w:val="auto"/>
              </w:rPr>
            </w:pPr>
          </w:p>
        </w:tc>
      </w:tr>
      <w:tr>
        <w:trPr>
          <w:trHeight w:val="220"/>
        </w:trPr>
        <w:tc>
          <w:tcPr>
            <w:tcW w:w="43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MSR financing facilities (c) (d)</w:t>
            </w:r>
          </w:p>
        </w:tc>
        <w:tc>
          <w:tcPr>
            <w:tcW w:w="7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987,712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965,069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900,760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873,820</w:t>
            </w:r>
          </w:p>
        </w:tc>
        <w:tc>
          <w:tcPr>
            <w:tcW w:w="0" w:type="dxa"/>
            <w:vAlign w:val="bottom"/>
          </w:tcPr>
          <w:p>
            <w:pPr>
              <w:spacing w:after="0"/>
              <w:rPr>
                <w:sz w:val="1"/>
                <w:szCs w:val="1"/>
                <w:color w:val="auto"/>
              </w:rPr>
            </w:pPr>
          </w:p>
        </w:tc>
      </w:tr>
      <w:tr>
        <w:trPr>
          <w:trHeight w:val="220"/>
        </w:trPr>
        <w:tc>
          <w:tcPr>
            <w:tcW w:w="4340" w:type="dxa"/>
            <w:vAlign w:val="bottom"/>
          </w:tcPr>
          <w:p>
            <w:pPr>
              <w:ind w:left="240"/>
              <w:spacing w:after="0"/>
              <w:rPr>
                <w:sz w:val="20"/>
                <w:szCs w:val="20"/>
                <w:color w:val="auto"/>
              </w:rPr>
            </w:pPr>
            <w:r>
              <w:rPr>
                <w:rFonts w:ascii="Arial" w:cs="Arial" w:eastAsia="Arial" w:hAnsi="Arial"/>
                <w:sz w:val="17"/>
                <w:szCs w:val="17"/>
                <w:color w:val="auto"/>
              </w:rPr>
              <w:t>Senior notes:</w:t>
            </w: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3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PMC Senior secured notes due 2026 (c) (d)</w:t>
            </w:r>
          </w:p>
        </w:tc>
        <w:tc>
          <w:tcPr>
            <w:tcW w:w="7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368,724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333,124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392,555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413,472</w:t>
            </w:r>
          </w:p>
        </w:tc>
        <w:tc>
          <w:tcPr>
            <w:tcW w:w="0" w:type="dxa"/>
            <w:vAlign w:val="bottom"/>
          </w:tcPr>
          <w:p>
            <w:pPr>
              <w:spacing w:after="0"/>
              <w:rPr>
                <w:sz w:val="1"/>
                <w:szCs w:val="1"/>
                <w:color w:val="auto"/>
              </w:rPr>
            </w:pPr>
          </w:p>
        </w:tc>
      </w:tr>
      <w:tr>
        <w:trPr>
          <w:trHeight w:val="220"/>
        </w:trPr>
        <w:tc>
          <w:tcPr>
            <w:tcW w:w="4340" w:type="dxa"/>
            <w:vAlign w:val="bottom"/>
            <w:tcBorders>
              <w:bottom w:val="single" w:sz="8" w:color="CCEEFF"/>
            </w:tcBorders>
          </w:tcPr>
          <w:p>
            <w:pPr>
              <w:ind w:left="320"/>
              <w:spacing w:after="0"/>
              <w:rPr>
                <w:sz w:val="20"/>
                <w:szCs w:val="20"/>
                <w:color w:val="auto"/>
              </w:rPr>
            </w:pPr>
            <w:r>
              <w:rPr>
                <w:rFonts w:ascii="Arial" w:cs="Arial" w:eastAsia="Arial" w:hAnsi="Arial"/>
                <w:sz w:val="17"/>
                <w:szCs w:val="17"/>
                <w:color w:val="auto"/>
              </w:rPr>
              <w:t>OFC Senior secured notes due 2027 (c) (d)</w:t>
            </w:r>
          </w:p>
        </w:tc>
        <w:tc>
          <w:tcPr>
            <w:tcW w:w="760" w:type="dxa"/>
            <w:vAlign w:val="bottom"/>
            <w:tcBorders>
              <w:bottom w:val="single" w:sz="8" w:color="CCEEFF"/>
            </w:tcBorders>
          </w:tcPr>
          <w:p>
            <w:pPr>
              <w:jc w:val="center"/>
              <w:spacing w:after="0"/>
              <w:rPr>
                <w:sz w:val="20"/>
                <w:szCs w:val="20"/>
                <w:color w:val="auto"/>
              </w:rPr>
            </w:pPr>
            <w:r>
              <w:rPr>
                <w:rFonts w:ascii="Arial" w:cs="Arial" w:eastAsia="Arial" w:hAnsi="Arial"/>
                <w:sz w:val="17"/>
                <w:szCs w:val="17"/>
                <w:color w:val="auto"/>
                <w:w w:val="84"/>
              </w:rPr>
              <w:t>3</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226,165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223,800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222,242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261,455</w:t>
            </w:r>
          </w:p>
        </w:tc>
        <w:tc>
          <w:tcPr>
            <w:tcW w:w="0" w:type="dxa"/>
            <w:vAlign w:val="bottom"/>
          </w:tcPr>
          <w:p>
            <w:pPr>
              <w:spacing w:after="0"/>
              <w:rPr>
                <w:sz w:val="1"/>
                <w:szCs w:val="1"/>
                <w:color w:val="auto"/>
              </w:rPr>
            </w:pPr>
          </w:p>
        </w:tc>
      </w:tr>
      <w:tr>
        <w:trPr>
          <w:trHeight w:val="238"/>
        </w:trPr>
        <w:tc>
          <w:tcPr>
            <w:tcW w:w="43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7"/>
                <w:szCs w:val="17"/>
                <w:color w:val="auto"/>
              </w:rPr>
              <w:t>Total Senior notes</w:t>
            </w:r>
          </w:p>
        </w:tc>
        <w:tc>
          <w:tcPr>
            <w:tcW w:w="7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594,889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556,924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614,797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674,927</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43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4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Derivative financial instrument assets (liabilities)</w:t>
            </w: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340" w:type="dxa"/>
            <w:vAlign w:val="bottom"/>
          </w:tcPr>
          <w:p>
            <w:pPr>
              <w:ind w:left="140"/>
              <w:spacing w:after="0"/>
              <w:rPr>
                <w:sz w:val="20"/>
                <w:szCs w:val="20"/>
                <w:color w:val="auto"/>
              </w:rPr>
            </w:pPr>
            <w:r>
              <w:rPr>
                <w:rFonts w:ascii="Arial" w:cs="Arial" w:eastAsia="Arial" w:hAnsi="Arial"/>
                <w:sz w:val="17"/>
                <w:szCs w:val="17"/>
                <w:color w:val="auto"/>
              </w:rPr>
              <w:t>Interest rate lock commitments (IRLCs) (a)</w:t>
            </w:r>
          </w:p>
        </w:tc>
        <w:tc>
          <w:tcPr>
            <w:tcW w:w="760" w:type="dxa"/>
            <w:vAlign w:val="bottom"/>
          </w:tcPr>
          <w:p>
            <w:pPr>
              <w:jc w:val="center"/>
              <w:spacing w:after="0"/>
              <w:rPr>
                <w:sz w:val="20"/>
                <w:szCs w:val="20"/>
                <w:color w:val="auto"/>
              </w:rPr>
            </w:pPr>
            <w:r>
              <w:rPr>
                <w:rFonts w:ascii="Arial" w:cs="Arial" w:eastAsia="Arial" w:hAnsi="Arial"/>
                <w:sz w:val="17"/>
                <w:szCs w:val="17"/>
                <w:color w:val="auto"/>
                <w:w w:val="84"/>
              </w:rPr>
              <w:t>3</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5,746</w:t>
            </w:r>
          </w:p>
        </w:tc>
        <w:tc>
          <w:tcPr>
            <w:tcW w:w="10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5,746</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18,085</w:t>
            </w:r>
          </w:p>
        </w:tc>
        <w:tc>
          <w:tcPr>
            <w:tcW w:w="10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18,085</w:t>
            </w:r>
          </w:p>
        </w:tc>
        <w:tc>
          <w:tcPr>
            <w:tcW w:w="0" w:type="dxa"/>
            <w:vAlign w:val="bottom"/>
          </w:tcPr>
          <w:p>
            <w:pPr>
              <w:spacing w:after="0"/>
              <w:rPr>
                <w:sz w:val="1"/>
                <w:szCs w:val="1"/>
                <w:color w:val="auto"/>
              </w:rPr>
            </w:pPr>
          </w:p>
        </w:tc>
      </w:tr>
      <w:tr>
        <w:trPr>
          <w:trHeight w:val="220"/>
        </w:trPr>
        <w:tc>
          <w:tcPr>
            <w:tcW w:w="43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Forward trades - Loans held for sale (a)</w:t>
            </w:r>
          </w:p>
        </w:tc>
        <w:tc>
          <w:tcPr>
            <w:tcW w:w="7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364</w:t>
            </w:r>
          </w:p>
        </w:tc>
        <w:tc>
          <w:tcPr>
            <w:tcW w:w="0" w:type="dxa"/>
            <w:vAlign w:val="bottom"/>
          </w:tcPr>
          <w:p>
            <w:pPr>
              <w:spacing w:after="0"/>
              <w:rPr>
                <w:sz w:val="1"/>
                <w:szCs w:val="1"/>
                <w:color w:val="auto"/>
              </w:rPr>
            </w:pPr>
          </w:p>
        </w:tc>
      </w:tr>
      <w:tr>
        <w:trPr>
          <w:trHeight w:val="168"/>
        </w:trPr>
        <w:tc>
          <w:tcPr>
            <w:tcW w:w="4340" w:type="dxa"/>
            <w:vAlign w:val="bottom"/>
          </w:tcPr>
          <w:p>
            <w:pPr>
              <w:ind w:left="140"/>
              <w:spacing w:after="0" w:line="168" w:lineRule="exact"/>
              <w:rPr>
                <w:sz w:val="20"/>
                <w:szCs w:val="20"/>
                <w:color w:val="auto"/>
              </w:rPr>
            </w:pPr>
            <w:r>
              <w:rPr>
                <w:rFonts w:ascii="Arial" w:cs="Arial" w:eastAsia="Arial" w:hAnsi="Arial"/>
                <w:sz w:val="17"/>
                <w:szCs w:val="17"/>
                <w:color w:val="auto"/>
                <w:w w:val="97"/>
              </w:rPr>
              <w:t>TBA / Forward mortgage-backed securities (MBS) trades</w:t>
            </w:r>
          </w:p>
        </w:tc>
        <w:tc>
          <w:tcPr>
            <w:tcW w:w="760" w:type="dxa"/>
            <w:vAlign w:val="bottom"/>
            <w:vMerge w:val="restart"/>
          </w:tcPr>
          <w:p>
            <w:pPr>
              <w:jc w:val="center"/>
              <w:spacing w:after="0"/>
              <w:rPr>
                <w:sz w:val="20"/>
                <w:szCs w:val="20"/>
                <w:color w:val="auto"/>
              </w:rPr>
            </w:pPr>
            <w:r>
              <w:rPr>
                <w:rFonts w:ascii="Arial" w:cs="Arial" w:eastAsia="Arial" w:hAnsi="Arial"/>
                <w:sz w:val="17"/>
                <w:szCs w:val="17"/>
                <w:color w:val="auto"/>
                <w:w w:val="84"/>
              </w:rPr>
              <w:t>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Arial" w:cs="Arial" w:eastAsia="Arial" w:hAnsi="Arial"/>
                <w:sz w:val="17"/>
                <w:szCs w:val="17"/>
                <w:color w:val="auto"/>
              </w:rPr>
              <w:t>(4,058)</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Arial" w:cs="Arial" w:eastAsia="Arial" w:hAnsi="Arial"/>
                <w:sz w:val="17"/>
                <w:szCs w:val="17"/>
                <w:color w:val="auto"/>
              </w:rPr>
              <w:t>(4,058)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Arial" w:cs="Arial" w:eastAsia="Arial" w:hAnsi="Arial"/>
                <w:sz w:val="17"/>
                <w:szCs w:val="17"/>
                <w:color w:val="auto"/>
              </w:rPr>
              <w:t>(240)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Arial" w:cs="Arial" w:eastAsia="Arial" w:hAnsi="Arial"/>
                <w:sz w:val="17"/>
                <w:szCs w:val="17"/>
                <w:color w:val="auto"/>
              </w:rPr>
              <w:t>(240)</w:t>
            </w:r>
          </w:p>
        </w:tc>
        <w:tc>
          <w:tcPr>
            <w:tcW w:w="0" w:type="dxa"/>
            <w:vAlign w:val="bottom"/>
          </w:tcPr>
          <w:p>
            <w:pPr>
              <w:spacing w:after="0"/>
              <w:rPr>
                <w:sz w:val="1"/>
                <w:szCs w:val="1"/>
                <w:color w:val="auto"/>
              </w:rPr>
            </w:pPr>
          </w:p>
        </w:tc>
      </w:tr>
      <w:tr>
        <w:trPr>
          <w:trHeight w:val="219"/>
        </w:trPr>
        <w:tc>
          <w:tcPr>
            <w:tcW w:w="4340" w:type="dxa"/>
            <w:vAlign w:val="bottom"/>
          </w:tcPr>
          <w:p>
            <w:pPr>
              <w:ind w:left="300"/>
              <w:spacing w:after="0"/>
              <w:rPr>
                <w:sz w:val="20"/>
                <w:szCs w:val="20"/>
                <w:color w:val="auto"/>
              </w:rPr>
            </w:pPr>
            <w:r>
              <w:rPr>
                <w:rFonts w:ascii="Arial" w:cs="Arial" w:eastAsia="Arial" w:hAnsi="Arial"/>
                <w:sz w:val="17"/>
                <w:szCs w:val="17"/>
                <w:color w:val="auto"/>
              </w:rPr>
              <w:t>(a)</w:t>
            </w:r>
          </w:p>
        </w:tc>
        <w:tc>
          <w:tcPr>
            <w:tcW w:w="7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3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Interest rate swap futures (a)</w:t>
            </w:r>
          </w:p>
        </w:tc>
        <w:tc>
          <w:tcPr>
            <w:tcW w:w="7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1,734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1,734</w:t>
            </w:r>
          </w:p>
        </w:tc>
        <w:tc>
          <w:tcPr>
            <w:tcW w:w="0" w:type="dxa"/>
            <w:vAlign w:val="bottom"/>
          </w:tcPr>
          <w:p>
            <w:pPr>
              <w:spacing w:after="0"/>
              <w:rPr>
                <w:sz w:val="1"/>
                <w:szCs w:val="1"/>
                <w:color w:val="auto"/>
              </w:rPr>
            </w:pPr>
          </w:p>
        </w:tc>
      </w:tr>
      <w:tr>
        <w:trPr>
          <w:trHeight w:val="220"/>
        </w:trPr>
        <w:tc>
          <w:tcPr>
            <w:tcW w:w="4340" w:type="dxa"/>
            <w:vAlign w:val="bottom"/>
          </w:tcPr>
          <w:p>
            <w:pPr>
              <w:ind w:left="140"/>
              <w:spacing w:after="0"/>
              <w:rPr>
                <w:sz w:val="20"/>
                <w:szCs w:val="20"/>
                <w:color w:val="auto"/>
              </w:rPr>
            </w:pPr>
            <w:r>
              <w:rPr>
                <w:rFonts w:ascii="Arial" w:cs="Arial" w:eastAsia="Arial" w:hAnsi="Arial"/>
                <w:sz w:val="17"/>
                <w:szCs w:val="17"/>
                <w:color w:val="auto"/>
              </w:rPr>
              <w:t>Option contracts (a)</w:t>
            </w:r>
          </w:p>
        </w:tc>
        <w:tc>
          <w:tcPr>
            <w:tcW w:w="760" w:type="dxa"/>
            <w:vAlign w:val="bottom"/>
          </w:tcPr>
          <w:p>
            <w:pPr>
              <w:jc w:val="center"/>
              <w:spacing w:after="0"/>
              <w:rPr>
                <w:sz w:val="20"/>
                <w:szCs w:val="20"/>
                <w:color w:val="auto"/>
              </w:rPr>
            </w:pPr>
            <w:r>
              <w:rPr>
                <w:rFonts w:ascii="Arial" w:cs="Arial" w:eastAsia="Arial" w:hAnsi="Arial"/>
                <w:sz w:val="17"/>
                <w:szCs w:val="17"/>
                <w:color w:val="auto"/>
                <w:w w:val="84"/>
              </w:rPr>
              <w:t>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1,179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1,179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(277)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(277)</w:t>
            </w:r>
          </w:p>
        </w:tc>
        <w:tc>
          <w:tcPr>
            <w:tcW w:w="0" w:type="dxa"/>
            <w:vAlign w:val="bottom"/>
          </w:tcPr>
          <w:p>
            <w:pPr>
              <w:spacing w:after="0"/>
              <w:rPr>
                <w:sz w:val="1"/>
                <w:szCs w:val="1"/>
                <w:color w:val="auto"/>
              </w:rPr>
            </w:pPr>
          </w:p>
        </w:tc>
      </w:tr>
      <w:tr>
        <w:trPr>
          <w:trHeight w:val="220"/>
        </w:trPr>
        <w:tc>
          <w:tcPr>
            <w:tcW w:w="43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Other (a)</w:t>
            </w:r>
          </w:p>
        </w:tc>
        <w:tc>
          <w:tcPr>
            <w:tcW w:w="7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(1,070)</w:t>
            </w:r>
          </w:p>
        </w:tc>
        <w:tc>
          <w:tcPr>
            <w:tcW w:w="0" w:type="dxa"/>
            <w:vAlign w:val="bottom"/>
          </w:tcPr>
          <w:p>
            <w:pPr>
              <w:spacing w:after="0"/>
              <w:rPr>
                <w:sz w:val="1"/>
                <w:szCs w:val="1"/>
                <w:color w:val="auto"/>
              </w:rPr>
            </w:pPr>
          </w:p>
        </w:tc>
      </w:tr>
      <w:tr>
        <w:trPr>
          <w:trHeight w:val="155"/>
        </w:trPr>
        <w:tc>
          <w:tcPr>
            <w:tcW w:w="43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4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MSRs (a)</w:t>
            </w:r>
          </w:p>
        </w:tc>
        <w:tc>
          <w:tcPr>
            <w:tcW w:w="7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2,485,679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2,485,679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2,250,147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2,250,147</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300" w:hanging="297"/>
        <w:spacing w:after="0"/>
        <w:tabs>
          <w:tab w:leader="none" w:pos="300" w:val="left"/>
        </w:tabs>
        <w:numPr>
          <w:ilvl w:val="0"/>
          <w:numId w:val="8"/>
        </w:numPr>
        <w:rPr>
          <w:rFonts w:ascii="Arial" w:cs="Arial" w:eastAsia="Arial" w:hAnsi="Arial"/>
          <w:sz w:val="16"/>
          <w:szCs w:val="16"/>
          <w:color w:val="auto"/>
        </w:rPr>
      </w:pPr>
      <w:r>
        <w:rPr>
          <w:rFonts w:ascii="Arial" w:cs="Arial" w:eastAsia="Arial" w:hAnsi="Arial"/>
          <w:sz w:val="16"/>
          <w:szCs w:val="16"/>
          <w:color w:val="auto"/>
        </w:rPr>
        <w:t>Measured at fair value on a recurring basis.</w:t>
      </w:r>
    </w:p>
    <w:p>
      <w:pPr>
        <w:spacing w:after="0" w:line="8" w:lineRule="exact"/>
        <w:rPr>
          <w:rFonts w:ascii="Arial" w:cs="Arial" w:eastAsia="Arial" w:hAnsi="Arial"/>
          <w:sz w:val="16"/>
          <w:szCs w:val="16"/>
          <w:color w:val="auto"/>
        </w:rPr>
      </w:pPr>
    </w:p>
    <w:p>
      <w:pPr>
        <w:ind w:left="320" w:hanging="317"/>
        <w:spacing w:after="0" w:line="235" w:lineRule="auto"/>
        <w:tabs>
          <w:tab w:leader="none" w:pos="320" w:val="left"/>
        </w:tabs>
        <w:numPr>
          <w:ilvl w:val="0"/>
          <w:numId w:val="8"/>
        </w:numPr>
        <w:rPr>
          <w:rFonts w:ascii="Arial" w:cs="Arial" w:eastAsia="Arial" w:hAnsi="Arial"/>
          <w:sz w:val="16"/>
          <w:szCs w:val="16"/>
          <w:color w:val="auto"/>
        </w:rPr>
      </w:pPr>
      <w:r>
        <w:rPr>
          <w:rFonts w:ascii="Arial" w:cs="Arial" w:eastAsia="Arial" w:hAnsi="Arial"/>
          <w:sz w:val="16"/>
          <w:szCs w:val="16"/>
          <w:color w:val="auto"/>
        </w:rPr>
        <w:t>Measured at fair value on a non-recurring basis.</w:t>
      </w:r>
    </w:p>
    <w:p>
      <w:pPr>
        <w:ind w:left="300" w:hanging="297"/>
        <w:spacing w:after="0" w:line="235" w:lineRule="auto"/>
        <w:tabs>
          <w:tab w:leader="none" w:pos="300" w:val="left"/>
        </w:tabs>
        <w:numPr>
          <w:ilvl w:val="0"/>
          <w:numId w:val="8"/>
        </w:numPr>
        <w:rPr>
          <w:rFonts w:ascii="Arial" w:cs="Arial" w:eastAsia="Arial" w:hAnsi="Arial"/>
          <w:sz w:val="16"/>
          <w:szCs w:val="16"/>
          <w:color w:val="auto"/>
        </w:rPr>
      </w:pPr>
      <w:r>
        <w:rPr>
          <w:rFonts w:ascii="Arial" w:cs="Arial" w:eastAsia="Arial" w:hAnsi="Arial"/>
          <w:sz w:val="16"/>
          <w:szCs w:val="16"/>
          <w:color w:val="auto"/>
        </w:rPr>
        <w:t>Disclosed, but not measured, at fair value.</w:t>
      </w:r>
    </w:p>
    <w:p>
      <w:pPr>
        <w:ind w:left="320" w:hanging="317"/>
        <w:spacing w:after="0" w:line="235" w:lineRule="auto"/>
        <w:tabs>
          <w:tab w:leader="none" w:pos="32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carrying values are net of unamortized debt issuance costs and discount. See Note 13 – Borrowings for additional information</w:t>
      </w:r>
      <w:r>
        <w:rPr>
          <w:rFonts w:ascii="Arial" w:cs="Arial" w:eastAsia="Arial" w:hAnsi="Arial"/>
          <w:sz w:val="16"/>
          <w:szCs w:val="16"/>
          <w:b w:val="1"/>
          <w:bCs w:val="1"/>
          <w:color w:val="auto"/>
        </w:rPr>
        <w:t>.</w:t>
      </w:r>
    </w:p>
    <w:p>
      <w:pPr>
        <w:ind w:left="320" w:right="100" w:hanging="317"/>
        <w:spacing w:after="0" w:line="238" w:lineRule="auto"/>
        <w:tabs>
          <w:tab w:leader="none" w:pos="311" w:val="left"/>
        </w:tabs>
        <w:numPr>
          <w:ilvl w:val="0"/>
          <w:numId w:val="8"/>
        </w:numPr>
        <w:rPr>
          <w:rFonts w:ascii="Arial" w:cs="Arial" w:eastAsia="Arial" w:hAnsi="Arial"/>
          <w:sz w:val="16"/>
          <w:szCs w:val="16"/>
          <w:color w:val="auto"/>
        </w:rPr>
      </w:pPr>
      <w:r>
        <w:rPr>
          <w:rFonts w:ascii="Arial" w:cs="Arial" w:eastAsia="Arial" w:hAnsi="Arial"/>
          <w:sz w:val="16"/>
          <w:szCs w:val="16"/>
          <w:color w:val="auto"/>
        </w:rPr>
        <w:t>Loans repurchased from Ginnie Mae securitizations with a fair value of $41.4 million and $220.9 million at June 30, 2022 and December 31, 2021, respectively, are classified as Level 3. The remaining balance of loans held for sale at fair value is classified as Level 2.</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987" w:right="359" w:bottom="1440" w:gutter="0" w:footer="0" w:header="0"/>
        </w:sectPr>
      </w:pPr>
    </w:p>
    <w:bookmarkStart w:id="17" w:name="page18"/>
    <w:bookmarkEnd w:id="17"/>
    <w:p>
      <w:pPr>
        <w:spacing w:after="0"/>
        <w:rPr>
          <w:sz w:val="20"/>
          <w:szCs w:val="20"/>
          <w:color w:val="auto"/>
        </w:rPr>
      </w:pPr>
      <w:r>
        <w:rPr>
          <w:rFonts w:ascii="Arial" w:cs="Arial" w:eastAsia="Arial" w:hAnsi="Arial"/>
          <w:sz w:val="16"/>
          <w:szCs w:val="16"/>
          <w:color w:val="auto"/>
        </w:rPr>
        <w:t>The following tables present a reconciliation of the changes in fair value of Level 3 assets and liabilities that we measure at fair value on a recurring basis: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92"/>
              </w:rPr>
              <w:t>Loans Held for</w:t>
            </w:r>
          </w:p>
        </w:tc>
        <w:tc>
          <w:tcPr>
            <w:tcW w:w="160" w:type="dxa"/>
            <w:vAlign w:val="bottom"/>
          </w:tcPr>
          <w:p>
            <w:pPr>
              <w:spacing w:after="0"/>
              <w:rPr>
                <w:sz w:val="16"/>
                <w:szCs w:val="16"/>
                <w:color w:val="auto"/>
              </w:rPr>
            </w:pPr>
          </w:p>
        </w:tc>
        <w:tc>
          <w:tcPr>
            <w:tcW w:w="1380" w:type="dxa"/>
            <w:vAlign w:val="bottom"/>
            <w:gridSpan w:val="2"/>
            <w:vMerge w:val="restart"/>
          </w:tcPr>
          <w:p>
            <w:pPr>
              <w:jc w:val="center"/>
              <w:ind w:right="280"/>
              <w:spacing w:after="0"/>
              <w:rPr>
                <w:sz w:val="20"/>
                <w:szCs w:val="20"/>
                <w:color w:val="auto"/>
              </w:rPr>
            </w:pPr>
            <w:r>
              <w:rPr>
                <w:rFonts w:ascii="Arial" w:cs="Arial" w:eastAsia="Arial" w:hAnsi="Arial"/>
                <w:sz w:val="17"/>
                <w:szCs w:val="17"/>
                <w:b w:val="1"/>
                <w:bCs w:val="1"/>
                <w:color w:val="auto"/>
                <w:w w:val="92"/>
              </w:rPr>
              <w:t>Financing</w:t>
            </w: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2"/>
          </w:tcPr>
          <w:p>
            <w:pPr>
              <w:jc w:val="center"/>
              <w:ind w:right="240"/>
              <w:spacing w:after="0" w:line="168" w:lineRule="exact"/>
              <w:rPr>
                <w:sz w:val="20"/>
                <w:szCs w:val="20"/>
                <w:color w:val="auto"/>
              </w:rPr>
            </w:pPr>
            <w:r>
              <w:rPr>
                <w:rFonts w:ascii="Arial" w:cs="Arial" w:eastAsia="Arial" w:hAnsi="Arial"/>
                <w:sz w:val="17"/>
                <w:szCs w:val="17"/>
                <w:b w:val="1"/>
                <w:bCs w:val="1"/>
                <w:color w:val="auto"/>
                <w:w w:val="91"/>
              </w:rPr>
              <w:t>Investment -</w:t>
            </w:r>
          </w:p>
        </w:tc>
        <w:tc>
          <w:tcPr>
            <w:tcW w:w="16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1300" w:type="dxa"/>
            <w:vAlign w:val="bottom"/>
            <w:gridSpan w:val="3"/>
            <w:vMerge w:val="restart"/>
          </w:tcPr>
          <w:p>
            <w:pPr>
              <w:jc w:val="center"/>
              <w:ind w:right="100"/>
              <w:spacing w:after="0"/>
              <w:rPr>
                <w:sz w:val="20"/>
                <w:szCs w:val="20"/>
                <w:color w:val="auto"/>
              </w:rPr>
            </w:pPr>
            <w:r>
              <w:rPr>
                <w:rFonts w:ascii="Arial" w:cs="Arial" w:eastAsia="Arial" w:hAnsi="Arial"/>
                <w:sz w:val="17"/>
                <w:szCs w:val="17"/>
                <w:b w:val="1"/>
                <w:bCs w:val="1"/>
                <w:color w:val="auto"/>
                <w:w w:val="94"/>
              </w:rPr>
              <w:t>Loans Held for</w:t>
            </w: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2"/>
          </w:tcPr>
          <w:p>
            <w:pPr>
              <w:jc w:val="center"/>
              <w:ind w:right="260"/>
              <w:spacing w:after="0" w:line="168" w:lineRule="exact"/>
              <w:rPr>
                <w:sz w:val="20"/>
                <w:szCs w:val="20"/>
                <w:color w:val="auto"/>
              </w:rPr>
            </w:pPr>
            <w:r>
              <w:rPr>
                <w:rFonts w:ascii="Arial" w:cs="Arial" w:eastAsia="Arial" w:hAnsi="Arial"/>
                <w:sz w:val="17"/>
                <w:szCs w:val="17"/>
                <w:b w:val="1"/>
                <w:bCs w:val="1"/>
                <w:color w:val="auto"/>
                <w:w w:val="92"/>
              </w:rPr>
              <w:t>Restricted for</w:t>
            </w:r>
          </w:p>
        </w:tc>
        <w:tc>
          <w:tcPr>
            <w:tcW w:w="1540" w:type="dxa"/>
            <w:vAlign w:val="bottom"/>
            <w:gridSpan w:val="3"/>
          </w:tcPr>
          <w:p>
            <w:pPr>
              <w:jc w:val="center"/>
              <w:ind w:right="100"/>
              <w:spacing w:after="0" w:line="168" w:lineRule="exact"/>
              <w:rPr>
                <w:sz w:val="20"/>
                <w:szCs w:val="20"/>
                <w:color w:val="auto"/>
              </w:rPr>
            </w:pPr>
            <w:r>
              <w:rPr>
                <w:rFonts w:ascii="Arial" w:cs="Arial" w:eastAsia="Arial" w:hAnsi="Arial"/>
                <w:sz w:val="17"/>
                <w:szCs w:val="17"/>
                <w:b w:val="1"/>
                <w:bCs w:val="1"/>
                <w:color w:val="auto"/>
                <w:w w:val="95"/>
              </w:rPr>
              <w:t>Liability - Owed to</w:t>
            </w:r>
          </w:p>
        </w:tc>
        <w:tc>
          <w:tcPr>
            <w:tcW w:w="130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2"/>
          </w:tcPr>
          <w:p>
            <w:pPr>
              <w:jc w:val="center"/>
              <w:ind w:right="260"/>
              <w:spacing w:after="0" w:line="168" w:lineRule="exact"/>
              <w:rPr>
                <w:sz w:val="20"/>
                <w:szCs w:val="20"/>
                <w:color w:val="auto"/>
              </w:rPr>
            </w:pPr>
            <w:r>
              <w:rPr>
                <w:rFonts w:ascii="Arial" w:cs="Arial" w:eastAsia="Arial" w:hAnsi="Arial"/>
                <w:sz w:val="17"/>
                <w:szCs w:val="17"/>
                <w:b w:val="1"/>
                <w:bCs w:val="1"/>
                <w:color w:val="auto"/>
                <w:w w:val="91"/>
              </w:rPr>
              <w:t>Securitization</w:t>
            </w:r>
          </w:p>
        </w:tc>
        <w:tc>
          <w:tcPr>
            <w:tcW w:w="160" w:type="dxa"/>
            <w:vAlign w:val="bottom"/>
          </w:tcPr>
          <w:p>
            <w:pPr>
              <w:spacing w:after="0"/>
              <w:rPr>
                <w:sz w:val="14"/>
                <w:szCs w:val="14"/>
                <w:color w:val="auto"/>
              </w:rPr>
            </w:pPr>
          </w:p>
        </w:tc>
        <w:tc>
          <w:tcPr>
            <w:tcW w:w="1380" w:type="dxa"/>
            <w:vAlign w:val="bottom"/>
            <w:gridSpan w:val="2"/>
          </w:tcPr>
          <w:p>
            <w:pPr>
              <w:jc w:val="center"/>
              <w:ind w:right="280"/>
              <w:spacing w:after="0" w:line="168" w:lineRule="exact"/>
              <w:rPr>
                <w:sz w:val="20"/>
                <w:szCs w:val="20"/>
                <w:color w:val="auto"/>
              </w:rPr>
            </w:pPr>
            <w:r>
              <w:rPr>
                <w:rFonts w:ascii="Arial" w:cs="Arial" w:eastAsia="Arial" w:hAnsi="Arial"/>
                <w:sz w:val="17"/>
                <w:szCs w:val="17"/>
                <w:b w:val="1"/>
                <w:bCs w:val="1"/>
                <w:color w:val="auto"/>
                <w:w w:val="91"/>
              </w:rPr>
              <w:t>Securitization</w:t>
            </w:r>
          </w:p>
        </w:tc>
        <w:tc>
          <w:tcPr>
            <w:tcW w:w="160" w:type="dxa"/>
            <w:vAlign w:val="bottom"/>
          </w:tcPr>
          <w:p>
            <w:pPr>
              <w:spacing w:after="0"/>
              <w:rPr>
                <w:sz w:val="14"/>
                <w:szCs w:val="14"/>
                <w:color w:val="auto"/>
              </w:rPr>
            </w:pPr>
          </w:p>
        </w:tc>
        <w:tc>
          <w:tcPr>
            <w:tcW w:w="1140" w:type="dxa"/>
            <w:vAlign w:val="bottom"/>
            <w:gridSpan w:val="2"/>
          </w:tcPr>
          <w:p>
            <w:pPr>
              <w:jc w:val="center"/>
              <w:ind w:right="260"/>
              <w:spacing w:after="0" w:line="168" w:lineRule="exact"/>
              <w:rPr>
                <w:sz w:val="20"/>
                <w:szCs w:val="20"/>
                <w:color w:val="auto"/>
              </w:rPr>
            </w:pPr>
            <w:r>
              <w:rPr>
                <w:rFonts w:ascii="Arial" w:cs="Arial" w:eastAsia="Arial" w:hAnsi="Arial"/>
                <w:sz w:val="17"/>
                <w:szCs w:val="17"/>
                <w:b w:val="1"/>
                <w:bCs w:val="1"/>
                <w:color w:val="auto"/>
                <w:w w:val="93"/>
              </w:rPr>
              <w:t>Sale - Fair</w:t>
            </w:r>
          </w:p>
        </w:tc>
        <w:tc>
          <w:tcPr>
            <w:tcW w:w="240" w:type="dxa"/>
            <w:vAlign w:val="bottom"/>
          </w:tcPr>
          <w:p>
            <w:pPr>
              <w:spacing w:after="0"/>
              <w:rPr>
                <w:sz w:val="14"/>
                <w:szCs w:val="14"/>
                <w:color w:val="auto"/>
              </w:rPr>
            </w:pPr>
          </w:p>
        </w:tc>
        <w:tc>
          <w:tcPr>
            <w:tcW w:w="960" w:type="dxa"/>
            <w:vAlign w:val="bottom"/>
            <w:vMerge w:val="restart"/>
          </w:tcPr>
          <w:p>
            <w:pPr>
              <w:jc w:val="right"/>
              <w:ind w:right="254"/>
              <w:spacing w:after="0"/>
              <w:rPr>
                <w:sz w:val="20"/>
                <w:szCs w:val="20"/>
                <w:color w:val="auto"/>
              </w:rPr>
            </w:pPr>
            <w:r>
              <w:rPr>
                <w:rFonts w:ascii="Arial" w:cs="Arial" w:eastAsia="Arial" w:hAnsi="Arial"/>
                <w:sz w:val="17"/>
                <w:szCs w:val="17"/>
                <w:b w:val="1"/>
                <w:bCs w:val="1"/>
                <w:color w:val="auto"/>
              </w:rPr>
              <w:t>IRLCs</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560" w:type="dxa"/>
            <w:vAlign w:val="bottom"/>
            <w:vMerge w:val="restart"/>
          </w:tcPr>
          <w:p>
            <w:pPr>
              <w:spacing w:after="0"/>
              <w:rPr>
                <w:sz w:val="20"/>
                <w:szCs w:val="20"/>
                <w:color w:val="auto"/>
              </w:rPr>
            </w:pPr>
            <w:r>
              <w:rPr>
                <w:rFonts w:ascii="Arial" w:cs="Arial" w:eastAsia="Arial" w:hAnsi="Arial"/>
                <w:sz w:val="17"/>
                <w:szCs w:val="17"/>
                <w:b w:val="1"/>
                <w:bCs w:val="1"/>
                <w:color w:val="auto"/>
                <w:w w:val="89"/>
              </w:rPr>
              <w:t>Three months ended June 30, 2022</w:t>
            </w:r>
          </w:p>
        </w:tc>
        <w:tc>
          <w:tcPr>
            <w:tcW w:w="3000" w:type="dxa"/>
            <w:vAlign w:val="bottom"/>
            <w:vMerge w:val="restart"/>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89"/>
              </w:rPr>
              <w:t>Investors</w:t>
            </w:r>
          </w:p>
        </w:tc>
        <w:tc>
          <w:tcPr>
            <w:tcW w:w="160" w:type="dxa"/>
            <w:vAlign w:val="bottom"/>
          </w:tcPr>
          <w:p>
            <w:pPr>
              <w:spacing w:after="0"/>
              <w:rPr>
                <w:sz w:val="19"/>
                <w:szCs w:val="19"/>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89"/>
              </w:rPr>
              <w:t>Investors</w:t>
            </w:r>
          </w:p>
        </w:tc>
        <w:tc>
          <w:tcPr>
            <w:tcW w:w="160" w:type="dxa"/>
            <w:vAlign w:val="bottom"/>
          </w:tcPr>
          <w:p>
            <w:pPr>
              <w:spacing w:after="0"/>
              <w:rPr>
                <w:sz w:val="19"/>
                <w:szCs w:val="19"/>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88"/>
              </w:rPr>
              <w:t>Value</w:t>
            </w:r>
          </w:p>
        </w:tc>
        <w:tc>
          <w:tcPr>
            <w:tcW w:w="24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4"/>
                <w:szCs w:val="14"/>
                <w:color w:val="auto"/>
              </w:rPr>
            </w:pPr>
          </w:p>
        </w:tc>
        <w:tc>
          <w:tcPr>
            <w:tcW w:w="2560" w:type="dxa"/>
            <w:vAlign w:val="bottom"/>
            <w:tcBorders>
              <w:bottom w:val="single" w:sz="8" w:color="auto"/>
            </w:tcBorders>
            <w:vMerge w:val="continue"/>
          </w:tcPr>
          <w:p>
            <w:pPr>
              <w:spacing w:after="0"/>
              <w:rPr>
                <w:sz w:val="14"/>
                <w:szCs w:val="14"/>
                <w:color w:val="auto"/>
              </w:rPr>
            </w:pPr>
          </w:p>
        </w:tc>
        <w:tc>
          <w:tcPr>
            <w:tcW w:w="3000" w:type="dxa"/>
            <w:vAlign w:val="bottom"/>
            <w:vMerge w:val="continue"/>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Beginning balance</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7,722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(7,722)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230,443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5,673</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560" w:type="dxa"/>
            <w:vAlign w:val="bottom"/>
            <w:gridSpan w:val="2"/>
          </w:tcPr>
          <w:p>
            <w:pPr>
              <w:ind w:left="100"/>
              <w:spacing w:after="0"/>
              <w:rPr>
                <w:sz w:val="20"/>
                <w:szCs w:val="20"/>
                <w:color w:val="auto"/>
              </w:rPr>
            </w:pPr>
            <w:r>
              <w:rPr>
                <w:rFonts w:ascii="Arial" w:cs="Arial" w:eastAsia="Arial" w:hAnsi="Arial"/>
                <w:sz w:val="17"/>
                <w:szCs w:val="17"/>
                <w:color w:val="auto"/>
              </w:rPr>
              <w:t>Purchases, issuances, sales and settlements</w:t>
            </w: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556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Purchases</w:t>
            </w:r>
          </w:p>
        </w:tc>
        <w:tc>
          <w:tcPr>
            <w:tcW w:w="1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57,542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560" w:type="dxa"/>
            <w:vAlign w:val="bottom"/>
            <w:gridSpan w:val="2"/>
          </w:tcPr>
          <w:p>
            <w:pPr>
              <w:ind w:left="220"/>
              <w:spacing w:after="0"/>
              <w:rPr>
                <w:sz w:val="20"/>
                <w:szCs w:val="20"/>
                <w:color w:val="auto"/>
              </w:rPr>
            </w:pPr>
            <w:r>
              <w:rPr>
                <w:rFonts w:ascii="Arial" w:cs="Arial" w:eastAsia="Arial" w:hAnsi="Arial"/>
                <w:sz w:val="17"/>
                <w:szCs w:val="17"/>
                <w:color w:val="auto"/>
              </w:rPr>
              <w:t>Issuances (1)</w:t>
            </w:r>
          </w:p>
        </w:tc>
        <w:tc>
          <w:tcPr>
            <w:tcW w:w="14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82,228</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556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Sales</w:t>
            </w:r>
          </w:p>
        </w:tc>
        <w:tc>
          <w:tcPr>
            <w:tcW w:w="1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(243,810)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560" w:type="dxa"/>
            <w:vAlign w:val="bottom"/>
            <w:gridSpan w:val="2"/>
          </w:tcPr>
          <w:p>
            <w:pPr>
              <w:ind w:left="220"/>
              <w:spacing w:after="0"/>
              <w:rPr>
                <w:sz w:val="20"/>
                <w:szCs w:val="20"/>
                <w:color w:val="auto"/>
              </w:rPr>
            </w:pPr>
            <w:r>
              <w:rPr>
                <w:rFonts w:ascii="Arial" w:cs="Arial" w:eastAsia="Arial" w:hAnsi="Arial"/>
                <w:sz w:val="17"/>
                <w:szCs w:val="17"/>
                <w:color w:val="auto"/>
              </w:rPr>
              <w:t>Settlements</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(433)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433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556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Transfers (to) from:</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560" w:type="dxa"/>
            <w:vAlign w:val="bottom"/>
            <w:gridSpan w:val="2"/>
          </w:tcPr>
          <w:p>
            <w:pPr>
              <w:ind w:left="200"/>
              <w:spacing w:after="0"/>
              <w:rPr>
                <w:sz w:val="20"/>
                <w:szCs w:val="20"/>
                <w:color w:val="auto"/>
              </w:rPr>
            </w:pPr>
            <w:r>
              <w:rPr>
                <w:rFonts w:ascii="Arial" w:cs="Arial" w:eastAsia="Arial" w:hAnsi="Arial"/>
                <w:sz w:val="17"/>
                <w:szCs w:val="17"/>
                <w:color w:val="auto"/>
              </w:rPr>
              <w:t>Loans held for sale, at fair value (1)</w:t>
            </w:r>
          </w:p>
        </w:tc>
        <w:tc>
          <w:tcPr>
            <w:tcW w:w="14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3,642</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556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Receivables, net</w:t>
            </w:r>
          </w:p>
        </w:tc>
        <w:tc>
          <w:tcPr>
            <w:tcW w:w="1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(1,655)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2560" w:type="dxa"/>
            <w:vAlign w:val="bottom"/>
            <w:tcBorders>
              <w:bottom w:val="single" w:sz="8" w:color="CCEEFF"/>
            </w:tcBorders>
          </w:tcPr>
          <w:p>
            <w:pPr>
              <w:spacing w:after="0"/>
              <w:rPr>
                <w:sz w:val="18"/>
                <w:szCs w:val="18"/>
                <w:color w:val="auto"/>
              </w:rPr>
            </w:pPr>
          </w:p>
        </w:tc>
        <w:tc>
          <w:tcPr>
            <w:tcW w:w="30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(433)</w:t>
            </w: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433</w:t>
            </w: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(187,923)</w:t>
            </w: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85,870</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556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Change in fair value included in earnings (1)</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(85,797)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560" w:type="dxa"/>
            <w:vAlign w:val="bottom"/>
            <w:gridSpan w:val="2"/>
          </w:tcPr>
          <w:p>
            <w:pPr>
              <w:spacing w:after="0"/>
              <w:rPr>
                <w:sz w:val="20"/>
                <w:szCs w:val="20"/>
                <w:color w:val="auto"/>
              </w:rPr>
            </w:pPr>
            <w:r>
              <w:rPr>
                <w:rFonts w:ascii="Arial" w:cs="Arial" w:eastAsia="Arial" w:hAnsi="Arial"/>
                <w:sz w:val="17"/>
                <w:szCs w:val="17"/>
                <w:b w:val="1"/>
                <w:bCs w:val="1"/>
                <w:color w:val="auto"/>
              </w:rPr>
              <w:t>Ending balance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7,289</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(7,289)</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41,363</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7"/>
                <w:szCs w:val="17"/>
                <w:color w:val="auto"/>
                <w:w w:val="84"/>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5,746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7"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gridSpan w:val="2"/>
          </w:tcPr>
          <w:p>
            <w:pPr>
              <w:jc w:val="center"/>
              <w:ind w:right="140"/>
              <w:spacing w:after="0"/>
              <w:rPr>
                <w:sz w:val="20"/>
                <w:szCs w:val="20"/>
                <w:color w:val="auto"/>
              </w:rPr>
            </w:pPr>
            <w:r>
              <w:rPr>
                <w:rFonts w:ascii="Arial" w:cs="Arial" w:eastAsia="Arial" w:hAnsi="Arial"/>
                <w:sz w:val="17"/>
                <w:szCs w:val="17"/>
                <w:b w:val="1"/>
                <w:bCs w:val="1"/>
                <w:color w:val="auto"/>
                <w:w w:val="94"/>
              </w:rPr>
              <w:t>Loans Held for</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vMerge w:val="restart"/>
          </w:tcPr>
          <w:p>
            <w:pPr>
              <w:jc w:val="center"/>
              <w:ind w:left="14"/>
              <w:spacing w:after="0"/>
              <w:rPr>
                <w:sz w:val="20"/>
                <w:szCs w:val="20"/>
                <w:color w:val="auto"/>
              </w:rPr>
            </w:pPr>
            <w:r>
              <w:rPr>
                <w:rFonts w:ascii="Arial" w:cs="Arial" w:eastAsia="Arial" w:hAnsi="Arial"/>
                <w:sz w:val="17"/>
                <w:szCs w:val="17"/>
                <w:b w:val="1"/>
                <w:bCs w:val="1"/>
                <w:color w:val="auto"/>
                <w:w w:val="92"/>
              </w:rPr>
              <w:t>Financing</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jc w:val="center"/>
              <w:ind w:right="140"/>
              <w:spacing w:after="0" w:line="168" w:lineRule="exact"/>
              <w:rPr>
                <w:sz w:val="20"/>
                <w:szCs w:val="20"/>
                <w:color w:val="auto"/>
              </w:rPr>
            </w:pPr>
            <w:r>
              <w:rPr>
                <w:rFonts w:ascii="Arial" w:cs="Arial" w:eastAsia="Arial" w:hAnsi="Arial"/>
                <w:sz w:val="17"/>
                <w:szCs w:val="17"/>
                <w:b w:val="1"/>
                <w:bCs w:val="1"/>
                <w:color w:val="auto"/>
                <w:w w:val="91"/>
              </w:rPr>
              <w:t>Investment -</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4"/>
            <w:vMerge w:val="restart"/>
          </w:tcPr>
          <w:p>
            <w:pPr>
              <w:jc w:val="center"/>
              <w:ind w:right="80"/>
              <w:spacing w:after="0"/>
              <w:rPr>
                <w:sz w:val="20"/>
                <w:szCs w:val="20"/>
                <w:color w:val="auto"/>
              </w:rPr>
            </w:pPr>
            <w:r>
              <w:rPr>
                <w:rFonts w:ascii="Arial" w:cs="Arial" w:eastAsia="Arial" w:hAnsi="Arial"/>
                <w:sz w:val="17"/>
                <w:szCs w:val="17"/>
                <w:b w:val="1"/>
                <w:bCs w:val="1"/>
                <w:color w:val="auto"/>
                <w:w w:val="92"/>
              </w:rPr>
              <w:t>Loans Held for</w:t>
            </w:r>
          </w:p>
        </w:tc>
        <w:tc>
          <w:tcPr>
            <w:tcW w:w="160" w:type="dxa"/>
            <w:vAlign w:val="bottom"/>
          </w:tcPr>
          <w:p>
            <w:pPr>
              <w:spacing w:after="0"/>
              <w:rPr>
                <w:sz w:val="14"/>
                <w:szCs w:val="14"/>
                <w:color w:val="auto"/>
              </w:rPr>
            </w:pPr>
          </w:p>
        </w:tc>
        <w:tc>
          <w:tcPr>
            <w:tcW w:w="1140" w:type="dxa"/>
            <w:vAlign w:val="bottom"/>
            <w:gridSpan w:val="2"/>
            <w:vMerge w:val="restart"/>
          </w:tcPr>
          <w:p>
            <w:pPr>
              <w:jc w:val="center"/>
              <w:ind w:right="260"/>
              <w:spacing w:after="0"/>
              <w:rPr>
                <w:sz w:val="20"/>
                <w:szCs w:val="20"/>
                <w:color w:val="auto"/>
              </w:rPr>
            </w:pPr>
            <w:r>
              <w:rPr>
                <w:rFonts w:ascii="Arial" w:cs="Arial" w:eastAsia="Arial" w:hAnsi="Arial"/>
                <w:sz w:val="17"/>
                <w:szCs w:val="17"/>
                <w:b w:val="1"/>
                <w:bCs w:val="1"/>
                <w:color w:val="auto"/>
                <w:w w:val="92"/>
              </w:rPr>
              <w:t>Mortgage-</w:t>
            </w: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jc w:val="center"/>
              <w:ind w:right="120"/>
              <w:spacing w:after="0" w:line="168" w:lineRule="exact"/>
              <w:rPr>
                <w:sz w:val="20"/>
                <w:szCs w:val="20"/>
                <w:color w:val="auto"/>
              </w:rPr>
            </w:pPr>
            <w:r>
              <w:rPr>
                <w:rFonts w:ascii="Arial" w:cs="Arial" w:eastAsia="Arial" w:hAnsi="Arial"/>
                <w:sz w:val="17"/>
                <w:szCs w:val="17"/>
                <w:b w:val="1"/>
                <w:bCs w:val="1"/>
                <w:color w:val="auto"/>
                <w:w w:val="92"/>
              </w:rPr>
              <w:t>Restricted for</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4"/>
          </w:tcPr>
          <w:p>
            <w:pPr>
              <w:jc w:val="center"/>
              <w:spacing w:after="0" w:line="168" w:lineRule="exact"/>
              <w:rPr>
                <w:sz w:val="20"/>
                <w:szCs w:val="20"/>
                <w:color w:val="auto"/>
              </w:rPr>
            </w:pPr>
            <w:r>
              <w:rPr>
                <w:rFonts w:ascii="Arial" w:cs="Arial" w:eastAsia="Arial" w:hAnsi="Arial"/>
                <w:sz w:val="17"/>
                <w:szCs w:val="17"/>
                <w:b w:val="1"/>
                <w:bCs w:val="1"/>
                <w:color w:val="auto"/>
                <w:w w:val="95"/>
              </w:rPr>
              <w:t>Liability - Owed to</w:t>
            </w:r>
          </w:p>
        </w:tc>
        <w:tc>
          <w:tcPr>
            <w:tcW w:w="100" w:type="dxa"/>
            <w:vAlign w:val="bottom"/>
          </w:tcPr>
          <w:p>
            <w:pPr>
              <w:spacing w:after="0"/>
              <w:rPr>
                <w:sz w:val="14"/>
                <w:szCs w:val="14"/>
                <w:color w:val="auto"/>
              </w:rPr>
            </w:pPr>
          </w:p>
        </w:tc>
        <w:tc>
          <w:tcPr>
            <w:tcW w:w="1300" w:type="dxa"/>
            <w:vAlign w:val="bottom"/>
            <w:gridSpan w:val="4"/>
            <w:vMerge w:val="continue"/>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jc w:val="center"/>
              <w:ind w:right="120"/>
              <w:spacing w:after="0" w:line="168" w:lineRule="exact"/>
              <w:rPr>
                <w:sz w:val="20"/>
                <w:szCs w:val="20"/>
                <w:color w:val="auto"/>
              </w:rPr>
            </w:pPr>
            <w:r>
              <w:rPr>
                <w:rFonts w:ascii="Arial" w:cs="Arial" w:eastAsia="Arial" w:hAnsi="Arial"/>
                <w:sz w:val="17"/>
                <w:szCs w:val="17"/>
                <w:b w:val="1"/>
                <w:bCs w:val="1"/>
                <w:color w:val="auto"/>
                <w:w w:val="91"/>
              </w:rPr>
              <w:t>Securitization</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3"/>
          </w:tcPr>
          <w:p>
            <w:pPr>
              <w:jc w:val="center"/>
              <w:ind w:right="54"/>
              <w:spacing w:after="0" w:line="168" w:lineRule="exact"/>
              <w:rPr>
                <w:sz w:val="20"/>
                <w:szCs w:val="20"/>
                <w:color w:val="auto"/>
              </w:rPr>
            </w:pPr>
            <w:r>
              <w:rPr>
                <w:rFonts w:ascii="Arial" w:cs="Arial" w:eastAsia="Arial" w:hAnsi="Arial"/>
                <w:sz w:val="17"/>
                <w:szCs w:val="17"/>
                <w:b w:val="1"/>
                <w:bCs w:val="1"/>
                <w:color w:val="auto"/>
                <w:w w:val="91"/>
              </w:rPr>
              <w:t>Securitization</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3"/>
          </w:tcPr>
          <w:p>
            <w:pPr>
              <w:jc w:val="center"/>
              <w:ind w:right="200"/>
              <w:spacing w:after="0" w:line="168" w:lineRule="exact"/>
              <w:rPr>
                <w:sz w:val="20"/>
                <w:szCs w:val="20"/>
                <w:color w:val="auto"/>
              </w:rPr>
            </w:pPr>
            <w:r>
              <w:rPr>
                <w:rFonts w:ascii="Arial" w:cs="Arial" w:eastAsia="Arial" w:hAnsi="Arial"/>
                <w:sz w:val="17"/>
                <w:szCs w:val="17"/>
                <w:b w:val="1"/>
                <w:bCs w:val="1"/>
                <w:color w:val="auto"/>
                <w:w w:val="93"/>
              </w:rPr>
              <w:t>Sale - Fair</w:t>
            </w:r>
          </w:p>
        </w:tc>
        <w:tc>
          <w:tcPr>
            <w:tcW w:w="160" w:type="dxa"/>
            <w:vAlign w:val="bottom"/>
          </w:tcPr>
          <w:p>
            <w:pPr>
              <w:spacing w:after="0"/>
              <w:rPr>
                <w:sz w:val="14"/>
                <w:szCs w:val="14"/>
                <w:color w:val="auto"/>
              </w:rPr>
            </w:pPr>
          </w:p>
        </w:tc>
        <w:tc>
          <w:tcPr>
            <w:tcW w:w="1140" w:type="dxa"/>
            <w:vAlign w:val="bottom"/>
            <w:gridSpan w:val="2"/>
          </w:tcPr>
          <w:p>
            <w:pPr>
              <w:jc w:val="center"/>
              <w:ind w:right="260"/>
              <w:spacing w:after="0" w:line="168" w:lineRule="exact"/>
              <w:rPr>
                <w:sz w:val="20"/>
                <w:szCs w:val="20"/>
                <w:color w:val="auto"/>
              </w:rPr>
            </w:pPr>
            <w:r>
              <w:rPr>
                <w:rFonts w:ascii="Arial" w:cs="Arial" w:eastAsia="Arial" w:hAnsi="Arial"/>
                <w:sz w:val="17"/>
                <w:szCs w:val="17"/>
                <w:b w:val="1"/>
                <w:bCs w:val="1"/>
                <w:color w:val="auto"/>
                <w:w w:val="92"/>
              </w:rPr>
              <w:t>Backed</w:t>
            </w:r>
          </w:p>
        </w:tc>
        <w:tc>
          <w:tcPr>
            <w:tcW w:w="240" w:type="dxa"/>
            <w:vAlign w:val="bottom"/>
          </w:tcPr>
          <w:p>
            <w:pPr>
              <w:spacing w:after="0"/>
              <w:rPr>
                <w:sz w:val="14"/>
                <w:szCs w:val="14"/>
                <w:color w:val="auto"/>
              </w:rPr>
            </w:pPr>
          </w:p>
        </w:tc>
        <w:tc>
          <w:tcPr>
            <w:tcW w:w="960" w:type="dxa"/>
            <w:vAlign w:val="bottom"/>
            <w:vMerge w:val="restart"/>
          </w:tcPr>
          <w:p>
            <w:pPr>
              <w:jc w:val="right"/>
              <w:ind w:right="254"/>
              <w:spacing w:after="0"/>
              <w:rPr>
                <w:sz w:val="20"/>
                <w:szCs w:val="20"/>
                <w:color w:val="auto"/>
              </w:rPr>
            </w:pPr>
            <w:r>
              <w:rPr>
                <w:rFonts w:ascii="Arial" w:cs="Arial" w:eastAsia="Arial" w:hAnsi="Arial"/>
                <w:sz w:val="17"/>
                <w:szCs w:val="17"/>
                <w:b w:val="1"/>
                <w:bCs w:val="1"/>
                <w:color w:val="auto"/>
              </w:rPr>
              <w:t>IRLCs</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560" w:type="dxa"/>
            <w:vAlign w:val="bottom"/>
            <w:gridSpan w:val="2"/>
            <w:vMerge w:val="restart"/>
          </w:tcPr>
          <w:p>
            <w:pPr>
              <w:spacing w:after="0"/>
              <w:rPr>
                <w:sz w:val="20"/>
                <w:szCs w:val="20"/>
                <w:color w:val="auto"/>
              </w:rPr>
            </w:pPr>
            <w:r>
              <w:rPr>
                <w:rFonts w:ascii="Arial" w:cs="Arial" w:eastAsia="Arial" w:hAnsi="Arial"/>
                <w:sz w:val="17"/>
                <w:szCs w:val="17"/>
                <w:b w:val="1"/>
                <w:bCs w:val="1"/>
                <w:color w:val="auto"/>
                <w:w w:val="89"/>
              </w:rPr>
              <w:t>Three months ended June 30, 2021</w:t>
            </w:r>
          </w:p>
        </w:tc>
        <w:tc>
          <w:tcPr>
            <w:tcW w:w="1700" w:type="dxa"/>
            <w:vAlign w:val="bottom"/>
            <w:vMerge w:val="restart"/>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center"/>
              <w:ind w:right="140"/>
              <w:spacing w:after="0"/>
              <w:rPr>
                <w:sz w:val="20"/>
                <w:szCs w:val="20"/>
                <w:color w:val="auto"/>
              </w:rPr>
            </w:pPr>
            <w:r>
              <w:rPr>
                <w:rFonts w:ascii="Arial" w:cs="Arial" w:eastAsia="Arial" w:hAnsi="Arial"/>
                <w:sz w:val="17"/>
                <w:szCs w:val="17"/>
                <w:b w:val="1"/>
                <w:bCs w:val="1"/>
                <w:color w:val="auto"/>
                <w:w w:val="89"/>
              </w:rPr>
              <w:t>Investors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Arial" w:cs="Arial" w:eastAsia="Arial" w:hAnsi="Arial"/>
                <w:sz w:val="17"/>
                <w:szCs w:val="17"/>
                <w:b w:val="1"/>
                <w:bCs w:val="1"/>
                <w:color w:val="auto"/>
                <w:w w:val="89"/>
              </w:rPr>
              <w:t>Investors</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3"/>
          </w:tcPr>
          <w:p>
            <w:pPr>
              <w:jc w:val="center"/>
              <w:ind w:right="180"/>
              <w:spacing w:after="0"/>
              <w:rPr>
                <w:sz w:val="20"/>
                <w:szCs w:val="20"/>
                <w:color w:val="auto"/>
              </w:rPr>
            </w:pPr>
            <w:r>
              <w:rPr>
                <w:rFonts w:ascii="Arial" w:cs="Arial" w:eastAsia="Arial" w:hAnsi="Arial"/>
                <w:sz w:val="17"/>
                <w:szCs w:val="17"/>
                <w:b w:val="1"/>
                <w:bCs w:val="1"/>
                <w:color w:val="auto"/>
                <w:w w:val="92"/>
              </w:rPr>
              <w:t>Value</w:t>
            </w:r>
          </w:p>
        </w:tc>
        <w:tc>
          <w:tcPr>
            <w:tcW w:w="160" w:type="dxa"/>
            <w:vAlign w:val="bottom"/>
          </w:tcPr>
          <w:p>
            <w:pPr>
              <w:spacing w:after="0"/>
              <w:rPr>
                <w:sz w:val="19"/>
                <w:szCs w:val="19"/>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88"/>
              </w:rPr>
              <w:t>Securities</w:t>
            </w:r>
          </w:p>
        </w:tc>
        <w:tc>
          <w:tcPr>
            <w:tcW w:w="24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4"/>
                <w:szCs w:val="14"/>
                <w:color w:val="auto"/>
              </w:rPr>
            </w:pPr>
          </w:p>
        </w:tc>
        <w:tc>
          <w:tcPr>
            <w:tcW w:w="2560" w:type="dxa"/>
            <w:vAlign w:val="bottom"/>
            <w:tcBorders>
              <w:bottom w:val="single" w:sz="8" w:color="auto"/>
            </w:tcBorders>
            <w:gridSpan w:val="2"/>
            <w:vMerge w:val="continue"/>
          </w:tcPr>
          <w:p>
            <w:pPr>
              <w:spacing w:after="0"/>
              <w:rPr>
                <w:sz w:val="14"/>
                <w:szCs w:val="14"/>
                <w:color w:val="auto"/>
              </w:rPr>
            </w:pPr>
          </w:p>
        </w:tc>
        <w:tc>
          <w:tcPr>
            <w:tcW w:w="1700" w:type="dxa"/>
            <w:vAlign w:val="bottom"/>
            <w:vMerge w:val="continue"/>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260" w:type="dxa"/>
            <w:vAlign w:val="bottom"/>
            <w:gridSpan w:val="3"/>
            <w:shd w:val="clear" w:color="auto" w:fill="CCEEFF"/>
          </w:tcPr>
          <w:p>
            <w:pPr>
              <w:spacing w:after="0"/>
              <w:rPr>
                <w:sz w:val="20"/>
                <w:szCs w:val="20"/>
                <w:color w:val="auto"/>
              </w:rPr>
            </w:pPr>
            <w:r>
              <w:rPr>
                <w:rFonts w:ascii="Arial" w:cs="Arial" w:eastAsia="Arial" w:hAnsi="Arial"/>
                <w:sz w:val="17"/>
                <w:szCs w:val="17"/>
                <w:b w:val="1"/>
                <w:bCs w:val="1"/>
                <w:color w:val="auto"/>
              </w:rPr>
              <w:t>Beginning balance</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8,820</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(8,820)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71,367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1,613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14,589</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260" w:type="dxa"/>
            <w:vAlign w:val="bottom"/>
            <w:gridSpan w:val="3"/>
          </w:tcPr>
          <w:p>
            <w:pPr>
              <w:ind w:left="100"/>
              <w:spacing w:after="0"/>
              <w:rPr>
                <w:sz w:val="20"/>
                <w:szCs w:val="20"/>
                <w:color w:val="auto"/>
              </w:rPr>
            </w:pPr>
            <w:r>
              <w:rPr>
                <w:rFonts w:ascii="Arial" w:cs="Arial" w:eastAsia="Arial" w:hAnsi="Arial"/>
                <w:sz w:val="17"/>
                <w:szCs w:val="17"/>
                <w:color w:val="auto"/>
              </w:rPr>
              <w:t>Purchases, issuances, sales and settlements</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4260" w:type="dxa"/>
            <w:vAlign w:val="bottom"/>
            <w:gridSpan w:val="3"/>
            <w:shd w:val="clear" w:color="auto" w:fill="CCEEFF"/>
          </w:tcPr>
          <w:p>
            <w:pPr>
              <w:ind w:left="220"/>
              <w:spacing w:after="0"/>
              <w:rPr>
                <w:sz w:val="20"/>
                <w:szCs w:val="20"/>
                <w:color w:val="auto"/>
              </w:rPr>
            </w:pPr>
            <w:r>
              <w:rPr>
                <w:rFonts w:ascii="Arial" w:cs="Arial" w:eastAsia="Arial" w:hAnsi="Arial"/>
                <w:sz w:val="17"/>
                <w:szCs w:val="17"/>
                <w:color w:val="auto"/>
              </w:rPr>
              <w:t>Purchases</w:t>
            </w: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3"/>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107,206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260" w:type="dxa"/>
            <w:vAlign w:val="bottom"/>
            <w:gridSpan w:val="3"/>
          </w:tcPr>
          <w:p>
            <w:pPr>
              <w:ind w:left="220"/>
              <w:spacing w:after="0"/>
              <w:rPr>
                <w:sz w:val="20"/>
                <w:szCs w:val="20"/>
                <w:color w:val="auto"/>
              </w:rPr>
            </w:pPr>
            <w:r>
              <w:rPr>
                <w:rFonts w:ascii="Arial" w:cs="Arial" w:eastAsia="Arial" w:hAnsi="Arial"/>
                <w:sz w:val="17"/>
                <w:szCs w:val="17"/>
                <w:color w:val="auto"/>
              </w:rPr>
              <w:t>Issuances (1)</w:t>
            </w:r>
          </w:p>
        </w:tc>
        <w:tc>
          <w:tcPr>
            <w:tcW w:w="16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7"/>
                <w:szCs w:val="17"/>
                <w:color w:val="auto"/>
                <w:w w:val="93"/>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3"/>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127,386</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4260" w:type="dxa"/>
            <w:vAlign w:val="bottom"/>
            <w:gridSpan w:val="3"/>
            <w:shd w:val="clear" w:color="auto" w:fill="CCEEFF"/>
          </w:tcPr>
          <w:p>
            <w:pPr>
              <w:ind w:left="220"/>
              <w:spacing w:after="0"/>
              <w:rPr>
                <w:sz w:val="20"/>
                <w:szCs w:val="20"/>
                <w:color w:val="auto"/>
              </w:rPr>
            </w:pPr>
            <w:r>
              <w:rPr>
                <w:rFonts w:ascii="Arial" w:cs="Arial" w:eastAsia="Arial" w:hAnsi="Arial"/>
                <w:sz w:val="17"/>
                <w:szCs w:val="17"/>
                <w:color w:val="auto"/>
              </w:rPr>
              <w:t>Sales</w:t>
            </w: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3"/>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(38,167)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260" w:type="dxa"/>
            <w:vAlign w:val="bottom"/>
            <w:gridSpan w:val="3"/>
          </w:tcPr>
          <w:p>
            <w:pPr>
              <w:ind w:left="200"/>
              <w:spacing w:after="0"/>
              <w:rPr>
                <w:sz w:val="20"/>
                <w:szCs w:val="20"/>
                <w:color w:val="auto"/>
              </w:rPr>
            </w:pPr>
            <w:r>
              <w:rPr>
                <w:rFonts w:ascii="Arial" w:cs="Arial" w:eastAsia="Arial" w:hAnsi="Arial"/>
                <w:sz w:val="17"/>
                <w:szCs w:val="17"/>
                <w:color w:val="auto"/>
              </w:rPr>
              <w:t>Settlements</w:t>
            </w:r>
          </w:p>
        </w:tc>
        <w:tc>
          <w:tcPr>
            <w:tcW w:w="16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Arial" w:cs="Arial" w:eastAsia="Arial" w:hAnsi="Arial"/>
                <w:sz w:val="17"/>
                <w:szCs w:val="17"/>
                <w:color w:val="auto"/>
              </w:rPr>
              <w:t>(140)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3"/>
          </w:tcPr>
          <w:p>
            <w:pPr>
              <w:jc w:val="right"/>
              <w:spacing w:after="0"/>
              <w:rPr>
                <w:sz w:val="20"/>
                <w:szCs w:val="20"/>
                <w:color w:val="auto"/>
              </w:rPr>
            </w:pPr>
            <w:r>
              <w:rPr>
                <w:rFonts w:ascii="Arial" w:cs="Arial" w:eastAsia="Arial" w:hAnsi="Arial"/>
                <w:sz w:val="17"/>
                <w:szCs w:val="17"/>
                <w:color w:val="auto"/>
              </w:rPr>
              <w:t>140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3"/>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4260" w:type="dxa"/>
            <w:vAlign w:val="bottom"/>
            <w:gridSpan w:val="3"/>
            <w:shd w:val="clear" w:color="auto" w:fill="CCEEFF"/>
          </w:tcPr>
          <w:p>
            <w:pPr>
              <w:ind w:left="100"/>
              <w:spacing w:after="0"/>
              <w:rPr>
                <w:sz w:val="20"/>
                <w:szCs w:val="20"/>
                <w:color w:val="auto"/>
              </w:rPr>
            </w:pPr>
            <w:r>
              <w:rPr>
                <w:rFonts w:ascii="Arial" w:cs="Arial" w:eastAsia="Arial" w:hAnsi="Arial"/>
                <w:sz w:val="17"/>
                <w:szCs w:val="17"/>
                <w:color w:val="auto"/>
              </w:rPr>
              <w:t>Transfers (to) from:</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260" w:type="dxa"/>
            <w:vAlign w:val="bottom"/>
            <w:gridSpan w:val="3"/>
          </w:tcPr>
          <w:p>
            <w:pPr>
              <w:ind w:left="200"/>
              <w:spacing w:after="0"/>
              <w:rPr>
                <w:sz w:val="20"/>
                <w:szCs w:val="20"/>
                <w:color w:val="auto"/>
              </w:rPr>
            </w:pPr>
            <w:r>
              <w:rPr>
                <w:rFonts w:ascii="Arial" w:cs="Arial" w:eastAsia="Arial" w:hAnsi="Arial"/>
                <w:sz w:val="17"/>
                <w:szCs w:val="17"/>
                <w:color w:val="auto"/>
              </w:rPr>
              <w:t>Loans held for sale, at fair value (1)</w:t>
            </w:r>
          </w:p>
        </w:tc>
        <w:tc>
          <w:tcPr>
            <w:tcW w:w="16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7"/>
                <w:szCs w:val="17"/>
                <w:color w:val="auto"/>
                <w:w w:val="93"/>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3"/>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(113,822)</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4260" w:type="dxa"/>
            <w:vAlign w:val="bottom"/>
            <w:gridSpan w:val="3"/>
            <w:shd w:val="clear" w:color="auto" w:fill="CCEEFF"/>
          </w:tcPr>
          <w:p>
            <w:pPr>
              <w:ind w:left="220"/>
              <w:spacing w:after="0"/>
              <w:rPr>
                <w:sz w:val="20"/>
                <w:szCs w:val="20"/>
                <w:color w:val="auto"/>
              </w:rPr>
            </w:pPr>
            <w:r>
              <w:rPr>
                <w:rFonts w:ascii="Arial" w:cs="Arial" w:eastAsia="Arial" w:hAnsi="Arial"/>
                <w:sz w:val="17"/>
                <w:szCs w:val="17"/>
                <w:color w:val="auto"/>
              </w:rPr>
              <w:t>Other assets</w:t>
            </w: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3"/>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20" w:type="dxa"/>
            <w:vAlign w:val="bottom"/>
            <w:tcBorders>
              <w:bottom w:val="single" w:sz="8" w:color="CCEEFF"/>
            </w:tcBorders>
          </w:tcPr>
          <w:p>
            <w:pPr>
              <w:spacing w:after="0"/>
              <w:rPr>
                <w:sz w:val="19"/>
                <w:szCs w:val="19"/>
                <w:color w:val="auto"/>
              </w:rPr>
            </w:pPr>
          </w:p>
        </w:tc>
        <w:tc>
          <w:tcPr>
            <w:tcW w:w="4260" w:type="dxa"/>
            <w:vAlign w:val="bottom"/>
            <w:tcBorders>
              <w:bottom w:val="single" w:sz="8" w:color="CCEEFF"/>
            </w:tcBorders>
            <w:gridSpan w:val="3"/>
          </w:tcPr>
          <w:p>
            <w:pPr>
              <w:ind w:left="220"/>
              <w:spacing w:after="0"/>
              <w:rPr>
                <w:sz w:val="20"/>
                <w:szCs w:val="20"/>
                <w:color w:val="auto"/>
              </w:rPr>
            </w:pPr>
            <w:r>
              <w:rPr>
                <w:rFonts w:ascii="Arial" w:cs="Arial" w:eastAsia="Arial" w:hAnsi="Arial"/>
                <w:sz w:val="17"/>
                <w:szCs w:val="17"/>
                <w:color w:val="auto"/>
              </w:rPr>
              <w:t>Receivables, net</w:t>
            </w: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7"/>
                <w:szCs w:val="17"/>
                <w:color w:val="auto"/>
              </w:rPr>
              <w:t>—</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w w:val="93"/>
              </w:rPr>
              <w:t>—</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(555)</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(140)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140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68,203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13,564</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4260" w:type="dxa"/>
            <w:vAlign w:val="bottom"/>
            <w:tcBorders>
              <w:bottom w:val="single" w:sz="8" w:color="CCEEFF"/>
            </w:tcBorders>
            <w:gridSpan w:val="3"/>
          </w:tcPr>
          <w:p>
            <w:pPr>
              <w:ind w:left="100"/>
              <w:spacing w:after="0"/>
              <w:rPr>
                <w:sz w:val="20"/>
                <w:szCs w:val="20"/>
                <w:color w:val="auto"/>
              </w:rPr>
            </w:pPr>
            <w:r>
              <w:rPr>
                <w:rFonts w:ascii="Arial" w:cs="Arial" w:eastAsia="Arial" w:hAnsi="Arial"/>
                <w:sz w:val="17"/>
                <w:szCs w:val="17"/>
                <w:color w:val="auto"/>
              </w:rPr>
              <w:t>Change in fair value included in earnings (1)</w:t>
            </w:r>
          </w:p>
        </w:tc>
        <w:tc>
          <w:tcPr>
            <w:tcW w:w="16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7"/>
                <w:szCs w:val="17"/>
                <w:color w:val="auto"/>
              </w:rPr>
              <w:t>—</w:t>
            </w:r>
          </w:p>
        </w:tc>
        <w:tc>
          <w:tcPr>
            <w:tcW w:w="2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7"/>
                <w:szCs w:val="17"/>
                <w:color w:val="auto"/>
                <w:w w:val="93"/>
              </w:rPr>
              <w:t>—</w:t>
            </w:r>
          </w:p>
        </w:tc>
        <w:tc>
          <w:tcPr>
            <w:tcW w:w="1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(728)</w:t>
            </w:r>
          </w:p>
        </w:tc>
        <w:tc>
          <w:tcPr>
            <w:tcW w:w="20" w:type="dxa"/>
            <w:vAlign w:val="bottom"/>
            <w:tcBorders>
              <w:top w:val="single" w:sz="8" w:color="auto"/>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w:t>
            </w: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(10,716)</w:t>
            </w:r>
          </w:p>
        </w:tc>
        <w:tc>
          <w:tcPr>
            <w:tcW w:w="0" w:type="dxa"/>
            <w:vAlign w:val="bottom"/>
          </w:tcPr>
          <w:p>
            <w:pPr>
              <w:spacing w:after="0"/>
              <w:rPr>
                <w:sz w:val="1"/>
                <w:szCs w:val="1"/>
                <w:color w:val="auto"/>
              </w:rPr>
            </w:pPr>
          </w:p>
        </w:tc>
      </w:tr>
      <w:tr>
        <w:trPr>
          <w:trHeight w:val="233"/>
        </w:trPr>
        <w:tc>
          <w:tcPr>
            <w:tcW w:w="20" w:type="dxa"/>
            <w:vAlign w:val="bottom"/>
            <w:shd w:val="clear" w:color="auto" w:fill="CCEEFF"/>
          </w:tcPr>
          <w:p>
            <w:pPr>
              <w:spacing w:after="0"/>
              <w:rPr>
                <w:sz w:val="20"/>
                <w:szCs w:val="20"/>
                <w:color w:val="auto"/>
              </w:rPr>
            </w:pPr>
          </w:p>
        </w:tc>
        <w:tc>
          <w:tcPr>
            <w:tcW w:w="4260" w:type="dxa"/>
            <w:vAlign w:val="bottom"/>
            <w:gridSpan w:val="3"/>
            <w:shd w:val="clear" w:color="auto" w:fill="CCEEFF"/>
          </w:tcPr>
          <w:p>
            <w:pPr>
              <w:spacing w:after="0"/>
              <w:rPr>
                <w:sz w:val="20"/>
                <w:szCs w:val="20"/>
                <w:color w:val="auto"/>
              </w:rPr>
            </w:pPr>
            <w:r>
              <w:rPr>
                <w:rFonts w:ascii="Arial" w:cs="Arial" w:eastAsia="Arial" w:hAnsi="Arial"/>
                <w:sz w:val="17"/>
                <w:szCs w:val="17"/>
                <w:b w:val="1"/>
                <w:bCs w:val="1"/>
                <w:color w:val="auto"/>
              </w:rPr>
              <w:t>Ending balance</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8,680</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(8,680)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138,842</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1,607</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17,437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gridSpan w:val="4"/>
          </w:tcPr>
          <w:p>
            <w:pPr>
              <w:jc w:val="center"/>
              <w:ind w:right="134"/>
              <w:spacing w:after="0"/>
              <w:rPr>
                <w:sz w:val="20"/>
                <w:szCs w:val="20"/>
                <w:color w:val="auto"/>
              </w:rPr>
            </w:pPr>
            <w:r>
              <w:rPr>
                <w:rFonts w:ascii="Arial" w:cs="Arial" w:eastAsia="Arial" w:hAnsi="Arial"/>
                <w:sz w:val="17"/>
                <w:szCs w:val="17"/>
                <w:b w:val="1"/>
                <w:bCs w:val="1"/>
                <w:color w:val="auto"/>
                <w:w w:val="92"/>
              </w:rPr>
              <w:t>Loans Held for</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3"/>
            <w:vMerge w:val="restart"/>
          </w:tcPr>
          <w:p>
            <w:pPr>
              <w:jc w:val="center"/>
              <w:ind w:right="460"/>
              <w:spacing w:after="0"/>
              <w:rPr>
                <w:sz w:val="20"/>
                <w:szCs w:val="20"/>
                <w:color w:val="auto"/>
              </w:rPr>
            </w:pPr>
            <w:r>
              <w:rPr>
                <w:rFonts w:ascii="Arial" w:cs="Arial" w:eastAsia="Arial" w:hAnsi="Arial"/>
                <w:sz w:val="17"/>
                <w:szCs w:val="17"/>
                <w:b w:val="1"/>
                <w:bCs w:val="1"/>
                <w:color w:val="auto"/>
                <w:w w:val="92"/>
              </w:rPr>
              <w:t>Financing</w:t>
            </w: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00" w:type="dxa"/>
            <w:vAlign w:val="bottom"/>
            <w:gridSpan w:val="3"/>
          </w:tcPr>
          <w:p>
            <w:pPr>
              <w:jc w:val="center"/>
              <w:ind w:right="134"/>
              <w:spacing w:after="0" w:line="168" w:lineRule="exact"/>
              <w:rPr>
                <w:sz w:val="20"/>
                <w:szCs w:val="20"/>
                <w:color w:val="auto"/>
              </w:rPr>
            </w:pPr>
            <w:r>
              <w:rPr>
                <w:rFonts w:ascii="Arial" w:cs="Arial" w:eastAsia="Arial" w:hAnsi="Arial"/>
                <w:sz w:val="17"/>
                <w:szCs w:val="17"/>
                <w:b w:val="1"/>
                <w:bCs w:val="1"/>
                <w:color w:val="auto"/>
                <w:w w:val="91"/>
              </w:rPr>
              <w:t>Investment -</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3"/>
            <w:vMerge w:val="continue"/>
          </w:tcPr>
          <w:p>
            <w:pPr>
              <w:spacing w:after="0"/>
              <w:rPr>
                <w:sz w:val="14"/>
                <w:szCs w:val="14"/>
                <w:color w:val="auto"/>
              </w:rPr>
            </w:pPr>
          </w:p>
        </w:tc>
        <w:tc>
          <w:tcPr>
            <w:tcW w:w="1300" w:type="dxa"/>
            <w:vAlign w:val="bottom"/>
            <w:gridSpan w:val="3"/>
            <w:vMerge w:val="restart"/>
          </w:tcPr>
          <w:p>
            <w:pPr>
              <w:jc w:val="center"/>
              <w:ind w:right="100"/>
              <w:spacing w:after="0"/>
              <w:rPr>
                <w:sz w:val="20"/>
                <w:szCs w:val="20"/>
                <w:color w:val="auto"/>
              </w:rPr>
            </w:pPr>
            <w:r>
              <w:rPr>
                <w:rFonts w:ascii="Arial" w:cs="Arial" w:eastAsia="Arial" w:hAnsi="Arial"/>
                <w:sz w:val="17"/>
                <w:szCs w:val="17"/>
                <w:b w:val="1"/>
                <w:bCs w:val="1"/>
                <w:color w:val="auto"/>
                <w:w w:val="94"/>
              </w:rPr>
              <w:t>Loans Held for</w:t>
            </w: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00" w:type="dxa"/>
            <w:vAlign w:val="bottom"/>
            <w:gridSpan w:val="3"/>
          </w:tcPr>
          <w:p>
            <w:pPr>
              <w:jc w:val="center"/>
              <w:ind w:right="154"/>
              <w:spacing w:after="0" w:line="168" w:lineRule="exact"/>
              <w:rPr>
                <w:sz w:val="20"/>
                <w:szCs w:val="20"/>
                <w:color w:val="auto"/>
              </w:rPr>
            </w:pPr>
            <w:r>
              <w:rPr>
                <w:rFonts w:ascii="Arial" w:cs="Arial" w:eastAsia="Arial" w:hAnsi="Arial"/>
                <w:sz w:val="17"/>
                <w:szCs w:val="17"/>
                <w:b w:val="1"/>
                <w:bCs w:val="1"/>
                <w:color w:val="auto"/>
                <w:w w:val="92"/>
              </w:rPr>
              <w:t>Restricted for</w:t>
            </w:r>
          </w:p>
        </w:tc>
        <w:tc>
          <w:tcPr>
            <w:tcW w:w="100" w:type="dxa"/>
            <w:vAlign w:val="bottom"/>
          </w:tcPr>
          <w:p>
            <w:pPr>
              <w:spacing w:after="0"/>
              <w:rPr>
                <w:sz w:val="14"/>
                <w:szCs w:val="14"/>
                <w:color w:val="auto"/>
              </w:rPr>
            </w:pPr>
          </w:p>
        </w:tc>
        <w:tc>
          <w:tcPr>
            <w:tcW w:w="1540" w:type="dxa"/>
            <w:vAlign w:val="bottom"/>
            <w:gridSpan w:val="6"/>
          </w:tcPr>
          <w:p>
            <w:pPr>
              <w:jc w:val="center"/>
              <w:ind w:right="100"/>
              <w:spacing w:after="0" w:line="168" w:lineRule="exact"/>
              <w:rPr>
                <w:sz w:val="20"/>
                <w:szCs w:val="20"/>
                <w:color w:val="auto"/>
              </w:rPr>
            </w:pPr>
            <w:r>
              <w:rPr>
                <w:rFonts w:ascii="Arial" w:cs="Arial" w:eastAsia="Arial" w:hAnsi="Arial"/>
                <w:sz w:val="17"/>
                <w:szCs w:val="17"/>
                <w:b w:val="1"/>
                <w:bCs w:val="1"/>
                <w:color w:val="auto"/>
                <w:w w:val="95"/>
              </w:rPr>
              <w:t>Liability - Owed to</w:t>
            </w:r>
          </w:p>
        </w:tc>
        <w:tc>
          <w:tcPr>
            <w:tcW w:w="130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00" w:type="dxa"/>
            <w:vAlign w:val="bottom"/>
            <w:gridSpan w:val="3"/>
          </w:tcPr>
          <w:p>
            <w:pPr>
              <w:jc w:val="center"/>
              <w:ind w:right="154"/>
              <w:spacing w:after="0" w:line="168" w:lineRule="exact"/>
              <w:rPr>
                <w:sz w:val="20"/>
                <w:szCs w:val="20"/>
                <w:color w:val="auto"/>
              </w:rPr>
            </w:pPr>
            <w:r>
              <w:rPr>
                <w:rFonts w:ascii="Arial" w:cs="Arial" w:eastAsia="Arial" w:hAnsi="Arial"/>
                <w:sz w:val="17"/>
                <w:szCs w:val="17"/>
                <w:b w:val="1"/>
                <w:bCs w:val="1"/>
                <w:color w:val="auto"/>
                <w:w w:val="91"/>
              </w:rPr>
              <w:t>Securitization</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5"/>
          </w:tcPr>
          <w:p>
            <w:pPr>
              <w:jc w:val="center"/>
              <w:ind w:right="260"/>
              <w:spacing w:after="0" w:line="168" w:lineRule="exact"/>
              <w:rPr>
                <w:sz w:val="20"/>
                <w:szCs w:val="20"/>
                <w:color w:val="auto"/>
              </w:rPr>
            </w:pPr>
            <w:r>
              <w:rPr>
                <w:rFonts w:ascii="Arial" w:cs="Arial" w:eastAsia="Arial" w:hAnsi="Arial"/>
                <w:sz w:val="17"/>
                <w:szCs w:val="17"/>
                <w:b w:val="1"/>
                <w:bCs w:val="1"/>
                <w:color w:val="auto"/>
                <w:w w:val="91"/>
              </w:rPr>
              <w:t>Securitization</w:t>
            </w:r>
          </w:p>
        </w:tc>
        <w:tc>
          <w:tcPr>
            <w:tcW w:w="160" w:type="dxa"/>
            <w:vAlign w:val="bottom"/>
          </w:tcPr>
          <w:p>
            <w:pPr>
              <w:spacing w:after="0"/>
              <w:rPr>
                <w:sz w:val="14"/>
                <w:szCs w:val="14"/>
                <w:color w:val="auto"/>
              </w:rPr>
            </w:pPr>
          </w:p>
        </w:tc>
        <w:tc>
          <w:tcPr>
            <w:tcW w:w="1140" w:type="dxa"/>
            <w:vAlign w:val="bottom"/>
            <w:gridSpan w:val="2"/>
          </w:tcPr>
          <w:p>
            <w:pPr>
              <w:jc w:val="center"/>
              <w:ind w:right="260"/>
              <w:spacing w:after="0" w:line="168" w:lineRule="exact"/>
              <w:rPr>
                <w:sz w:val="20"/>
                <w:szCs w:val="20"/>
                <w:color w:val="auto"/>
              </w:rPr>
            </w:pPr>
            <w:r>
              <w:rPr>
                <w:rFonts w:ascii="Arial" w:cs="Arial" w:eastAsia="Arial" w:hAnsi="Arial"/>
                <w:sz w:val="17"/>
                <w:szCs w:val="17"/>
                <w:b w:val="1"/>
                <w:bCs w:val="1"/>
                <w:color w:val="auto"/>
                <w:w w:val="93"/>
              </w:rPr>
              <w:t>Sale - Fair</w:t>
            </w:r>
          </w:p>
        </w:tc>
        <w:tc>
          <w:tcPr>
            <w:tcW w:w="240" w:type="dxa"/>
            <w:vAlign w:val="bottom"/>
          </w:tcPr>
          <w:p>
            <w:pPr>
              <w:spacing w:after="0"/>
              <w:rPr>
                <w:sz w:val="14"/>
                <w:szCs w:val="14"/>
                <w:color w:val="auto"/>
              </w:rPr>
            </w:pPr>
          </w:p>
        </w:tc>
        <w:tc>
          <w:tcPr>
            <w:tcW w:w="960" w:type="dxa"/>
            <w:vAlign w:val="bottom"/>
            <w:vMerge w:val="restart"/>
          </w:tcPr>
          <w:p>
            <w:pPr>
              <w:jc w:val="right"/>
              <w:ind w:right="254"/>
              <w:spacing w:after="0"/>
              <w:rPr>
                <w:sz w:val="20"/>
                <w:szCs w:val="20"/>
                <w:color w:val="auto"/>
              </w:rPr>
            </w:pPr>
            <w:r>
              <w:rPr>
                <w:rFonts w:ascii="Arial" w:cs="Arial" w:eastAsia="Arial" w:hAnsi="Arial"/>
                <w:sz w:val="17"/>
                <w:szCs w:val="17"/>
                <w:b w:val="1"/>
                <w:bCs w:val="1"/>
                <w:color w:val="auto"/>
              </w:rPr>
              <w:t>IRLCs</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260" w:type="dxa"/>
            <w:vAlign w:val="bottom"/>
            <w:gridSpan w:val="3"/>
            <w:vMerge w:val="restart"/>
          </w:tcPr>
          <w:p>
            <w:pPr>
              <w:spacing w:after="0"/>
              <w:rPr>
                <w:sz w:val="20"/>
                <w:szCs w:val="20"/>
                <w:color w:val="auto"/>
              </w:rPr>
            </w:pPr>
            <w:r>
              <w:rPr>
                <w:rFonts w:ascii="Arial" w:cs="Arial" w:eastAsia="Arial" w:hAnsi="Arial"/>
                <w:sz w:val="17"/>
                <w:szCs w:val="17"/>
                <w:b w:val="1"/>
                <w:bCs w:val="1"/>
                <w:color w:val="auto"/>
              </w:rPr>
              <w:t>Six Months Ended June 30, 2022</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center"/>
              <w:ind w:right="234"/>
              <w:spacing w:after="0"/>
              <w:rPr>
                <w:sz w:val="20"/>
                <w:szCs w:val="20"/>
                <w:color w:val="auto"/>
              </w:rPr>
            </w:pPr>
            <w:r>
              <w:rPr>
                <w:rFonts w:ascii="Arial" w:cs="Arial" w:eastAsia="Arial" w:hAnsi="Arial"/>
                <w:sz w:val="17"/>
                <w:szCs w:val="17"/>
                <w:b w:val="1"/>
                <w:bCs w:val="1"/>
                <w:color w:val="auto"/>
                <w:w w:val="89"/>
              </w:rPr>
              <w:t>Investors</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3"/>
          </w:tcPr>
          <w:p>
            <w:pPr>
              <w:jc w:val="center"/>
              <w:ind w:right="440"/>
              <w:spacing w:after="0"/>
              <w:rPr>
                <w:sz w:val="20"/>
                <w:szCs w:val="20"/>
                <w:color w:val="auto"/>
              </w:rPr>
            </w:pPr>
            <w:r>
              <w:rPr>
                <w:rFonts w:ascii="Arial" w:cs="Arial" w:eastAsia="Arial" w:hAnsi="Arial"/>
                <w:sz w:val="17"/>
                <w:szCs w:val="17"/>
                <w:b w:val="1"/>
                <w:bCs w:val="1"/>
                <w:color w:val="auto"/>
                <w:w w:val="89"/>
              </w:rPr>
              <w:t>Investors</w:t>
            </w:r>
          </w:p>
        </w:tc>
        <w:tc>
          <w:tcPr>
            <w:tcW w:w="160" w:type="dxa"/>
            <w:vAlign w:val="bottom"/>
          </w:tcPr>
          <w:p>
            <w:pPr>
              <w:spacing w:after="0"/>
              <w:rPr>
                <w:sz w:val="19"/>
                <w:szCs w:val="19"/>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88"/>
              </w:rPr>
              <w:t>Value</w:t>
            </w:r>
          </w:p>
        </w:tc>
        <w:tc>
          <w:tcPr>
            <w:tcW w:w="24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26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2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b w:val="1"/>
                <w:bCs w:val="1"/>
                <w:color w:val="auto"/>
              </w:rPr>
              <w:t>Beginning balance</w:t>
            </w:r>
          </w:p>
        </w:tc>
        <w:tc>
          <w:tcPr>
            <w:tcW w:w="1860" w:type="dxa"/>
            <w:vAlign w:val="bottom"/>
            <w:gridSpan w:val="2"/>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7,879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(7,879)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220,940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18,085</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260" w:type="dxa"/>
            <w:vAlign w:val="bottom"/>
            <w:gridSpan w:val="3"/>
          </w:tcPr>
          <w:p>
            <w:pPr>
              <w:ind w:left="120"/>
              <w:spacing w:after="0"/>
              <w:rPr>
                <w:sz w:val="20"/>
                <w:szCs w:val="20"/>
                <w:color w:val="auto"/>
              </w:rPr>
            </w:pPr>
            <w:r>
              <w:rPr>
                <w:rFonts w:ascii="Arial" w:cs="Arial" w:eastAsia="Arial" w:hAnsi="Arial"/>
                <w:sz w:val="17"/>
                <w:szCs w:val="17"/>
                <w:color w:val="auto"/>
              </w:rPr>
              <w:t>Purchases, issuances, sales and settlements</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4260" w:type="dxa"/>
            <w:vAlign w:val="bottom"/>
            <w:gridSpan w:val="3"/>
            <w:shd w:val="clear" w:color="auto" w:fill="CCEEFF"/>
          </w:tcPr>
          <w:p>
            <w:pPr>
              <w:ind w:left="200"/>
              <w:spacing w:after="0"/>
              <w:rPr>
                <w:sz w:val="20"/>
                <w:szCs w:val="20"/>
                <w:color w:val="auto"/>
              </w:rPr>
            </w:pPr>
            <w:r>
              <w:rPr>
                <w:rFonts w:ascii="Arial" w:cs="Arial" w:eastAsia="Arial" w:hAnsi="Arial"/>
                <w:sz w:val="17"/>
                <w:szCs w:val="17"/>
                <w:color w:val="auto"/>
              </w:rPr>
              <w:t>Purchases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118,237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260" w:type="dxa"/>
            <w:vAlign w:val="bottom"/>
            <w:gridSpan w:val="3"/>
          </w:tcPr>
          <w:p>
            <w:pPr>
              <w:ind w:left="200"/>
              <w:spacing w:after="0"/>
              <w:rPr>
                <w:sz w:val="20"/>
                <w:szCs w:val="20"/>
                <w:color w:val="auto"/>
              </w:rPr>
            </w:pPr>
            <w:r>
              <w:rPr>
                <w:rFonts w:ascii="Arial" w:cs="Arial" w:eastAsia="Arial" w:hAnsi="Arial"/>
                <w:sz w:val="17"/>
                <w:szCs w:val="17"/>
                <w:color w:val="auto"/>
              </w:rPr>
              <w:t>Issuances (1)</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3"/>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161,852</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4260" w:type="dxa"/>
            <w:vAlign w:val="bottom"/>
            <w:gridSpan w:val="3"/>
            <w:shd w:val="clear" w:color="auto" w:fill="CCEEFF"/>
          </w:tcPr>
          <w:p>
            <w:pPr>
              <w:ind w:left="200"/>
              <w:spacing w:after="0"/>
              <w:rPr>
                <w:sz w:val="20"/>
                <w:szCs w:val="20"/>
                <w:color w:val="auto"/>
              </w:rPr>
            </w:pPr>
            <w:r>
              <w:rPr>
                <w:rFonts w:ascii="Arial" w:cs="Arial" w:eastAsia="Arial" w:hAnsi="Arial"/>
                <w:sz w:val="17"/>
                <w:szCs w:val="17"/>
                <w:color w:val="auto"/>
              </w:rPr>
              <w:t>Sales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(291,612)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260" w:type="dxa"/>
            <w:vAlign w:val="bottom"/>
            <w:gridSpan w:val="3"/>
          </w:tcPr>
          <w:p>
            <w:pPr>
              <w:ind w:left="200"/>
              <w:spacing w:after="0"/>
              <w:rPr>
                <w:sz w:val="20"/>
                <w:szCs w:val="20"/>
                <w:color w:val="auto"/>
              </w:rPr>
            </w:pPr>
            <w:r>
              <w:rPr>
                <w:rFonts w:ascii="Arial" w:cs="Arial" w:eastAsia="Arial" w:hAnsi="Arial"/>
                <w:sz w:val="17"/>
                <w:szCs w:val="17"/>
                <w:color w:val="auto"/>
              </w:rPr>
              <w:t>Settlements</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(590)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590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4260" w:type="dxa"/>
            <w:vAlign w:val="bottom"/>
            <w:gridSpan w:val="3"/>
            <w:shd w:val="clear" w:color="auto" w:fill="CCEEFF"/>
          </w:tcPr>
          <w:p>
            <w:pPr>
              <w:ind w:left="100"/>
              <w:spacing w:after="0"/>
              <w:rPr>
                <w:sz w:val="20"/>
                <w:szCs w:val="20"/>
                <w:color w:val="auto"/>
              </w:rPr>
            </w:pPr>
            <w:r>
              <w:rPr>
                <w:rFonts w:ascii="Arial" w:cs="Arial" w:eastAsia="Arial" w:hAnsi="Arial"/>
                <w:sz w:val="17"/>
                <w:szCs w:val="17"/>
                <w:color w:val="auto"/>
              </w:rPr>
              <w:t>Transfers (to) from:</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260" w:type="dxa"/>
            <w:vAlign w:val="bottom"/>
            <w:gridSpan w:val="3"/>
          </w:tcPr>
          <w:p>
            <w:pPr>
              <w:ind w:left="200"/>
              <w:spacing w:after="0"/>
              <w:rPr>
                <w:sz w:val="20"/>
                <w:szCs w:val="20"/>
                <w:color w:val="auto"/>
              </w:rPr>
            </w:pPr>
            <w:r>
              <w:rPr>
                <w:rFonts w:ascii="Arial" w:cs="Arial" w:eastAsia="Arial" w:hAnsi="Arial"/>
                <w:sz w:val="17"/>
                <w:szCs w:val="17"/>
                <w:color w:val="auto"/>
              </w:rPr>
              <w:t>Loans held for sale, at fair value (1)</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3"/>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(53,862)</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4260" w:type="dxa"/>
            <w:vAlign w:val="bottom"/>
            <w:gridSpan w:val="3"/>
            <w:shd w:val="clear" w:color="auto" w:fill="CCEEFF"/>
          </w:tcPr>
          <w:p>
            <w:pPr>
              <w:ind w:left="200"/>
              <w:spacing w:after="0"/>
              <w:rPr>
                <w:sz w:val="20"/>
                <w:szCs w:val="20"/>
                <w:color w:val="auto"/>
              </w:rPr>
            </w:pPr>
            <w:r>
              <w:rPr>
                <w:rFonts w:ascii="Arial" w:cs="Arial" w:eastAsia="Arial" w:hAnsi="Arial"/>
                <w:sz w:val="17"/>
                <w:szCs w:val="17"/>
                <w:color w:val="auto"/>
              </w:rPr>
              <w:t>Receivables, net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(1,770)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24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7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(590)</w:t>
            </w: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590</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(175,145)</w:t>
            </w: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107,990</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4260" w:type="dxa"/>
            <w:vAlign w:val="bottom"/>
            <w:gridSpan w:val="3"/>
            <w:shd w:val="clear" w:color="auto" w:fill="CCEEFF"/>
          </w:tcPr>
          <w:p>
            <w:pPr>
              <w:ind w:left="100"/>
              <w:spacing w:after="0"/>
              <w:rPr>
                <w:sz w:val="20"/>
                <w:szCs w:val="20"/>
                <w:color w:val="auto"/>
              </w:rPr>
            </w:pPr>
            <w:r>
              <w:rPr>
                <w:rFonts w:ascii="Arial" w:cs="Arial" w:eastAsia="Arial" w:hAnsi="Arial"/>
                <w:sz w:val="17"/>
                <w:szCs w:val="17"/>
                <w:color w:val="auto"/>
              </w:rPr>
              <w:t>Change in fair value included in earnings (1)</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gridSpan w:val="2"/>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(4,432)</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(120,329)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260" w:type="dxa"/>
            <w:vAlign w:val="bottom"/>
            <w:gridSpan w:val="3"/>
          </w:tcPr>
          <w:p>
            <w:pPr>
              <w:spacing w:after="0"/>
              <w:rPr>
                <w:sz w:val="20"/>
                <w:szCs w:val="20"/>
                <w:color w:val="auto"/>
              </w:rPr>
            </w:pPr>
            <w:r>
              <w:rPr>
                <w:rFonts w:ascii="Arial" w:cs="Arial" w:eastAsia="Arial" w:hAnsi="Arial"/>
                <w:sz w:val="17"/>
                <w:szCs w:val="17"/>
                <w:b w:val="1"/>
                <w:bCs w:val="1"/>
                <w:color w:val="auto"/>
              </w:rPr>
              <w:t>Ending balance</w:t>
            </w:r>
          </w:p>
        </w:tc>
        <w:tc>
          <w:tcPr>
            <w:tcW w:w="16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7,289</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(7,289)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41,363</w:t>
            </w:r>
          </w:p>
        </w:tc>
        <w:tc>
          <w:tcPr>
            <w:tcW w:w="100" w:type="dxa"/>
            <w:vAlign w:val="bottom"/>
          </w:tcPr>
          <w:p>
            <w:pPr>
              <w:spacing w:after="0"/>
              <w:rPr>
                <w:sz w:val="18"/>
                <w:szCs w:val="18"/>
                <w:color w:val="auto"/>
              </w:rPr>
            </w:pP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5,746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92"/>
              </w:rPr>
              <w:t>Loans Held for</w:t>
            </w:r>
          </w:p>
        </w:tc>
        <w:tc>
          <w:tcPr>
            <w:tcW w:w="200" w:type="dxa"/>
            <w:vAlign w:val="bottom"/>
          </w:tcPr>
          <w:p>
            <w:pPr>
              <w:spacing w:after="0"/>
              <w:rPr>
                <w:sz w:val="16"/>
                <w:szCs w:val="16"/>
                <w:color w:val="auto"/>
              </w:rPr>
            </w:pPr>
          </w:p>
        </w:tc>
        <w:tc>
          <w:tcPr>
            <w:tcW w:w="1300" w:type="dxa"/>
            <w:vAlign w:val="bottom"/>
            <w:gridSpan w:val="2"/>
            <w:vMerge w:val="restart"/>
          </w:tcPr>
          <w:p>
            <w:pPr>
              <w:jc w:val="center"/>
              <w:ind w:right="320"/>
              <w:spacing w:after="0"/>
              <w:rPr>
                <w:sz w:val="20"/>
                <w:szCs w:val="20"/>
                <w:color w:val="auto"/>
              </w:rPr>
            </w:pPr>
            <w:r>
              <w:rPr>
                <w:rFonts w:ascii="Arial" w:cs="Arial" w:eastAsia="Arial" w:hAnsi="Arial"/>
                <w:sz w:val="17"/>
                <w:szCs w:val="17"/>
                <w:b w:val="1"/>
                <w:bCs w:val="1"/>
                <w:color w:val="auto"/>
                <w:w w:val="92"/>
              </w:rPr>
              <w:t>Financing</w:t>
            </w: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240"/>
              <w:spacing w:after="0" w:line="168" w:lineRule="exact"/>
              <w:rPr>
                <w:sz w:val="20"/>
                <w:szCs w:val="20"/>
                <w:color w:val="auto"/>
              </w:rPr>
            </w:pPr>
            <w:r>
              <w:rPr>
                <w:rFonts w:ascii="Arial" w:cs="Arial" w:eastAsia="Arial" w:hAnsi="Arial"/>
                <w:sz w:val="17"/>
                <w:szCs w:val="17"/>
                <w:b w:val="1"/>
                <w:bCs w:val="1"/>
                <w:color w:val="auto"/>
                <w:w w:val="93"/>
              </w:rPr>
              <w:t>Investment -</w:t>
            </w:r>
          </w:p>
        </w:tc>
        <w:tc>
          <w:tcPr>
            <w:tcW w:w="20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240"/>
              <w:spacing w:after="0" w:line="168" w:lineRule="exact"/>
              <w:rPr>
                <w:sz w:val="20"/>
                <w:szCs w:val="20"/>
                <w:color w:val="auto"/>
              </w:rPr>
            </w:pPr>
            <w:r>
              <w:rPr>
                <w:rFonts w:ascii="Arial" w:cs="Arial" w:eastAsia="Arial" w:hAnsi="Arial"/>
                <w:sz w:val="17"/>
                <w:szCs w:val="17"/>
                <w:b w:val="1"/>
                <w:bCs w:val="1"/>
                <w:color w:val="auto"/>
                <w:w w:val="92"/>
              </w:rPr>
              <w:t>Restricted for</w:t>
            </w:r>
          </w:p>
        </w:tc>
        <w:tc>
          <w:tcPr>
            <w:tcW w:w="1500" w:type="dxa"/>
            <w:vAlign w:val="bottom"/>
            <w:gridSpan w:val="3"/>
          </w:tcPr>
          <w:p>
            <w:pPr>
              <w:jc w:val="center"/>
              <w:ind w:right="120"/>
              <w:spacing w:after="0" w:line="168" w:lineRule="exact"/>
              <w:rPr>
                <w:sz w:val="20"/>
                <w:szCs w:val="20"/>
                <w:color w:val="auto"/>
              </w:rPr>
            </w:pPr>
            <w:r>
              <w:rPr>
                <w:rFonts w:ascii="Arial" w:cs="Arial" w:eastAsia="Arial" w:hAnsi="Arial"/>
                <w:sz w:val="17"/>
                <w:szCs w:val="17"/>
                <w:b w:val="1"/>
                <w:bCs w:val="1"/>
                <w:color w:val="auto"/>
                <w:w w:val="97"/>
              </w:rPr>
              <w:t>Liability - Owed</w:t>
            </w:r>
          </w:p>
        </w:tc>
        <w:tc>
          <w:tcPr>
            <w:tcW w:w="120" w:type="dxa"/>
            <w:vAlign w:val="bottom"/>
          </w:tcPr>
          <w:p>
            <w:pPr>
              <w:spacing w:after="0"/>
              <w:rPr>
                <w:sz w:val="14"/>
                <w:szCs w:val="14"/>
                <w:color w:val="auto"/>
              </w:rPr>
            </w:pPr>
          </w:p>
        </w:tc>
        <w:tc>
          <w:tcPr>
            <w:tcW w:w="1340" w:type="dxa"/>
            <w:vAlign w:val="bottom"/>
            <w:gridSpan w:val="2"/>
            <w:vMerge w:val="restart"/>
          </w:tcPr>
          <w:p>
            <w:pPr>
              <w:jc w:val="center"/>
              <w:ind w:right="220"/>
              <w:spacing w:after="0"/>
              <w:rPr>
                <w:sz w:val="20"/>
                <w:szCs w:val="20"/>
                <w:color w:val="auto"/>
              </w:rPr>
            </w:pPr>
            <w:r>
              <w:rPr>
                <w:rFonts w:ascii="Arial" w:cs="Arial" w:eastAsia="Arial" w:hAnsi="Arial"/>
                <w:sz w:val="17"/>
                <w:szCs w:val="17"/>
                <w:b w:val="1"/>
                <w:bCs w:val="1"/>
                <w:color w:val="auto"/>
                <w:w w:val="94"/>
              </w:rPr>
              <w:t>Loans Held for</w:t>
            </w:r>
          </w:p>
        </w:tc>
        <w:tc>
          <w:tcPr>
            <w:tcW w:w="1500" w:type="dxa"/>
            <w:vAlign w:val="bottom"/>
            <w:gridSpan w:val="3"/>
            <w:vMerge w:val="restart"/>
          </w:tcPr>
          <w:p>
            <w:pPr>
              <w:jc w:val="center"/>
              <w:ind w:right="80"/>
              <w:spacing w:after="0"/>
              <w:rPr>
                <w:sz w:val="20"/>
                <w:szCs w:val="20"/>
                <w:color w:val="auto"/>
              </w:rPr>
            </w:pPr>
            <w:r>
              <w:rPr>
                <w:rFonts w:ascii="Arial" w:cs="Arial" w:eastAsia="Arial" w:hAnsi="Arial"/>
                <w:sz w:val="17"/>
                <w:szCs w:val="17"/>
                <w:b w:val="1"/>
                <w:bCs w:val="1"/>
                <w:color w:val="auto"/>
                <w:w w:val="92"/>
              </w:rPr>
              <w:t>Mortgage-backed</w:t>
            </w: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240"/>
              <w:spacing w:after="0" w:line="168" w:lineRule="exact"/>
              <w:rPr>
                <w:sz w:val="20"/>
                <w:szCs w:val="20"/>
                <w:color w:val="auto"/>
              </w:rPr>
            </w:pPr>
            <w:r>
              <w:rPr>
                <w:rFonts w:ascii="Arial" w:cs="Arial" w:eastAsia="Arial" w:hAnsi="Arial"/>
                <w:sz w:val="17"/>
                <w:szCs w:val="17"/>
                <w:b w:val="1"/>
                <w:bCs w:val="1"/>
                <w:color w:val="auto"/>
                <w:w w:val="91"/>
              </w:rPr>
              <w:t>Securitization</w:t>
            </w:r>
          </w:p>
        </w:tc>
        <w:tc>
          <w:tcPr>
            <w:tcW w:w="1500" w:type="dxa"/>
            <w:vAlign w:val="bottom"/>
            <w:gridSpan w:val="3"/>
          </w:tcPr>
          <w:p>
            <w:pPr>
              <w:jc w:val="center"/>
              <w:ind w:right="120"/>
              <w:spacing w:after="0" w:line="168" w:lineRule="exact"/>
              <w:rPr>
                <w:sz w:val="20"/>
                <w:szCs w:val="20"/>
                <w:color w:val="auto"/>
              </w:rPr>
            </w:pPr>
            <w:r>
              <w:rPr>
                <w:rFonts w:ascii="Arial" w:cs="Arial" w:eastAsia="Arial" w:hAnsi="Arial"/>
                <w:sz w:val="17"/>
                <w:szCs w:val="17"/>
                <w:b w:val="1"/>
                <w:bCs w:val="1"/>
                <w:color w:val="auto"/>
                <w:w w:val="92"/>
              </w:rPr>
              <w:t>to Securitization</w:t>
            </w:r>
          </w:p>
        </w:tc>
        <w:tc>
          <w:tcPr>
            <w:tcW w:w="12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50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vMerge w:val="restart"/>
          </w:tcPr>
          <w:p>
            <w:pPr>
              <w:jc w:val="right"/>
              <w:ind w:right="354"/>
              <w:spacing w:after="0"/>
              <w:rPr>
                <w:sz w:val="20"/>
                <w:szCs w:val="20"/>
                <w:color w:val="auto"/>
              </w:rPr>
            </w:pPr>
            <w:r>
              <w:rPr>
                <w:rFonts w:ascii="Arial" w:cs="Arial" w:eastAsia="Arial" w:hAnsi="Arial"/>
                <w:sz w:val="17"/>
                <w:szCs w:val="17"/>
                <w:b w:val="1"/>
                <w:bCs w:val="1"/>
                <w:color w:val="auto"/>
              </w:rPr>
              <w:t>IRLCs</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88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Six Months Ended June 30, 2021</w:t>
            </w:r>
          </w:p>
        </w:tc>
        <w:tc>
          <w:tcPr>
            <w:tcW w:w="120" w:type="dxa"/>
            <w:vAlign w:val="bottom"/>
          </w:tcPr>
          <w:p>
            <w:pPr>
              <w:spacing w:after="0"/>
              <w:rPr>
                <w:sz w:val="19"/>
                <w:szCs w:val="19"/>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89"/>
              </w:rPr>
              <w:t>Investors</w:t>
            </w:r>
          </w:p>
        </w:tc>
        <w:tc>
          <w:tcPr>
            <w:tcW w:w="200" w:type="dxa"/>
            <w:vAlign w:val="bottom"/>
          </w:tcPr>
          <w:p>
            <w:pPr>
              <w:spacing w:after="0"/>
              <w:rPr>
                <w:sz w:val="19"/>
                <w:szCs w:val="19"/>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89"/>
              </w:rPr>
              <w:t>Investors</w:t>
            </w:r>
          </w:p>
        </w:tc>
        <w:tc>
          <w:tcPr>
            <w:tcW w:w="1460" w:type="dxa"/>
            <w:vAlign w:val="bottom"/>
            <w:gridSpan w:val="3"/>
          </w:tcPr>
          <w:p>
            <w:pPr>
              <w:jc w:val="center"/>
              <w:ind w:right="80"/>
              <w:spacing w:after="0"/>
              <w:rPr>
                <w:sz w:val="20"/>
                <w:szCs w:val="20"/>
                <w:color w:val="auto"/>
              </w:rPr>
            </w:pPr>
            <w:r>
              <w:rPr>
                <w:rFonts w:ascii="Arial" w:cs="Arial" w:eastAsia="Arial" w:hAnsi="Arial"/>
                <w:sz w:val="17"/>
                <w:szCs w:val="17"/>
                <w:b w:val="1"/>
                <w:bCs w:val="1"/>
                <w:color w:val="auto"/>
                <w:w w:val="92"/>
              </w:rPr>
              <w:t>Sale - Fair Value</w:t>
            </w:r>
          </w:p>
        </w:tc>
        <w:tc>
          <w:tcPr>
            <w:tcW w:w="220" w:type="dxa"/>
            <w:vAlign w:val="bottom"/>
          </w:tcPr>
          <w:p>
            <w:pPr>
              <w:spacing w:after="0"/>
              <w:rPr>
                <w:sz w:val="19"/>
                <w:szCs w:val="19"/>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7"/>
                <w:szCs w:val="17"/>
                <w:b w:val="1"/>
                <w:bCs w:val="1"/>
                <w:color w:val="auto"/>
                <w:w w:val="88"/>
              </w:rPr>
              <w:t>Securities</w:t>
            </w:r>
          </w:p>
        </w:tc>
        <w:tc>
          <w:tcPr>
            <w:tcW w:w="28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880" w:type="dxa"/>
            <w:vAlign w:val="bottom"/>
            <w:gridSpan w:val="2"/>
            <w:vMerge w:val="continue"/>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2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b w:val="1"/>
                <w:bCs w:val="1"/>
                <w:color w:val="auto"/>
              </w:rPr>
              <w:t>Beginning balance</w:t>
            </w: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9,770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(9,770)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51,072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2,019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22,706</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880" w:type="dxa"/>
            <w:vAlign w:val="bottom"/>
            <w:gridSpan w:val="2"/>
          </w:tcPr>
          <w:p>
            <w:pPr>
              <w:ind w:left="120"/>
              <w:spacing w:after="0"/>
              <w:rPr>
                <w:sz w:val="20"/>
                <w:szCs w:val="20"/>
                <w:color w:val="auto"/>
              </w:rPr>
            </w:pPr>
            <w:r>
              <w:rPr>
                <w:rFonts w:ascii="Arial" w:cs="Arial" w:eastAsia="Arial" w:hAnsi="Arial"/>
                <w:sz w:val="17"/>
                <w:szCs w:val="17"/>
                <w:color w:val="auto"/>
              </w:rPr>
              <w:t>Purchases, issuances, sales and settlements</w:t>
            </w: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388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Purchases</w:t>
            </w: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166,121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880" w:type="dxa"/>
            <w:vAlign w:val="bottom"/>
            <w:gridSpan w:val="2"/>
          </w:tcPr>
          <w:p>
            <w:pPr>
              <w:ind w:left="200"/>
              <w:spacing w:after="0"/>
              <w:rPr>
                <w:sz w:val="20"/>
                <w:szCs w:val="20"/>
                <w:color w:val="auto"/>
              </w:rPr>
            </w:pPr>
            <w:r>
              <w:rPr>
                <w:rFonts w:ascii="Arial" w:cs="Arial" w:eastAsia="Arial" w:hAnsi="Arial"/>
                <w:sz w:val="17"/>
                <w:szCs w:val="17"/>
                <w:color w:val="auto"/>
              </w:rPr>
              <w:t>Issuances (1)</w:t>
            </w:r>
          </w:p>
        </w:tc>
        <w:tc>
          <w:tcPr>
            <w:tcW w:w="12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261,756</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388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Sales</w:t>
            </w: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(71,056)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880" w:type="dxa"/>
            <w:vAlign w:val="bottom"/>
            <w:gridSpan w:val="2"/>
          </w:tcPr>
          <w:p>
            <w:pPr>
              <w:ind w:left="200"/>
              <w:spacing w:after="0"/>
              <w:rPr>
                <w:sz w:val="20"/>
                <w:szCs w:val="20"/>
                <w:color w:val="auto"/>
              </w:rPr>
            </w:pPr>
            <w:r>
              <w:rPr>
                <w:rFonts w:ascii="Arial" w:cs="Arial" w:eastAsia="Arial" w:hAnsi="Arial"/>
                <w:sz w:val="17"/>
                <w:szCs w:val="17"/>
                <w:color w:val="auto"/>
              </w:rPr>
              <w:t>Settlements</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(1,090)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1,090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388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Transfers (to) from:</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880" w:type="dxa"/>
            <w:vAlign w:val="bottom"/>
            <w:gridSpan w:val="2"/>
          </w:tcPr>
          <w:p>
            <w:pPr>
              <w:ind w:left="320"/>
              <w:spacing w:after="0"/>
              <w:rPr>
                <w:sz w:val="20"/>
                <w:szCs w:val="20"/>
                <w:color w:val="auto"/>
              </w:rPr>
            </w:pPr>
            <w:r>
              <w:rPr>
                <w:rFonts w:ascii="Arial" w:cs="Arial" w:eastAsia="Arial" w:hAnsi="Arial"/>
                <w:sz w:val="17"/>
                <w:szCs w:val="17"/>
                <w:color w:val="auto"/>
              </w:rPr>
              <w:t>Loans held for sale, at fair value (1)</w:t>
            </w:r>
          </w:p>
        </w:tc>
        <w:tc>
          <w:tcPr>
            <w:tcW w:w="12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(242,386)</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388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Other assets</w:t>
            </w: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20" w:type="dxa"/>
            <w:vAlign w:val="bottom"/>
            <w:tcBorders>
              <w:bottom w:val="single" w:sz="8" w:color="CCEEFF"/>
            </w:tcBorders>
          </w:tcPr>
          <w:p>
            <w:pPr>
              <w:spacing w:after="0"/>
              <w:rPr>
                <w:sz w:val="19"/>
                <w:szCs w:val="19"/>
                <w:color w:val="auto"/>
              </w:rPr>
            </w:pPr>
          </w:p>
        </w:tc>
        <w:tc>
          <w:tcPr>
            <w:tcW w:w="3880" w:type="dxa"/>
            <w:vAlign w:val="bottom"/>
            <w:tcBorders>
              <w:bottom w:val="single" w:sz="8" w:color="CCEEFF"/>
            </w:tcBorders>
            <w:gridSpan w:val="2"/>
          </w:tcPr>
          <w:p>
            <w:pPr>
              <w:ind w:left="200"/>
              <w:spacing w:after="0"/>
              <w:rPr>
                <w:sz w:val="20"/>
                <w:szCs w:val="20"/>
                <w:color w:val="auto"/>
              </w:rPr>
            </w:pPr>
            <w:r>
              <w:rPr>
                <w:rFonts w:ascii="Arial" w:cs="Arial" w:eastAsia="Arial" w:hAnsi="Arial"/>
                <w:sz w:val="17"/>
                <w:szCs w:val="17"/>
                <w:color w:val="auto"/>
              </w:rPr>
              <w:t>Receivables, net</w:t>
            </w: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(555)</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(1,090)</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1,090</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94,133</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19,370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880" w:type="dxa"/>
            <w:vAlign w:val="bottom"/>
            <w:gridSpan w:val="2"/>
          </w:tcPr>
          <w:p>
            <w:pPr>
              <w:ind w:left="100"/>
              <w:spacing w:after="0"/>
              <w:rPr>
                <w:sz w:val="20"/>
                <w:szCs w:val="20"/>
                <w:color w:val="auto"/>
              </w:rPr>
            </w:pPr>
            <w:r>
              <w:rPr>
                <w:rFonts w:ascii="Arial" w:cs="Arial" w:eastAsia="Arial" w:hAnsi="Arial"/>
                <w:sz w:val="17"/>
                <w:szCs w:val="17"/>
                <w:color w:val="auto"/>
              </w:rPr>
              <w:t>Change in fair value included in earnings (1)</w:t>
            </w:r>
          </w:p>
        </w:tc>
        <w:tc>
          <w:tcPr>
            <w:tcW w:w="1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(6,363)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(412)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(24,639)</w:t>
            </w:r>
          </w:p>
        </w:tc>
        <w:tc>
          <w:tcPr>
            <w:tcW w:w="0" w:type="dxa"/>
            <w:vAlign w:val="bottom"/>
          </w:tcPr>
          <w:p>
            <w:pPr>
              <w:spacing w:after="0"/>
              <w:rPr>
                <w:sz w:val="1"/>
                <w:szCs w:val="1"/>
                <w:color w:val="auto"/>
              </w:rPr>
            </w:pPr>
          </w:p>
        </w:tc>
      </w:tr>
      <w:tr>
        <w:trPr>
          <w:trHeight w:val="238"/>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38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7"/>
                <w:szCs w:val="17"/>
                <w:b w:val="1"/>
                <w:bCs w:val="1"/>
                <w:color w:val="auto"/>
              </w:rPr>
              <w:t>Ending balance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8,680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(8,680)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138,842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1,607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17,437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left="320" w:right="40" w:hanging="317"/>
        <w:spacing w:after="0" w:line="241" w:lineRule="auto"/>
        <w:tabs>
          <w:tab w:leader="none" w:pos="320" w:val="left"/>
        </w:tabs>
        <w:numPr>
          <w:ilvl w:val="0"/>
          <w:numId w:val="9"/>
        </w:numPr>
        <w:rPr>
          <w:rFonts w:ascii="Arial" w:cs="Arial" w:eastAsia="Arial" w:hAnsi="Arial"/>
          <w:sz w:val="16"/>
          <w:szCs w:val="16"/>
          <w:color w:val="auto"/>
        </w:rPr>
      </w:pPr>
      <w:r>
        <w:rPr>
          <w:rFonts w:ascii="Arial" w:cs="Arial" w:eastAsia="Arial" w:hAnsi="Arial"/>
          <w:sz w:val="16"/>
          <w:szCs w:val="16"/>
          <w:color w:val="auto"/>
        </w:rPr>
        <w:t>IRLC activity (issuances and transfers) represent changes in fair value included in earnings. This activity is presented on a gross basis in the table for disclosure purposes. Total net change in fair value included in earnings attributed to IRLCs is a gain (loss) of $0.1 million and $(12.3) million for the three and six months ended June 30, 2022, respectively, and $2.9 million and $(5.3) million for the three and six months ended June 30, 2021, respectively. See Note 16 – Derivative Financial Instruments and Hedging Activities.</w:t>
      </w:r>
    </w:p>
    <w:p>
      <w:pPr>
        <w:spacing w:after="0" w:line="84" w:lineRule="exact"/>
        <w:rPr>
          <w:sz w:val="20"/>
          <w:szCs w:val="20"/>
          <w:color w:val="auto"/>
        </w:rPr>
      </w:pPr>
    </w:p>
    <w:p>
      <w:pPr>
        <w:ind w:right="220"/>
        <w:spacing w:after="0" w:line="268" w:lineRule="auto"/>
        <w:rPr>
          <w:sz w:val="20"/>
          <w:szCs w:val="20"/>
          <w:color w:val="auto"/>
        </w:rPr>
      </w:pPr>
      <w:r>
        <w:rPr>
          <w:rFonts w:ascii="Arial" w:cs="Arial" w:eastAsia="Arial" w:hAnsi="Arial"/>
          <w:sz w:val="16"/>
          <w:szCs w:val="16"/>
          <w:color w:val="auto"/>
        </w:rPr>
        <w:t xml:space="preserve">A </w:t>
      </w:r>
      <w:r>
        <w:rPr>
          <w:rFonts w:ascii="Arial" w:cs="Arial" w:eastAsia="Arial" w:hAnsi="Arial"/>
          <w:sz w:val="17"/>
          <w:szCs w:val="17"/>
          <w:color w:val="auto"/>
        </w:rPr>
        <w:t>reconciliation from the beginning balances to the ending balances of Loans Held for Investment and HMBS-related borrowings, MSRs and Pledged liabilities</w:t>
      </w:r>
      <w:r>
        <w:rPr>
          <w:rFonts w:ascii="Arial" w:cs="Arial" w:eastAsia="Arial" w:hAnsi="Arial"/>
          <w:sz w:val="16"/>
          <w:szCs w:val="16"/>
          <w:color w:val="auto"/>
        </w:rPr>
        <w:t xml:space="preserve"> </w:t>
      </w:r>
      <w:r>
        <w:rPr>
          <w:rFonts w:ascii="Arial" w:cs="Arial" w:eastAsia="Arial" w:hAnsi="Arial"/>
          <w:sz w:val="17"/>
          <w:szCs w:val="17"/>
          <w:color w:val="auto"/>
        </w:rPr>
        <w:t>that we measure at fair value on a recurring basis is disclosed in Note 5 - Reverse Mortgages, Note 7 – Mortgage Servicing and Note 8 — MSR Transfers Not Qualifying for Sale Accounting, respectively.</w:t>
      </w:r>
    </w:p>
    <w:p>
      <w:pPr>
        <w:spacing w:after="0" w:line="69" w:lineRule="exact"/>
        <w:rPr>
          <w:sz w:val="20"/>
          <w:szCs w:val="20"/>
          <w:color w:val="auto"/>
        </w:rPr>
      </w:pPr>
    </w:p>
    <w:p>
      <w:pPr>
        <w:ind w:right="280"/>
        <w:spacing w:after="0" w:line="263" w:lineRule="auto"/>
        <w:rPr>
          <w:sz w:val="20"/>
          <w:szCs w:val="20"/>
          <w:color w:val="auto"/>
        </w:rPr>
      </w:pPr>
      <w:r>
        <w:rPr>
          <w:rFonts w:ascii="Arial" w:cs="Arial" w:eastAsia="Arial" w:hAnsi="Arial"/>
          <w:sz w:val="17"/>
          <w:szCs w:val="17"/>
          <w:color w:val="auto"/>
        </w:rPr>
        <w:t>During the six months ended June 30, 2022, there have been no changes to the methodologies that we use in estimating fair values or classifications under the valuation hierarchy as disclosed in our Annual Report on Form 10-K for the year ended December 31, 2021. The significant unobservable assumptions that we make to estimate the fair value of significant assets and liabilities classified as Level 3 and measured at fair value on a recurring or non-recurring basis are provided below.</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Loans Held for Sale</w:t>
      </w:r>
    </w:p>
    <w:p>
      <w:pPr>
        <w:spacing w:after="0" w:line="159" w:lineRule="exact"/>
        <w:rPr>
          <w:sz w:val="20"/>
          <w:szCs w:val="20"/>
          <w:color w:val="auto"/>
        </w:rPr>
      </w:pPr>
    </w:p>
    <w:p>
      <w:pPr>
        <w:jc w:val="both"/>
        <w:spacing w:after="0" w:line="320" w:lineRule="auto"/>
        <w:rPr>
          <w:sz w:val="20"/>
          <w:szCs w:val="20"/>
          <w:color w:val="auto"/>
        </w:rPr>
      </w:pPr>
      <w:r>
        <w:rPr>
          <w:rFonts w:ascii="Arial" w:cs="Arial" w:eastAsia="Arial" w:hAnsi="Arial"/>
          <w:sz w:val="15"/>
          <w:szCs w:val="15"/>
          <w:color w:val="auto"/>
        </w:rPr>
        <w:t>The fair value of loans we purchased from Ginnie Mae guaranteed securitizations is estimated using both observable and unobservable inputs, including published forward Ginnie Mae prices or existing sale contracts, as well as estimated default, prepayment, and discount rates. The significant unobservable input in estimating fair value is the estimated default rate. Accordingly, these repurchased Ginnie Mae loans are classified as Level 3 within the valuation hierarchy.</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Loans Held for Investment - Reverse Mortgages</w:t>
      </w:r>
    </w:p>
    <w:p>
      <w:pPr>
        <w:spacing w:after="0" w:line="121"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Reverse mortgage loans held for investment are carried at fair value and classified as Level 3 within the valuation hierarchy. Significant unobservable assumptions include conditional prepayment rate and discount rate. The conditional prepayment rate assumption displayed in the table below is inclusive of voluntary (repayment or payoff) and involuntary (inactive/delinquent status and default) prepayments. The discount rate assumption is primarily based on an assessment of current market yields on reverse mortgage loan and tail securitizations, expected duration of the asset and current market interest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88" w:right="339" w:bottom="1440" w:gutter="0" w:footer="0" w:header="0"/>
        </w:sectPr>
      </w:pPr>
    </w:p>
    <w:bookmarkStart w:id="20" w:name="page21"/>
    <w:bookmarkEnd w:id="20"/>
    <w:tbl>
      <w:tblPr>
        <w:tblLayout w:type="fixed"/>
        <w:tblInd w:w="20" w:type="dxa"/>
        <w:tblCellMar>
          <w:top w:w="0" w:type="dxa"/>
          <w:left w:w="0" w:type="dxa"/>
          <w:bottom w:w="0" w:type="dxa"/>
          <w:right w:w="0" w:type="dxa"/>
        </w:tblCellMar>
      </w:tblPr>
      <w:tr>
        <w:trPr>
          <w:trHeight w:val="195"/>
        </w:trPr>
        <w:tc>
          <w:tcPr>
            <w:tcW w:w="782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Significant unobservable assumptions</w:t>
            </w:r>
          </w:p>
        </w:tc>
        <w:tc>
          <w:tcPr>
            <w:tcW w:w="1740" w:type="dxa"/>
            <w:vAlign w:val="bottom"/>
            <w:gridSpan w:val="2"/>
          </w:tcPr>
          <w:p>
            <w:pPr>
              <w:ind w:left="500"/>
              <w:spacing w:after="0"/>
              <w:rPr>
                <w:sz w:val="20"/>
                <w:szCs w:val="20"/>
                <w:color w:val="auto"/>
              </w:rPr>
            </w:pPr>
            <w:r>
              <w:rPr>
                <w:rFonts w:ascii="Arial" w:cs="Arial" w:eastAsia="Arial" w:hAnsi="Arial"/>
                <w:sz w:val="17"/>
                <w:szCs w:val="17"/>
                <w:b w:val="1"/>
                <w:bCs w:val="1"/>
                <w:color w:val="auto"/>
              </w:rPr>
              <w:t>June 30,</w:t>
            </w:r>
          </w:p>
        </w:tc>
        <w:tc>
          <w:tcPr>
            <w:tcW w:w="1660" w:type="dxa"/>
            <w:vAlign w:val="bottom"/>
          </w:tcPr>
          <w:p>
            <w:pPr>
              <w:jc w:val="right"/>
              <w:ind w:right="254"/>
              <w:spacing w:after="0"/>
              <w:rPr>
                <w:sz w:val="20"/>
                <w:szCs w:val="20"/>
                <w:color w:val="auto"/>
              </w:rPr>
            </w:pPr>
            <w:r>
              <w:rPr>
                <w:rFonts w:ascii="Arial" w:cs="Arial" w:eastAsia="Arial" w:hAnsi="Arial"/>
                <w:sz w:val="17"/>
                <w:szCs w:val="17"/>
                <w:b w:val="1"/>
                <w:bCs w:val="1"/>
                <w:color w:val="auto"/>
              </w:rPr>
              <w:t>December 31,</w:t>
            </w:r>
          </w:p>
        </w:tc>
        <w:tc>
          <w:tcPr>
            <w:tcW w:w="0" w:type="dxa"/>
            <w:vAlign w:val="bottom"/>
          </w:tcPr>
          <w:p>
            <w:pPr>
              <w:spacing w:after="0"/>
              <w:rPr>
                <w:sz w:val="1"/>
                <w:szCs w:val="1"/>
                <w:color w:val="auto"/>
              </w:rPr>
            </w:pPr>
          </w:p>
        </w:tc>
      </w:tr>
      <w:tr>
        <w:trPr>
          <w:trHeight w:val="220"/>
        </w:trPr>
        <w:tc>
          <w:tcPr>
            <w:tcW w:w="7820" w:type="dxa"/>
            <w:vAlign w:val="bottom"/>
            <w:tcBorders>
              <w:bottom w:val="single" w:sz="8" w:color="CCEEFF"/>
            </w:tcBorders>
            <w:vMerge w:val="continue"/>
          </w:tcPr>
          <w:p>
            <w:pPr>
              <w:spacing w:after="0"/>
              <w:rPr>
                <w:sz w:val="19"/>
                <w:szCs w:val="19"/>
                <w:color w:val="auto"/>
              </w:rPr>
            </w:pPr>
          </w:p>
        </w:tc>
        <w:tc>
          <w:tcPr>
            <w:tcW w:w="1640" w:type="dxa"/>
            <w:vAlign w:val="bottom"/>
            <w:tcBorders>
              <w:bottom w:val="single" w:sz="8" w:color="auto"/>
            </w:tcBorders>
          </w:tcPr>
          <w:p>
            <w:pPr>
              <w:jc w:val="right"/>
              <w:ind w:right="574"/>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bottom w:val="single" w:sz="8" w:color="CCEEFF"/>
            </w:tcBorders>
          </w:tcPr>
          <w:p>
            <w:pPr>
              <w:spacing w:after="0"/>
              <w:rPr>
                <w:sz w:val="19"/>
                <w:szCs w:val="19"/>
                <w:color w:val="auto"/>
              </w:rPr>
            </w:pPr>
          </w:p>
        </w:tc>
        <w:tc>
          <w:tcPr>
            <w:tcW w:w="1660" w:type="dxa"/>
            <w:vAlign w:val="bottom"/>
            <w:tcBorders>
              <w:bottom w:val="single" w:sz="8" w:color="auto"/>
            </w:tcBorders>
          </w:tcPr>
          <w:p>
            <w:pPr>
              <w:jc w:val="right"/>
              <w:ind w:right="574"/>
              <w:spacing w:after="0"/>
              <w:rPr>
                <w:sz w:val="20"/>
                <w:szCs w:val="20"/>
                <w:color w:val="auto"/>
              </w:rPr>
            </w:pPr>
            <w:r>
              <w:rPr>
                <w:rFonts w:ascii="Arial" w:cs="Arial" w:eastAsia="Arial" w:hAnsi="Arial"/>
                <w:sz w:val="17"/>
                <w:szCs w:val="17"/>
                <w:b w:val="1"/>
                <w:bCs w:val="1"/>
                <w:color w:val="auto"/>
              </w:rPr>
              <w:t>2021</w:t>
            </w:r>
          </w:p>
        </w:tc>
        <w:tc>
          <w:tcPr>
            <w:tcW w:w="0" w:type="dxa"/>
            <w:vAlign w:val="bottom"/>
          </w:tcPr>
          <w:p>
            <w:pPr>
              <w:spacing w:after="0"/>
              <w:rPr>
                <w:sz w:val="1"/>
                <w:szCs w:val="1"/>
                <w:color w:val="auto"/>
              </w:rPr>
            </w:pPr>
          </w:p>
        </w:tc>
      </w:tr>
      <w:tr>
        <w:trPr>
          <w:trHeight w:val="200"/>
        </w:trPr>
        <w:tc>
          <w:tcPr>
            <w:tcW w:w="78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Life in years</w:t>
            </w:r>
          </w:p>
        </w:tc>
        <w:tc>
          <w:tcPr>
            <w:tcW w:w="1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7820" w:type="dxa"/>
            <w:vAlign w:val="bottom"/>
          </w:tcPr>
          <w:p>
            <w:pPr>
              <w:ind w:left="220"/>
              <w:spacing w:after="0"/>
              <w:rPr>
                <w:sz w:val="20"/>
                <w:szCs w:val="20"/>
                <w:color w:val="auto"/>
              </w:rPr>
            </w:pPr>
            <w:r>
              <w:rPr>
                <w:rFonts w:ascii="Arial" w:cs="Arial" w:eastAsia="Arial" w:hAnsi="Arial"/>
                <w:sz w:val="17"/>
                <w:szCs w:val="17"/>
                <w:color w:val="auto"/>
              </w:rPr>
              <w:t>Range</w:t>
            </w:r>
          </w:p>
        </w:tc>
        <w:tc>
          <w:tcPr>
            <w:tcW w:w="1740" w:type="dxa"/>
            <w:vAlign w:val="bottom"/>
            <w:gridSpan w:val="2"/>
          </w:tcPr>
          <w:p>
            <w:pPr>
              <w:jc w:val="right"/>
              <w:ind w:right="120"/>
              <w:spacing w:after="0"/>
              <w:rPr>
                <w:sz w:val="20"/>
                <w:szCs w:val="20"/>
                <w:color w:val="auto"/>
              </w:rPr>
            </w:pPr>
            <w:r>
              <w:rPr>
                <w:rFonts w:ascii="Arial" w:cs="Arial" w:eastAsia="Arial" w:hAnsi="Arial"/>
                <w:sz w:val="17"/>
                <w:szCs w:val="17"/>
                <w:color w:val="auto"/>
              </w:rPr>
              <w:t>1.1 to 9.5</w:t>
            </w:r>
          </w:p>
        </w:tc>
        <w:tc>
          <w:tcPr>
            <w:tcW w:w="1660" w:type="dxa"/>
            <w:vAlign w:val="bottom"/>
          </w:tcPr>
          <w:p>
            <w:pPr>
              <w:jc w:val="right"/>
              <w:spacing w:after="0"/>
              <w:rPr>
                <w:sz w:val="20"/>
                <w:szCs w:val="20"/>
                <w:color w:val="auto"/>
              </w:rPr>
            </w:pPr>
            <w:r>
              <w:rPr>
                <w:rFonts w:ascii="Arial" w:cs="Arial" w:eastAsia="Arial" w:hAnsi="Arial"/>
                <w:sz w:val="17"/>
                <w:szCs w:val="17"/>
                <w:color w:val="auto"/>
              </w:rPr>
              <w:t>1.0 to 8.2</w:t>
            </w:r>
          </w:p>
        </w:tc>
        <w:tc>
          <w:tcPr>
            <w:tcW w:w="0" w:type="dxa"/>
            <w:vAlign w:val="bottom"/>
          </w:tcPr>
          <w:p>
            <w:pPr>
              <w:spacing w:after="0"/>
              <w:rPr>
                <w:sz w:val="1"/>
                <w:szCs w:val="1"/>
                <w:color w:val="auto"/>
              </w:rPr>
            </w:pPr>
          </w:p>
        </w:tc>
      </w:tr>
      <w:tr>
        <w:trPr>
          <w:trHeight w:val="220"/>
        </w:trPr>
        <w:tc>
          <w:tcPr>
            <w:tcW w:w="78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Weighted average</w:t>
            </w: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5.7</w:t>
            </w:r>
          </w:p>
        </w:tc>
        <w:tc>
          <w:tcPr>
            <w:tcW w:w="0" w:type="dxa"/>
            <w:vAlign w:val="bottom"/>
          </w:tcPr>
          <w:p>
            <w:pPr>
              <w:spacing w:after="0"/>
              <w:rPr>
                <w:sz w:val="1"/>
                <w:szCs w:val="1"/>
                <w:color w:val="auto"/>
              </w:rPr>
            </w:pPr>
          </w:p>
        </w:tc>
      </w:tr>
      <w:tr>
        <w:trPr>
          <w:trHeight w:val="220"/>
        </w:trPr>
        <w:tc>
          <w:tcPr>
            <w:tcW w:w="7820" w:type="dxa"/>
            <w:vAlign w:val="bottom"/>
          </w:tcPr>
          <w:p>
            <w:pPr>
              <w:ind w:left="140"/>
              <w:spacing w:after="0"/>
              <w:rPr>
                <w:sz w:val="20"/>
                <w:szCs w:val="20"/>
                <w:color w:val="auto"/>
              </w:rPr>
            </w:pPr>
            <w:r>
              <w:rPr>
                <w:rFonts w:ascii="Arial" w:cs="Arial" w:eastAsia="Arial" w:hAnsi="Arial"/>
                <w:sz w:val="17"/>
                <w:szCs w:val="17"/>
                <w:color w:val="auto"/>
              </w:rPr>
              <w:t>Conditional prepayment rate, including voluntary and involuntary prepayments</w:t>
            </w: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8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Range</w:t>
            </w:r>
          </w:p>
        </w:tc>
        <w:tc>
          <w:tcPr>
            <w:tcW w:w="17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11.9% to 47.0%</w:t>
            </w: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 to 36.6%</w:t>
            </w:r>
          </w:p>
        </w:tc>
        <w:tc>
          <w:tcPr>
            <w:tcW w:w="0" w:type="dxa"/>
            <w:vAlign w:val="bottom"/>
          </w:tcPr>
          <w:p>
            <w:pPr>
              <w:spacing w:after="0"/>
              <w:rPr>
                <w:sz w:val="1"/>
                <w:szCs w:val="1"/>
                <w:color w:val="auto"/>
              </w:rPr>
            </w:pPr>
          </w:p>
        </w:tc>
      </w:tr>
      <w:tr>
        <w:trPr>
          <w:trHeight w:val="220"/>
        </w:trPr>
        <w:tc>
          <w:tcPr>
            <w:tcW w:w="7820" w:type="dxa"/>
            <w:vAlign w:val="bottom"/>
          </w:tcPr>
          <w:p>
            <w:pPr>
              <w:ind w:left="220"/>
              <w:spacing w:after="0"/>
              <w:rPr>
                <w:sz w:val="20"/>
                <w:szCs w:val="20"/>
                <w:color w:val="auto"/>
              </w:rPr>
            </w:pPr>
            <w:r>
              <w:rPr>
                <w:rFonts w:ascii="Arial" w:cs="Arial" w:eastAsia="Arial" w:hAnsi="Arial"/>
                <w:sz w:val="17"/>
                <w:szCs w:val="17"/>
                <w:color w:val="auto"/>
              </w:rPr>
              <w:t>Weighted average</w:t>
            </w:r>
          </w:p>
        </w:tc>
        <w:tc>
          <w:tcPr>
            <w:tcW w:w="1640" w:type="dxa"/>
            <w:vAlign w:val="bottom"/>
          </w:tcPr>
          <w:p>
            <w:pPr>
              <w:jc w:val="right"/>
              <w:spacing w:after="0"/>
              <w:rPr>
                <w:sz w:val="20"/>
                <w:szCs w:val="20"/>
                <w:color w:val="auto"/>
              </w:rPr>
            </w:pPr>
            <w:r>
              <w:rPr>
                <w:rFonts w:ascii="Arial" w:cs="Arial" w:eastAsia="Arial" w:hAnsi="Arial"/>
                <w:sz w:val="17"/>
                <w:szCs w:val="17"/>
                <w:color w:val="auto"/>
              </w:rPr>
              <w:t>17.3 %</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7"/>
                <w:szCs w:val="17"/>
                <w:color w:val="auto"/>
              </w:rPr>
              <w:t>16.0 %</w:t>
            </w:r>
          </w:p>
        </w:tc>
        <w:tc>
          <w:tcPr>
            <w:tcW w:w="0" w:type="dxa"/>
            <w:vAlign w:val="bottom"/>
          </w:tcPr>
          <w:p>
            <w:pPr>
              <w:spacing w:after="0"/>
              <w:rPr>
                <w:sz w:val="1"/>
                <w:szCs w:val="1"/>
                <w:color w:val="auto"/>
              </w:rPr>
            </w:pPr>
          </w:p>
        </w:tc>
      </w:tr>
      <w:tr>
        <w:trPr>
          <w:trHeight w:val="220"/>
        </w:trPr>
        <w:tc>
          <w:tcPr>
            <w:tcW w:w="78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Discount rate</w:t>
            </w: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4.2 %</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2.6 %</w:t>
            </w:r>
          </w:p>
        </w:tc>
        <w:tc>
          <w:tcPr>
            <w:tcW w:w="0" w:type="dxa"/>
            <w:vAlign w:val="bottom"/>
          </w:tcPr>
          <w:p>
            <w:pPr>
              <w:spacing w:after="0"/>
              <w:rPr>
                <w:sz w:val="1"/>
                <w:szCs w:val="1"/>
                <w:color w:val="auto"/>
              </w:rPr>
            </w:pPr>
          </w:p>
        </w:tc>
      </w:tr>
    </w:tbl>
    <w:p>
      <w:pPr>
        <w:spacing w:after="0" w:line="168" w:lineRule="exact"/>
        <w:rPr>
          <w:sz w:val="20"/>
          <w:szCs w:val="20"/>
          <w:color w:val="auto"/>
        </w:rPr>
      </w:pPr>
    </w:p>
    <w:p>
      <w:pPr>
        <w:ind w:right="360"/>
        <w:spacing w:after="0" w:line="268" w:lineRule="auto"/>
        <w:rPr>
          <w:sz w:val="20"/>
          <w:szCs w:val="20"/>
          <w:color w:val="auto"/>
        </w:rPr>
      </w:pPr>
      <w:r>
        <w:rPr>
          <w:rFonts w:ascii="Arial" w:cs="Arial" w:eastAsia="Arial" w:hAnsi="Arial"/>
          <w:sz w:val="17"/>
          <w:szCs w:val="17"/>
          <w:color w:val="auto"/>
        </w:rPr>
        <w:t>Significant increases or decreases in any of these assumptions in isolation could result in a significantly lower or higher fair value, respectively. The effects of changes in the assumptions used to value the securitized loans held for investment, excluding future draw commitments, are partially offset by the effects of changes in the assumptions used to value the HMBS-related borrowings that are associated with these loans.</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MSRs</w:t>
      </w:r>
    </w:p>
    <w:p>
      <w:pPr>
        <w:spacing w:after="0" w:line="121" w:lineRule="exact"/>
        <w:rPr>
          <w:sz w:val="20"/>
          <w:szCs w:val="20"/>
          <w:color w:val="auto"/>
        </w:rPr>
      </w:pPr>
    </w:p>
    <w:p>
      <w:pPr>
        <w:ind w:right="160"/>
        <w:spacing w:after="0" w:line="268" w:lineRule="auto"/>
        <w:rPr>
          <w:sz w:val="20"/>
          <w:szCs w:val="20"/>
          <w:color w:val="auto"/>
        </w:rPr>
      </w:pPr>
      <w:r>
        <w:rPr>
          <w:rFonts w:ascii="Arial" w:cs="Arial" w:eastAsia="Arial" w:hAnsi="Arial"/>
          <w:sz w:val="17"/>
          <w:szCs w:val="17"/>
          <w:color w:val="auto"/>
        </w:rPr>
        <w:t>MSRs are carried at fair value and classified within Level 3 of the valuation hierarchy. The fair value is equal to the fair value mark provided by the third-party valuation experts, without adjustment, except in the event we have a potential or completed sale, including transactions where we have executed letters of intent, in which case the fair value of the MSRs is recorded at the estimated sale price.</w:t>
      </w:r>
    </w:p>
    <w:p>
      <w:pPr>
        <w:spacing w:after="0" w:line="69" w:lineRule="exact"/>
        <w:rPr>
          <w:sz w:val="20"/>
          <w:szCs w:val="20"/>
          <w:color w:val="auto"/>
        </w:rPr>
      </w:pPr>
    </w:p>
    <w:p>
      <w:pPr>
        <w:ind w:right="220"/>
        <w:spacing w:after="0" w:line="263" w:lineRule="auto"/>
        <w:rPr>
          <w:sz w:val="20"/>
          <w:szCs w:val="20"/>
          <w:color w:val="auto"/>
        </w:rPr>
      </w:pPr>
      <w:r>
        <w:rPr>
          <w:rFonts w:ascii="Arial" w:cs="Arial" w:eastAsia="Arial" w:hAnsi="Arial"/>
          <w:sz w:val="17"/>
          <w:szCs w:val="17"/>
          <w:color w:val="auto"/>
        </w:rPr>
        <w:t>A change in the valuation inputs or assumptions may result in a significantly higher or lower fair value measurement. Changes in market interest rates predominantly impact the fair value of Agency MSRs via prepayment speeds by altering the borrower refinance incentive and the non-Agency MSRs due to the impact on advance funding costs. The significant unobservable assumptions used in the valuation of these MSRs include prepayment speeds, delinquency rates, cost to service and discount rates.</w:t>
      </w:r>
    </w:p>
    <w:p>
      <w:pPr>
        <w:spacing w:after="0" w:line="223" w:lineRule="exact"/>
        <w:rPr>
          <w:sz w:val="20"/>
          <w:szCs w:val="20"/>
          <w:color w:val="auto"/>
        </w:rPr>
      </w:pPr>
    </w:p>
    <w:tbl>
      <w:tblPr>
        <w:tblLayout w:type="fixed"/>
        <w:tblInd w:w="40" w:type="dxa"/>
        <w:tblCellMar>
          <w:top w:w="0" w:type="dxa"/>
          <w:left w:w="0" w:type="dxa"/>
          <w:bottom w:w="0" w:type="dxa"/>
          <w:right w:w="0" w:type="dxa"/>
        </w:tblCellMar>
      </w:tblPr>
      <w:tr>
        <w:trPr>
          <w:trHeight w:val="225"/>
        </w:trPr>
        <w:tc>
          <w:tcPr>
            <w:tcW w:w="44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980" w:type="dxa"/>
            <w:vAlign w:val="bottom"/>
            <w:tcBorders>
              <w:bottom w:val="single" w:sz="8" w:color="auto"/>
            </w:tcBorders>
            <w:gridSpan w:val="4"/>
          </w:tcPr>
          <w:p>
            <w:pPr>
              <w:jc w:val="right"/>
              <w:ind w:right="1054"/>
              <w:spacing w:after="0"/>
              <w:rPr>
                <w:sz w:val="20"/>
                <w:szCs w:val="20"/>
                <w:color w:val="auto"/>
              </w:rPr>
            </w:pPr>
            <w:r>
              <w:rPr>
                <w:rFonts w:ascii="Arial" w:cs="Arial" w:eastAsia="Arial" w:hAnsi="Arial"/>
                <w:sz w:val="17"/>
                <w:szCs w:val="17"/>
                <w:b w:val="1"/>
                <w:bCs w:val="1"/>
                <w:color w:val="auto"/>
              </w:rPr>
              <w:t>June 30, 2022</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980" w:type="dxa"/>
            <w:vAlign w:val="bottom"/>
            <w:tcBorders>
              <w:bottom w:val="single" w:sz="8" w:color="auto"/>
            </w:tcBorders>
            <w:gridSpan w:val="4"/>
          </w:tcPr>
          <w:p>
            <w:pPr>
              <w:jc w:val="right"/>
              <w:ind w:right="854"/>
              <w:spacing w:after="0"/>
              <w:rPr>
                <w:sz w:val="20"/>
                <w:szCs w:val="20"/>
                <w:color w:val="auto"/>
              </w:rPr>
            </w:pPr>
            <w:r>
              <w:rPr>
                <w:rFonts w:ascii="Arial" w:cs="Arial" w:eastAsia="Arial" w:hAnsi="Arial"/>
                <w:sz w:val="17"/>
                <w:szCs w:val="17"/>
                <w:b w:val="1"/>
                <w:bCs w:val="1"/>
                <w:color w:val="auto"/>
              </w:rPr>
              <w:t>December 31, 2021</w:t>
            </w:r>
          </w:p>
        </w:tc>
      </w:tr>
      <w:tr>
        <w:trPr>
          <w:trHeight w:val="238"/>
        </w:trPr>
        <w:tc>
          <w:tcPr>
            <w:tcW w:w="4480" w:type="dxa"/>
            <w:vAlign w:val="bottom"/>
          </w:tcPr>
          <w:p>
            <w:pPr>
              <w:ind w:left="20"/>
              <w:spacing w:after="0"/>
              <w:rPr>
                <w:sz w:val="20"/>
                <w:szCs w:val="20"/>
                <w:color w:val="auto"/>
              </w:rPr>
            </w:pPr>
            <w:r>
              <w:rPr>
                <w:rFonts w:ascii="Arial" w:cs="Arial" w:eastAsia="Arial" w:hAnsi="Arial"/>
                <w:sz w:val="17"/>
                <w:szCs w:val="17"/>
                <w:b w:val="1"/>
                <w:bCs w:val="1"/>
                <w:color w:val="auto"/>
              </w:rPr>
              <w:t>Significant unobservable assumptions</w:t>
            </w:r>
          </w:p>
        </w:tc>
        <w:tc>
          <w:tcPr>
            <w:tcW w:w="300" w:type="dxa"/>
            <w:vAlign w:val="bottom"/>
          </w:tcPr>
          <w:p>
            <w:pPr>
              <w:spacing w:after="0"/>
              <w:rPr>
                <w:sz w:val="20"/>
                <w:szCs w:val="20"/>
                <w:color w:val="auto"/>
              </w:rPr>
            </w:pPr>
          </w:p>
        </w:tc>
        <w:tc>
          <w:tcPr>
            <w:tcW w:w="1400" w:type="dxa"/>
            <w:vAlign w:val="bottom"/>
            <w:gridSpan w:val="2"/>
          </w:tcPr>
          <w:p>
            <w:pPr>
              <w:ind w:left="220"/>
              <w:spacing w:after="0"/>
              <w:rPr>
                <w:sz w:val="20"/>
                <w:szCs w:val="20"/>
                <w:color w:val="auto"/>
              </w:rPr>
            </w:pPr>
            <w:r>
              <w:rPr>
                <w:rFonts w:ascii="Arial" w:cs="Arial" w:eastAsia="Arial" w:hAnsi="Arial"/>
                <w:sz w:val="17"/>
                <w:szCs w:val="17"/>
                <w:b w:val="1"/>
                <w:bCs w:val="1"/>
                <w:color w:val="auto"/>
              </w:rPr>
              <w:t>Agency</w:t>
            </w:r>
          </w:p>
        </w:tc>
        <w:tc>
          <w:tcPr>
            <w:tcW w:w="220" w:type="dxa"/>
            <w:vAlign w:val="bottom"/>
          </w:tcPr>
          <w:p>
            <w:pPr>
              <w:spacing w:after="0"/>
              <w:rPr>
                <w:sz w:val="20"/>
                <w:szCs w:val="20"/>
                <w:color w:val="auto"/>
              </w:rPr>
            </w:pPr>
          </w:p>
        </w:tc>
        <w:tc>
          <w:tcPr>
            <w:tcW w:w="1480" w:type="dxa"/>
            <w:vAlign w:val="bottom"/>
            <w:gridSpan w:val="2"/>
          </w:tcPr>
          <w:p>
            <w:pPr>
              <w:ind w:left="120"/>
              <w:spacing w:after="0"/>
              <w:rPr>
                <w:sz w:val="20"/>
                <w:szCs w:val="20"/>
                <w:color w:val="auto"/>
              </w:rPr>
            </w:pPr>
            <w:r>
              <w:rPr>
                <w:rFonts w:ascii="Arial" w:cs="Arial" w:eastAsia="Arial" w:hAnsi="Arial"/>
                <w:sz w:val="17"/>
                <w:szCs w:val="17"/>
                <w:b w:val="1"/>
                <w:bCs w:val="1"/>
                <w:color w:val="auto"/>
              </w:rPr>
              <w:t>Non-Agency</w:t>
            </w:r>
          </w:p>
        </w:tc>
        <w:tc>
          <w:tcPr>
            <w:tcW w:w="300" w:type="dxa"/>
            <w:vAlign w:val="bottom"/>
          </w:tcPr>
          <w:p>
            <w:pPr>
              <w:spacing w:after="0"/>
              <w:rPr>
                <w:sz w:val="20"/>
                <w:szCs w:val="20"/>
                <w:color w:val="auto"/>
              </w:rPr>
            </w:pPr>
          </w:p>
        </w:tc>
        <w:tc>
          <w:tcPr>
            <w:tcW w:w="1400" w:type="dxa"/>
            <w:vAlign w:val="bottom"/>
            <w:gridSpan w:val="2"/>
          </w:tcPr>
          <w:p>
            <w:pPr>
              <w:ind w:left="220"/>
              <w:spacing w:after="0"/>
              <w:rPr>
                <w:sz w:val="20"/>
                <w:szCs w:val="20"/>
                <w:color w:val="auto"/>
              </w:rPr>
            </w:pPr>
            <w:r>
              <w:rPr>
                <w:rFonts w:ascii="Arial" w:cs="Arial" w:eastAsia="Arial" w:hAnsi="Arial"/>
                <w:sz w:val="17"/>
                <w:szCs w:val="17"/>
                <w:b w:val="1"/>
                <w:bCs w:val="1"/>
                <w:color w:val="auto"/>
              </w:rPr>
              <w:t>Agency</w:t>
            </w:r>
          </w:p>
        </w:tc>
        <w:tc>
          <w:tcPr>
            <w:tcW w:w="220" w:type="dxa"/>
            <w:vAlign w:val="bottom"/>
          </w:tcPr>
          <w:p>
            <w:pPr>
              <w:spacing w:after="0"/>
              <w:rPr>
                <w:sz w:val="20"/>
                <w:szCs w:val="20"/>
                <w:color w:val="auto"/>
              </w:rPr>
            </w:pPr>
          </w:p>
        </w:tc>
        <w:tc>
          <w:tcPr>
            <w:tcW w:w="1360" w:type="dxa"/>
            <w:vAlign w:val="bottom"/>
          </w:tcPr>
          <w:p>
            <w:pPr>
              <w:jc w:val="right"/>
              <w:ind w:right="254"/>
              <w:spacing w:after="0"/>
              <w:rPr>
                <w:sz w:val="20"/>
                <w:szCs w:val="20"/>
                <w:color w:val="auto"/>
              </w:rPr>
            </w:pPr>
            <w:r>
              <w:rPr>
                <w:rFonts w:ascii="Arial" w:cs="Arial" w:eastAsia="Arial" w:hAnsi="Arial"/>
                <w:sz w:val="17"/>
                <w:szCs w:val="17"/>
                <w:b w:val="1"/>
                <w:bCs w:val="1"/>
                <w:color w:val="auto"/>
                <w:w w:val="99"/>
              </w:rPr>
              <w:t>Non-Agency</w:t>
            </w:r>
          </w:p>
        </w:tc>
      </w:tr>
      <w:tr>
        <w:trPr>
          <w:trHeight w:val="213"/>
        </w:trPr>
        <w:tc>
          <w:tcPr>
            <w:tcW w:w="448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Weighted average prepayment speed</w:t>
            </w:r>
          </w:p>
        </w:tc>
        <w:tc>
          <w:tcPr>
            <w:tcW w:w="30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6.9 %</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12.0 %</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8.5 %</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12.1 %</w:t>
            </w:r>
          </w:p>
        </w:tc>
      </w:tr>
      <w:tr>
        <w:trPr>
          <w:trHeight w:val="220"/>
        </w:trPr>
        <w:tc>
          <w:tcPr>
            <w:tcW w:w="4480" w:type="dxa"/>
            <w:vAlign w:val="bottom"/>
          </w:tcPr>
          <w:p>
            <w:pPr>
              <w:ind w:left="140"/>
              <w:spacing w:after="0"/>
              <w:rPr>
                <w:sz w:val="20"/>
                <w:szCs w:val="20"/>
                <w:color w:val="auto"/>
              </w:rPr>
            </w:pPr>
            <w:r>
              <w:rPr>
                <w:rFonts w:ascii="Arial" w:cs="Arial" w:eastAsia="Arial" w:hAnsi="Arial"/>
                <w:sz w:val="17"/>
                <w:szCs w:val="17"/>
                <w:color w:val="auto"/>
              </w:rPr>
              <w:t>Weighted average lifetime delinquency rate</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1.1 %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10.8 %</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1.2 %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11.9 %</w:t>
            </w:r>
          </w:p>
        </w:tc>
      </w:tr>
      <w:tr>
        <w:trPr>
          <w:trHeight w:val="220"/>
        </w:trPr>
        <w:tc>
          <w:tcPr>
            <w:tcW w:w="44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Weighted average discount rate</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11.2 %</w:t>
            </w:r>
          </w:p>
        </w:tc>
      </w:tr>
      <w:tr>
        <w:trPr>
          <w:trHeight w:val="220"/>
        </w:trPr>
        <w:tc>
          <w:tcPr>
            <w:tcW w:w="4480" w:type="dxa"/>
            <w:vAlign w:val="bottom"/>
          </w:tcPr>
          <w:p>
            <w:pPr>
              <w:ind w:left="140"/>
              <w:spacing w:after="0"/>
              <w:rPr>
                <w:sz w:val="20"/>
                <w:szCs w:val="20"/>
                <w:color w:val="auto"/>
              </w:rPr>
            </w:pPr>
            <w:r>
              <w:rPr>
                <w:rFonts w:ascii="Arial" w:cs="Arial" w:eastAsia="Arial" w:hAnsi="Arial"/>
                <w:sz w:val="17"/>
                <w:szCs w:val="17"/>
                <w:color w:val="auto"/>
              </w:rPr>
              <w:t>Weighted average cost to service (in dollars)</w:t>
            </w: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1300" w:type="dxa"/>
            <w:vAlign w:val="bottom"/>
          </w:tcPr>
          <w:p>
            <w:pPr>
              <w:jc w:val="right"/>
              <w:ind w:right="134"/>
              <w:spacing w:after="0"/>
              <w:rPr>
                <w:sz w:val="20"/>
                <w:szCs w:val="20"/>
                <w:color w:val="auto"/>
              </w:rPr>
            </w:pPr>
            <w:r>
              <w:rPr>
                <w:rFonts w:ascii="Arial" w:cs="Arial" w:eastAsia="Arial" w:hAnsi="Arial"/>
                <w:sz w:val="17"/>
                <w:szCs w:val="17"/>
                <w:color w:val="auto"/>
              </w:rPr>
              <w:t>70</w:t>
            </w:r>
          </w:p>
        </w:tc>
        <w:tc>
          <w:tcPr>
            <w:tcW w:w="10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360" w:type="dxa"/>
            <w:vAlign w:val="bottom"/>
          </w:tcPr>
          <w:p>
            <w:pPr>
              <w:jc w:val="right"/>
              <w:ind w:right="114"/>
              <w:spacing w:after="0"/>
              <w:rPr>
                <w:sz w:val="20"/>
                <w:szCs w:val="20"/>
                <w:color w:val="auto"/>
              </w:rPr>
            </w:pPr>
            <w:r>
              <w:rPr>
                <w:rFonts w:ascii="Arial" w:cs="Arial" w:eastAsia="Arial" w:hAnsi="Arial"/>
                <w:sz w:val="17"/>
                <w:szCs w:val="17"/>
                <w:color w:val="auto"/>
              </w:rPr>
              <w:t>199</w:t>
            </w:r>
          </w:p>
        </w:tc>
        <w:tc>
          <w:tcPr>
            <w:tcW w:w="120" w:type="dxa"/>
            <w:vAlign w:val="bottom"/>
          </w:tcPr>
          <w:p>
            <w:pPr>
              <w:spacing w:after="0"/>
              <w:rPr>
                <w:sz w:val="19"/>
                <w:szCs w:val="19"/>
                <w:color w:val="auto"/>
              </w:rPr>
            </w:pP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1300" w:type="dxa"/>
            <w:vAlign w:val="bottom"/>
          </w:tcPr>
          <w:p>
            <w:pPr>
              <w:jc w:val="right"/>
              <w:ind w:right="134"/>
              <w:spacing w:after="0"/>
              <w:rPr>
                <w:sz w:val="20"/>
                <w:szCs w:val="20"/>
                <w:color w:val="auto"/>
              </w:rPr>
            </w:pPr>
            <w:r>
              <w:rPr>
                <w:rFonts w:ascii="Arial" w:cs="Arial" w:eastAsia="Arial" w:hAnsi="Arial"/>
                <w:sz w:val="17"/>
                <w:szCs w:val="17"/>
                <w:color w:val="auto"/>
              </w:rPr>
              <w:t>71</w:t>
            </w:r>
          </w:p>
        </w:tc>
        <w:tc>
          <w:tcPr>
            <w:tcW w:w="10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360" w:type="dxa"/>
            <w:vAlign w:val="bottom"/>
          </w:tcPr>
          <w:p>
            <w:pPr>
              <w:jc w:val="right"/>
              <w:ind w:right="114"/>
              <w:spacing w:after="0"/>
              <w:rPr>
                <w:sz w:val="20"/>
                <w:szCs w:val="20"/>
                <w:color w:val="auto"/>
              </w:rPr>
            </w:pPr>
            <w:r>
              <w:rPr>
                <w:rFonts w:ascii="Arial" w:cs="Arial" w:eastAsia="Arial" w:hAnsi="Arial"/>
                <w:sz w:val="17"/>
                <w:szCs w:val="17"/>
                <w:color w:val="auto"/>
              </w:rPr>
              <w:t>205</w:t>
            </w:r>
          </w:p>
        </w:tc>
      </w:tr>
    </w:tbl>
    <w:p>
      <w:pPr>
        <w:spacing w:after="0" w:line="181" w:lineRule="exact"/>
        <w:rPr>
          <w:sz w:val="20"/>
          <w:szCs w:val="20"/>
          <w:color w:val="auto"/>
        </w:rPr>
      </w:pPr>
    </w:p>
    <w:p>
      <w:pPr>
        <w:ind w:right="20"/>
        <w:spacing w:after="0" w:line="263" w:lineRule="auto"/>
        <w:rPr>
          <w:sz w:val="20"/>
          <w:szCs w:val="20"/>
          <w:color w:val="auto"/>
        </w:rPr>
      </w:pPr>
      <w:r>
        <w:rPr>
          <w:rFonts w:ascii="Arial" w:cs="Arial" w:eastAsia="Arial" w:hAnsi="Arial"/>
          <w:sz w:val="17"/>
          <w:szCs w:val="17"/>
          <w:color w:val="auto"/>
        </w:rPr>
        <w:t>Because the mortgages underlying these MSRs permit the borrowers to prepay the loans, the value of the MSRs generally tends to diminish in periods of declining interest rates, an improving housing market or expanded product availability (as prepayments increase) and increase in periods of rising interest rates, a deteriorating housing market or reduced product availability (as prepayments decrease). The following table summarizes the estimated change in the value of the MSRs as of June 30, 2022 given hypothetical increases in lifetime prepayments and yield assumptions: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7"/>
                <w:szCs w:val="17"/>
                <w:b w:val="1"/>
                <w:bCs w:val="1"/>
                <w:color w:val="auto"/>
              </w:rPr>
              <w:t>Adverse change in fair value</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4"/>
              <w:spacing w:after="0"/>
              <w:rPr>
                <w:sz w:val="20"/>
                <w:szCs w:val="20"/>
                <w:color w:val="auto"/>
              </w:rPr>
            </w:pPr>
            <w:r>
              <w:rPr>
                <w:rFonts w:ascii="Arial" w:cs="Arial" w:eastAsia="Arial" w:hAnsi="Arial"/>
                <w:sz w:val="17"/>
                <w:szCs w:val="17"/>
                <w:b w:val="1"/>
                <w:bCs w:val="1"/>
                <w:color w:val="auto"/>
              </w:rPr>
              <w:t>10%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14"/>
              <w:spacing w:after="0"/>
              <w:rPr>
                <w:sz w:val="20"/>
                <w:szCs w:val="20"/>
                <w:color w:val="auto"/>
              </w:rPr>
            </w:pPr>
            <w:r>
              <w:rPr>
                <w:rFonts w:ascii="Arial" w:cs="Arial" w:eastAsia="Arial" w:hAnsi="Arial"/>
                <w:sz w:val="17"/>
                <w:szCs w:val="17"/>
                <w:b w:val="1"/>
                <w:bCs w:val="1"/>
                <w:color w:val="auto"/>
              </w:rPr>
              <w:t>20%</w:t>
            </w:r>
          </w:p>
        </w:tc>
      </w:tr>
      <w:tr>
        <w:trPr>
          <w:trHeight w:val="213"/>
        </w:trPr>
        <w:tc>
          <w:tcPr>
            <w:tcW w:w="8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Weighted average prepayment speeds</w:t>
            </w: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(58,012)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(113,093)</w:t>
            </w:r>
          </w:p>
        </w:tc>
      </w:tr>
      <w:tr>
        <w:trPr>
          <w:trHeight w:val="220"/>
        </w:trPr>
        <w:tc>
          <w:tcPr>
            <w:tcW w:w="8000" w:type="dxa"/>
            <w:vAlign w:val="bottom"/>
          </w:tcPr>
          <w:p>
            <w:pPr>
              <w:ind w:left="20"/>
              <w:spacing w:after="0"/>
              <w:rPr>
                <w:sz w:val="20"/>
                <w:szCs w:val="20"/>
                <w:color w:val="auto"/>
              </w:rPr>
            </w:pPr>
            <w:r>
              <w:rPr>
                <w:rFonts w:ascii="Arial" w:cs="Arial" w:eastAsia="Arial" w:hAnsi="Arial"/>
                <w:sz w:val="17"/>
                <w:szCs w:val="17"/>
                <w:color w:val="auto"/>
              </w:rPr>
              <w:t>Weighted average discount rate</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(63,752)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(122,853)</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Financing Liabilities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HMBS-Related Borrowings</w:t>
      </w:r>
    </w:p>
    <w:p>
      <w:pPr>
        <w:spacing w:after="0" w:line="115" w:lineRule="exact"/>
        <w:rPr>
          <w:sz w:val="20"/>
          <w:szCs w:val="20"/>
          <w:color w:val="auto"/>
        </w:rPr>
      </w:pPr>
    </w:p>
    <w:p>
      <w:pPr>
        <w:ind w:right="680"/>
        <w:spacing w:after="0" w:line="283" w:lineRule="auto"/>
        <w:rPr>
          <w:sz w:val="20"/>
          <w:szCs w:val="20"/>
          <w:color w:val="auto"/>
        </w:rPr>
      </w:pPr>
      <w:r>
        <w:rPr>
          <w:rFonts w:ascii="Arial" w:cs="Arial" w:eastAsia="Arial" w:hAnsi="Arial"/>
          <w:sz w:val="17"/>
          <w:szCs w:val="17"/>
          <w:color w:val="auto"/>
        </w:rPr>
        <w:t>HMBS-related borrowings are carried at fair value and classified as Level 3 within the valuation hierarchy. These borrowings are not actively traded, and therefore, quoted market prices are not available.</w:t>
      </w:r>
    </w:p>
    <w:p>
      <w:pPr>
        <w:spacing w:after="0" w:line="56" w:lineRule="exact"/>
        <w:rPr>
          <w:sz w:val="20"/>
          <w:szCs w:val="20"/>
          <w:color w:val="auto"/>
        </w:rPr>
      </w:pPr>
    </w:p>
    <w:p>
      <w:pPr>
        <w:spacing w:after="0" w:line="283" w:lineRule="auto"/>
        <w:rPr>
          <w:sz w:val="20"/>
          <w:szCs w:val="20"/>
          <w:color w:val="auto"/>
        </w:rPr>
      </w:pPr>
      <w:r>
        <w:rPr>
          <w:rFonts w:ascii="Arial" w:cs="Arial" w:eastAsia="Arial" w:hAnsi="Arial"/>
          <w:sz w:val="17"/>
          <w:szCs w:val="17"/>
          <w:color w:val="auto"/>
        </w:rPr>
        <w:t>Significant unobservable assumptions include yield spread and discount rate. The yield spread and discount rate assumption for these liabilities are primarily based on an assessment of current market yields for newly issued HMBS, expected duration and current market interest rates.</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68" w:right="339" w:bottom="1440" w:gutter="0" w:footer="0" w:header="0"/>
        </w:sectPr>
      </w:pPr>
    </w:p>
    <w:bookmarkStart w:id="21" w:name="page22"/>
    <w:bookmarkEnd w:id="21"/>
    <w:tbl>
      <w:tblPr>
        <w:tblLayout w:type="fixed"/>
        <w:tblInd w:w="20" w:type="dxa"/>
        <w:tblCellMar>
          <w:top w:w="0" w:type="dxa"/>
          <w:left w:w="0" w:type="dxa"/>
          <w:bottom w:w="0" w:type="dxa"/>
          <w:right w:w="0" w:type="dxa"/>
        </w:tblCellMar>
      </w:tblPr>
      <w:tr>
        <w:trPr>
          <w:trHeight w:val="195"/>
        </w:trPr>
        <w:tc>
          <w:tcPr>
            <w:tcW w:w="782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Significant unobservable assumptions</w:t>
            </w:r>
          </w:p>
        </w:tc>
        <w:tc>
          <w:tcPr>
            <w:tcW w:w="1740" w:type="dxa"/>
            <w:vAlign w:val="bottom"/>
            <w:gridSpan w:val="2"/>
          </w:tcPr>
          <w:p>
            <w:pPr>
              <w:ind w:left="500"/>
              <w:spacing w:after="0"/>
              <w:rPr>
                <w:sz w:val="20"/>
                <w:szCs w:val="20"/>
                <w:color w:val="auto"/>
              </w:rPr>
            </w:pPr>
            <w:r>
              <w:rPr>
                <w:rFonts w:ascii="Arial" w:cs="Arial" w:eastAsia="Arial" w:hAnsi="Arial"/>
                <w:sz w:val="17"/>
                <w:szCs w:val="17"/>
                <w:b w:val="1"/>
                <w:bCs w:val="1"/>
                <w:color w:val="auto"/>
              </w:rPr>
              <w:t>June 30,</w:t>
            </w:r>
          </w:p>
        </w:tc>
        <w:tc>
          <w:tcPr>
            <w:tcW w:w="1660" w:type="dxa"/>
            <w:vAlign w:val="bottom"/>
          </w:tcPr>
          <w:p>
            <w:pPr>
              <w:jc w:val="right"/>
              <w:ind w:right="254"/>
              <w:spacing w:after="0"/>
              <w:rPr>
                <w:sz w:val="20"/>
                <w:szCs w:val="20"/>
                <w:color w:val="auto"/>
              </w:rPr>
            </w:pPr>
            <w:r>
              <w:rPr>
                <w:rFonts w:ascii="Arial" w:cs="Arial" w:eastAsia="Arial" w:hAnsi="Arial"/>
                <w:sz w:val="17"/>
                <w:szCs w:val="17"/>
                <w:b w:val="1"/>
                <w:bCs w:val="1"/>
                <w:color w:val="auto"/>
              </w:rPr>
              <w:t>December 31,</w:t>
            </w:r>
          </w:p>
        </w:tc>
        <w:tc>
          <w:tcPr>
            <w:tcW w:w="0" w:type="dxa"/>
            <w:vAlign w:val="bottom"/>
          </w:tcPr>
          <w:p>
            <w:pPr>
              <w:spacing w:after="0"/>
              <w:rPr>
                <w:sz w:val="1"/>
                <w:szCs w:val="1"/>
                <w:color w:val="auto"/>
              </w:rPr>
            </w:pPr>
          </w:p>
        </w:tc>
      </w:tr>
      <w:tr>
        <w:trPr>
          <w:trHeight w:val="220"/>
        </w:trPr>
        <w:tc>
          <w:tcPr>
            <w:tcW w:w="7820" w:type="dxa"/>
            <w:vAlign w:val="bottom"/>
            <w:tcBorders>
              <w:bottom w:val="single" w:sz="8" w:color="CCEEFF"/>
            </w:tcBorders>
            <w:vMerge w:val="continue"/>
          </w:tcPr>
          <w:p>
            <w:pPr>
              <w:spacing w:after="0"/>
              <w:rPr>
                <w:sz w:val="19"/>
                <w:szCs w:val="19"/>
                <w:color w:val="auto"/>
              </w:rPr>
            </w:pPr>
          </w:p>
        </w:tc>
        <w:tc>
          <w:tcPr>
            <w:tcW w:w="1640" w:type="dxa"/>
            <w:vAlign w:val="bottom"/>
            <w:tcBorders>
              <w:bottom w:val="single" w:sz="8" w:color="auto"/>
            </w:tcBorders>
          </w:tcPr>
          <w:p>
            <w:pPr>
              <w:jc w:val="right"/>
              <w:ind w:right="574"/>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bottom w:val="single" w:sz="8" w:color="CCEEFF"/>
            </w:tcBorders>
          </w:tcPr>
          <w:p>
            <w:pPr>
              <w:spacing w:after="0"/>
              <w:rPr>
                <w:sz w:val="19"/>
                <w:szCs w:val="19"/>
                <w:color w:val="auto"/>
              </w:rPr>
            </w:pPr>
          </w:p>
        </w:tc>
        <w:tc>
          <w:tcPr>
            <w:tcW w:w="1660" w:type="dxa"/>
            <w:vAlign w:val="bottom"/>
            <w:tcBorders>
              <w:bottom w:val="single" w:sz="8" w:color="auto"/>
            </w:tcBorders>
          </w:tcPr>
          <w:p>
            <w:pPr>
              <w:jc w:val="right"/>
              <w:ind w:right="574"/>
              <w:spacing w:after="0"/>
              <w:rPr>
                <w:sz w:val="20"/>
                <w:szCs w:val="20"/>
                <w:color w:val="auto"/>
              </w:rPr>
            </w:pPr>
            <w:r>
              <w:rPr>
                <w:rFonts w:ascii="Arial" w:cs="Arial" w:eastAsia="Arial" w:hAnsi="Arial"/>
                <w:sz w:val="17"/>
                <w:szCs w:val="17"/>
                <w:b w:val="1"/>
                <w:bCs w:val="1"/>
                <w:color w:val="auto"/>
              </w:rPr>
              <w:t>2021</w:t>
            </w:r>
          </w:p>
        </w:tc>
        <w:tc>
          <w:tcPr>
            <w:tcW w:w="0" w:type="dxa"/>
            <w:vAlign w:val="bottom"/>
          </w:tcPr>
          <w:p>
            <w:pPr>
              <w:spacing w:after="0"/>
              <w:rPr>
                <w:sz w:val="1"/>
                <w:szCs w:val="1"/>
                <w:color w:val="auto"/>
              </w:rPr>
            </w:pPr>
          </w:p>
        </w:tc>
      </w:tr>
      <w:tr>
        <w:trPr>
          <w:trHeight w:val="200"/>
        </w:trPr>
        <w:tc>
          <w:tcPr>
            <w:tcW w:w="78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Life in years</w:t>
            </w:r>
          </w:p>
        </w:tc>
        <w:tc>
          <w:tcPr>
            <w:tcW w:w="1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7820" w:type="dxa"/>
            <w:vAlign w:val="bottom"/>
          </w:tcPr>
          <w:p>
            <w:pPr>
              <w:ind w:left="220"/>
              <w:spacing w:after="0"/>
              <w:rPr>
                <w:sz w:val="20"/>
                <w:szCs w:val="20"/>
                <w:color w:val="auto"/>
              </w:rPr>
            </w:pPr>
            <w:r>
              <w:rPr>
                <w:rFonts w:ascii="Arial" w:cs="Arial" w:eastAsia="Arial" w:hAnsi="Arial"/>
                <w:sz w:val="17"/>
                <w:szCs w:val="17"/>
                <w:color w:val="auto"/>
              </w:rPr>
              <w:t>Range</w:t>
            </w:r>
          </w:p>
        </w:tc>
        <w:tc>
          <w:tcPr>
            <w:tcW w:w="1740" w:type="dxa"/>
            <w:vAlign w:val="bottom"/>
            <w:gridSpan w:val="2"/>
          </w:tcPr>
          <w:p>
            <w:pPr>
              <w:jc w:val="right"/>
              <w:ind w:right="120"/>
              <w:spacing w:after="0"/>
              <w:rPr>
                <w:sz w:val="20"/>
                <w:szCs w:val="20"/>
                <w:color w:val="auto"/>
              </w:rPr>
            </w:pPr>
            <w:r>
              <w:rPr>
                <w:rFonts w:ascii="Arial" w:cs="Arial" w:eastAsia="Arial" w:hAnsi="Arial"/>
                <w:sz w:val="17"/>
                <w:szCs w:val="17"/>
                <w:color w:val="auto"/>
              </w:rPr>
              <w:t>1.1 to 9.5</w:t>
            </w:r>
          </w:p>
        </w:tc>
        <w:tc>
          <w:tcPr>
            <w:tcW w:w="1660" w:type="dxa"/>
            <w:vAlign w:val="bottom"/>
          </w:tcPr>
          <w:p>
            <w:pPr>
              <w:jc w:val="right"/>
              <w:spacing w:after="0"/>
              <w:rPr>
                <w:sz w:val="20"/>
                <w:szCs w:val="20"/>
                <w:color w:val="auto"/>
              </w:rPr>
            </w:pPr>
            <w:r>
              <w:rPr>
                <w:rFonts w:ascii="Arial" w:cs="Arial" w:eastAsia="Arial" w:hAnsi="Arial"/>
                <w:sz w:val="17"/>
                <w:szCs w:val="17"/>
                <w:color w:val="auto"/>
              </w:rPr>
              <w:t>1.0 to 8.2</w:t>
            </w:r>
          </w:p>
        </w:tc>
        <w:tc>
          <w:tcPr>
            <w:tcW w:w="0" w:type="dxa"/>
            <w:vAlign w:val="bottom"/>
          </w:tcPr>
          <w:p>
            <w:pPr>
              <w:spacing w:after="0"/>
              <w:rPr>
                <w:sz w:val="1"/>
                <w:szCs w:val="1"/>
                <w:color w:val="auto"/>
              </w:rPr>
            </w:pPr>
          </w:p>
        </w:tc>
      </w:tr>
      <w:tr>
        <w:trPr>
          <w:trHeight w:val="220"/>
        </w:trPr>
        <w:tc>
          <w:tcPr>
            <w:tcW w:w="78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Weighted average</w:t>
            </w: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5.7</w:t>
            </w:r>
          </w:p>
        </w:tc>
        <w:tc>
          <w:tcPr>
            <w:tcW w:w="0" w:type="dxa"/>
            <w:vAlign w:val="bottom"/>
          </w:tcPr>
          <w:p>
            <w:pPr>
              <w:spacing w:after="0"/>
              <w:rPr>
                <w:sz w:val="1"/>
                <w:szCs w:val="1"/>
                <w:color w:val="auto"/>
              </w:rPr>
            </w:pPr>
          </w:p>
        </w:tc>
      </w:tr>
      <w:tr>
        <w:trPr>
          <w:trHeight w:val="220"/>
        </w:trPr>
        <w:tc>
          <w:tcPr>
            <w:tcW w:w="7820" w:type="dxa"/>
            <w:vAlign w:val="bottom"/>
          </w:tcPr>
          <w:p>
            <w:pPr>
              <w:ind w:left="140"/>
              <w:spacing w:after="0"/>
              <w:rPr>
                <w:sz w:val="20"/>
                <w:szCs w:val="20"/>
                <w:color w:val="auto"/>
              </w:rPr>
            </w:pPr>
            <w:r>
              <w:rPr>
                <w:rFonts w:ascii="Arial" w:cs="Arial" w:eastAsia="Arial" w:hAnsi="Arial"/>
                <w:sz w:val="17"/>
                <w:szCs w:val="17"/>
                <w:color w:val="auto"/>
              </w:rPr>
              <w:t>Conditional prepayment rate</w:t>
            </w: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8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Range</w:t>
            </w:r>
          </w:p>
        </w:tc>
        <w:tc>
          <w:tcPr>
            <w:tcW w:w="17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11.9% to 47.0%</w:t>
            </w: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 to 36.6%</w:t>
            </w:r>
          </w:p>
        </w:tc>
        <w:tc>
          <w:tcPr>
            <w:tcW w:w="0" w:type="dxa"/>
            <w:vAlign w:val="bottom"/>
          </w:tcPr>
          <w:p>
            <w:pPr>
              <w:spacing w:after="0"/>
              <w:rPr>
                <w:sz w:val="1"/>
                <w:szCs w:val="1"/>
                <w:color w:val="auto"/>
              </w:rPr>
            </w:pPr>
          </w:p>
        </w:tc>
      </w:tr>
      <w:tr>
        <w:trPr>
          <w:trHeight w:val="220"/>
        </w:trPr>
        <w:tc>
          <w:tcPr>
            <w:tcW w:w="7820" w:type="dxa"/>
            <w:vAlign w:val="bottom"/>
          </w:tcPr>
          <w:p>
            <w:pPr>
              <w:ind w:left="220"/>
              <w:spacing w:after="0"/>
              <w:rPr>
                <w:sz w:val="20"/>
                <w:szCs w:val="20"/>
                <w:color w:val="auto"/>
              </w:rPr>
            </w:pPr>
            <w:r>
              <w:rPr>
                <w:rFonts w:ascii="Arial" w:cs="Arial" w:eastAsia="Arial" w:hAnsi="Arial"/>
                <w:sz w:val="17"/>
                <w:szCs w:val="17"/>
                <w:color w:val="auto"/>
              </w:rPr>
              <w:t>Weighted average</w:t>
            </w:r>
          </w:p>
        </w:tc>
        <w:tc>
          <w:tcPr>
            <w:tcW w:w="1640" w:type="dxa"/>
            <w:vAlign w:val="bottom"/>
          </w:tcPr>
          <w:p>
            <w:pPr>
              <w:jc w:val="right"/>
              <w:spacing w:after="0"/>
              <w:rPr>
                <w:sz w:val="20"/>
                <w:szCs w:val="20"/>
                <w:color w:val="auto"/>
              </w:rPr>
            </w:pPr>
            <w:r>
              <w:rPr>
                <w:rFonts w:ascii="Arial" w:cs="Arial" w:eastAsia="Arial" w:hAnsi="Arial"/>
                <w:sz w:val="17"/>
                <w:szCs w:val="17"/>
                <w:color w:val="auto"/>
              </w:rPr>
              <w:t>17.3 %</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7"/>
                <w:szCs w:val="17"/>
                <w:color w:val="auto"/>
              </w:rPr>
              <w:t>16.0 %</w:t>
            </w:r>
          </w:p>
        </w:tc>
        <w:tc>
          <w:tcPr>
            <w:tcW w:w="0" w:type="dxa"/>
            <w:vAlign w:val="bottom"/>
          </w:tcPr>
          <w:p>
            <w:pPr>
              <w:spacing w:after="0"/>
              <w:rPr>
                <w:sz w:val="1"/>
                <w:szCs w:val="1"/>
                <w:color w:val="auto"/>
              </w:rPr>
            </w:pPr>
          </w:p>
        </w:tc>
      </w:tr>
      <w:tr>
        <w:trPr>
          <w:trHeight w:val="220"/>
        </w:trPr>
        <w:tc>
          <w:tcPr>
            <w:tcW w:w="78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Discount rate</w:t>
            </w: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4.2 %</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2.5 %</w:t>
            </w:r>
          </w:p>
        </w:tc>
        <w:tc>
          <w:tcPr>
            <w:tcW w:w="0" w:type="dxa"/>
            <w:vAlign w:val="bottom"/>
          </w:tcPr>
          <w:p>
            <w:pPr>
              <w:spacing w:after="0"/>
              <w:rPr>
                <w:sz w:val="1"/>
                <w:szCs w:val="1"/>
                <w:color w:val="auto"/>
              </w:rPr>
            </w:pPr>
          </w:p>
        </w:tc>
      </w:tr>
    </w:tbl>
    <w:p>
      <w:pPr>
        <w:spacing w:after="0" w:line="168" w:lineRule="exact"/>
        <w:rPr>
          <w:sz w:val="20"/>
          <w:szCs w:val="20"/>
          <w:color w:val="auto"/>
        </w:rPr>
      </w:pPr>
    </w:p>
    <w:p>
      <w:pPr>
        <w:ind w:right="360"/>
        <w:spacing w:after="0" w:line="268" w:lineRule="auto"/>
        <w:rPr>
          <w:sz w:val="20"/>
          <w:szCs w:val="20"/>
          <w:color w:val="auto"/>
        </w:rPr>
      </w:pPr>
      <w:r>
        <w:rPr>
          <w:rFonts w:ascii="Arial" w:cs="Arial" w:eastAsia="Arial" w:hAnsi="Arial"/>
          <w:sz w:val="17"/>
          <w:szCs w:val="17"/>
          <w:color w:val="auto"/>
        </w:rPr>
        <w:t>Significant increases or decreases in any of these assumptions in isolation could result in a significantly higher or lower fair value, respectively. The effects of changes in the assumptions used to value the HMBS-related borrowings are partially offset by the effects of changes in the assumptions used to value the associated pledged loans held for investment, excluding future draw commitments.</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Pledged MSR Liabilities</w:t>
      </w:r>
    </w:p>
    <w:p>
      <w:pPr>
        <w:spacing w:after="0" w:line="115" w:lineRule="exact"/>
        <w:rPr>
          <w:sz w:val="20"/>
          <w:szCs w:val="20"/>
          <w:color w:val="auto"/>
        </w:rPr>
      </w:pPr>
    </w:p>
    <w:p>
      <w:pPr>
        <w:ind w:right="100"/>
        <w:spacing w:after="0" w:line="315" w:lineRule="auto"/>
        <w:rPr>
          <w:sz w:val="20"/>
          <w:szCs w:val="20"/>
          <w:color w:val="auto"/>
        </w:rPr>
      </w:pPr>
      <w:r>
        <w:rPr>
          <w:rFonts w:ascii="Arial" w:cs="Arial" w:eastAsia="Arial" w:hAnsi="Arial"/>
          <w:sz w:val="16"/>
          <w:szCs w:val="16"/>
          <w:color w:val="auto"/>
        </w:rPr>
        <w:t>Pledged MSR liabilities are carried at fair value and classified as Level 3 within the valuation hierarchy. We determine the fair value of the pledged MSR liability consistent with the mid-point of the range of prices provided by third-party valuation experts for the related MSR, considering retained cash flows.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80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Significant unobservable assumptions</w:t>
            </w:r>
          </w:p>
        </w:tc>
        <w:tc>
          <w:tcPr>
            <w:tcW w:w="1140" w:type="dxa"/>
            <w:vAlign w:val="bottom"/>
          </w:tcPr>
          <w:p>
            <w:pPr>
              <w:jc w:val="center"/>
              <w:ind w:left="434"/>
              <w:spacing w:after="0"/>
              <w:rPr>
                <w:sz w:val="20"/>
                <w:szCs w:val="20"/>
                <w:color w:val="auto"/>
              </w:rPr>
            </w:pPr>
            <w:r>
              <w:rPr>
                <w:rFonts w:ascii="Arial" w:cs="Arial" w:eastAsia="Arial" w:hAnsi="Arial"/>
                <w:sz w:val="17"/>
                <w:szCs w:val="17"/>
                <w:b w:val="1"/>
                <w:bCs w:val="1"/>
                <w:color w:val="auto"/>
                <w:w w:val="91"/>
              </w:rPr>
              <w:t>June 30,</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tcPr>
          <w:p>
            <w:pPr>
              <w:jc w:val="right"/>
              <w:ind w:right="234"/>
              <w:spacing w:after="0"/>
              <w:rPr>
                <w:sz w:val="20"/>
                <w:szCs w:val="20"/>
                <w:color w:val="auto"/>
              </w:rPr>
            </w:pPr>
            <w:r>
              <w:rPr>
                <w:rFonts w:ascii="Arial" w:cs="Arial" w:eastAsia="Arial" w:hAnsi="Arial"/>
                <w:sz w:val="17"/>
                <w:szCs w:val="17"/>
                <w:b w:val="1"/>
                <w:bCs w:val="1"/>
                <w:color w:val="auto"/>
                <w:w w:val="99"/>
              </w:rPr>
              <w:t>December 31,</w:t>
            </w:r>
          </w:p>
        </w:tc>
        <w:tc>
          <w:tcPr>
            <w:tcW w:w="0" w:type="dxa"/>
            <w:vAlign w:val="bottom"/>
          </w:tcPr>
          <w:p>
            <w:pPr>
              <w:spacing w:after="0"/>
              <w:rPr>
                <w:sz w:val="1"/>
                <w:szCs w:val="1"/>
                <w:color w:val="auto"/>
              </w:rPr>
            </w:pPr>
          </w:p>
        </w:tc>
      </w:tr>
      <w:tr>
        <w:trPr>
          <w:trHeight w:val="220"/>
        </w:trPr>
        <w:tc>
          <w:tcPr>
            <w:tcW w:w="7800" w:type="dxa"/>
            <w:vAlign w:val="bottom"/>
            <w:tcBorders>
              <w:bottom w:val="single" w:sz="8" w:color="CCEEFF"/>
            </w:tcBorders>
            <w:vMerge w:val="continue"/>
          </w:tcPr>
          <w:p>
            <w:pPr>
              <w:spacing w:after="0"/>
              <w:rPr>
                <w:sz w:val="19"/>
                <w:szCs w:val="19"/>
                <w:color w:val="auto"/>
              </w:rPr>
            </w:pPr>
          </w:p>
        </w:tc>
        <w:tc>
          <w:tcPr>
            <w:tcW w:w="11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b w:val="1"/>
                <w:bCs w:val="1"/>
                <w:color w:val="auto"/>
              </w:rPr>
              <w:t>2022</w:t>
            </w:r>
          </w:p>
        </w:tc>
        <w:tc>
          <w:tcPr>
            <w:tcW w:w="5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54"/>
              <w:spacing w:after="0"/>
              <w:rPr>
                <w:sz w:val="20"/>
                <w:szCs w:val="20"/>
                <w:color w:val="auto"/>
              </w:rPr>
            </w:pPr>
            <w:r>
              <w:rPr>
                <w:rFonts w:ascii="Arial" w:cs="Arial" w:eastAsia="Arial" w:hAnsi="Arial"/>
                <w:sz w:val="17"/>
                <w:szCs w:val="17"/>
                <w:b w:val="1"/>
                <w:bCs w:val="1"/>
                <w:color w:val="auto"/>
              </w:rPr>
              <w:t>2021</w:t>
            </w:r>
          </w:p>
        </w:tc>
        <w:tc>
          <w:tcPr>
            <w:tcW w:w="0" w:type="dxa"/>
            <w:vAlign w:val="bottom"/>
          </w:tcPr>
          <w:p>
            <w:pPr>
              <w:spacing w:after="0"/>
              <w:rPr>
                <w:sz w:val="1"/>
                <w:szCs w:val="1"/>
                <w:color w:val="auto"/>
              </w:rPr>
            </w:pPr>
          </w:p>
        </w:tc>
      </w:tr>
      <w:tr>
        <w:trPr>
          <w:trHeight w:val="213"/>
        </w:trPr>
        <w:tc>
          <w:tcPr>
            <w:tcW w:w="78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Weighted average prepayment speed</w:t>
            </w:r>
          </w:p>
        </w:tc>
        <w:tc>
          <w:tcPr>
            <w:tcW w:w="1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0"/>
              </w:rPr>
              <w:t>10.2 %</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10.9 %</w:t>
            </w:r>
          </w:p>
        </w:tc>
        <w:tc>
          <w:tcPr>
            <w:tcW w:w="0" w:type="dxa"/>
            <w:vAlign w:val="bottom"/>
          </w:tcPr>
          <w:p>
            <w:pPr>
              <w:spacing w:after="0"/>
              <w:rPr>
                <w:sz w:val="1"/>
                <w:szCs w:val="1"/>
                <w:color w:val="auto"/>
              </w:rPr>
            </w:pPr>
          </w:p>
        </w:tc>
      </w:tr>
      <w:tr>
        <w:trPr>
          <w:trHeight w:val="220"/>
        </w:trPr>
        <w:tc>
          <w:tcPr>
            <w:tcW w:w="7800" w:type="dxa"/>
            <w:vAlign w:val="bottom"/>
          </w:tcPr>
          <w:p>
            <w:pPr>
              <w:ind w:left="140"/>
              <w:spacing w:after="0"/>
              <w:rPr>
                <w:sz w:val="20"/>
                <w:szCs w:val="20"/>
                <w:color w:val="auto"/>
              </w:rPr>
            </w:pPr>
            <w:r>
              <w:rPr>
                <w:rFonts w:ascii="Arial" w:cs="Arial" w:eastAsia="Arial" w:hAnsi="Arial"/>
                <w:sz w:val="17"/>
                <w:szCs w:val="17"/>
                <w:color w:val="auto"/>
              </w:rPr>
              <w:t>Weighted average delinquency rate</w:t>
            </w:r>
          </w:p>
        </w:tc>
        <w:tc>
          <w:tcPr>
            <w:tcW w:w="11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7.4 %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8.8 %</w:t>
            </w:r>
          </w:p>
        </w:tc>
        <w:tc>
          <w:tcPr>
            <w:tcW w:w="0" w:type="dxa"/>
            <w:vAlign w:val="bottom"/>
          </w:tcPr>
          <w:p>
            <w:pPr>
              <w:spacing w:after="0"/>
              <w:rPr>
                <w:sz w:val="1"/>
                <w:szCs w:val="1"/>
                <w:color w:val="auto"/>
              </w:rPr>
            </w:pPr>
          </w:p>
        </w:tc>
      </w:tr>
      <w:tr>
        <w:trPr>
          <w:trHeight w:val="220"/>
        </w:trPr>
        <w:tc>
          <w:tcPr>
            <w:tcW w:w="78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Weighted average discount rate</w:t>
            </w:r>
          </w:p>
        </w:tc>
        <w:tc>
          <w:tcPr>
            <w:tcW w:w="11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0"/>
              </w:rPr>
              <w:t>10.0 %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10.5 %</w:t>
            </w:r>
          </w:p>
        </w:tc>
        <w:tc>
          <w:tcPr>
            <w:tcW w:w="0" w:type="dxa"/>
            <w:vAlign w:val="bottom"/>
          </w:tcPr>
          <w:p>
            <w:pPr>
              <w:spacing w:after="0"/>
              <w:rPr>
                <w:sz w:val="1"/>
                <w:szCs w:val="1"/>
                <w:color w:val="auto"/>
              </w:rPr>
            </w:pPr>
          </w:p>
        </w:tc>
      </w:tr>
      <w:tr>
        <w:trPr>
          <w:trHeight w:val="220"/>
        </w:trPr>
        <w:tc>
          <w:tcPr>
            <w:tcW w:w="7800" w:type="dxa"/>
            <w:vAlign w:val="bottom"/>
          </w:tcPr>
          <w:p>
            <w:pPr>
              <w:ind w:left="140"/>
              <w:spacing w:after="0"/>
              <w:rPr>
                <w:sz w:val="20"/>
                <w:szCs w:val="20"/>
                <w:color w:val="auto"/>
              </w:rPr>
            </w:pPr>
            <w:r>
              <w:rPr>
                <w:rFonts w:ascii="Arial" w:cs="Arial" w:eastAsia="Arial" w:hAnsi="Arial"/>
                <w:sz w:val="17"/>
                <w:szCs w:val="17"/>
                <w:color w:val="auto"/>
              </w:rPr>
              <w:t>Weighted average cost to service (in dollars)</w:t>
            </w:r>
          </w:p>
        </w:tc>
        <w:tc>
          <w:tcPr>
            <w:tcW w:w="1140" w:type="dxa"/>
            <w:vAlign w:val="bottom"/>
          </w:tcPr>
          <w:p>
            <w:pPr>
              <w:jc w:val="right"/>
              <w:ind w:right="934"/>
              <w:spacing w:after="0"/>
              <w:rPr>
                <w:sz w:val="20"/>
                <w:szCs w:val="20"/>
                <w:color w:val="auto"/>
              </w:rPr>
            </w:pPr>
            <w:r>
              <w:rPr>
                <w:rFonts w:ascii="Arial" w:cs="Arial" w:eastAsia="Arial" w:hAnsi="Arial"/>
                <w:sz w:val="17"/>
                <w:szCs w:val="17"/>
                <w:color w:val="auto"/>
              </w:rPr>
              <w:t>$</w:t>
            </w:r>
          </w:p>
        </w:tc>
        <w:tc>
          <w:tcPr>
            <w:tcW w:w="500" w:type="dxa"/>
            <w:vAlign w:val="bottom"/>
          </w:tcPr>
          <w:p>
            <w:pPr>
              <w:jc w:val="right"/>
              <w:ind w:right="114"/>
              <w:spacing w:after="0"/>
              <w:rPr>
                <w:sz w:val="20"/>
                <w:szCs w:val="20"/>
                <w:color w:val="auto"/>
              </w:rPr>
            </w:pPr>
            <w:r>
              <w:rPr>
                <w:rFonts w:ascii="Arial" w:cs="Arial" w:eastAsia="Arial" w:hAnsi="Arial"/>
                <w:sz w:val="17"/>
                <w:szCs w:val="17"/>
                <w:color w:val="auto"/>
                <w:w w:val="98"/>
              </w:rPr>
              <w:t>171</w:t>
            </w:r>
          </w:p>
        </w:tc>
        <w:tc>
          <w:tcPr>
            <w:tcW w:w="12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440" w:type="dxa"/>
            <w:vAlign w:val="bottom"/>
          </w:tcPr>
          <w:p>
            <w:pPr>
              <w:jc w:val="right"/>
              <w:ind w:right="114"/>
              <w:spacing w:after="0"/>
              <w:rPr>
                <w:sz w:val="20"/>
                <w:szCs w:val="20"/>
                <w:color w:val="auto"/>
              </w:rPr>
            </w:pPr>
            <w:r>
              <w:rPr>
                <w:rFonts w:ascii="Arial" w:cs="Arial" w:eastAsia="Arial" w:hAnsi="Arial"/>
                <w:sz w:val="17"/>
                <w:szCs w:val="17"/>
                <w:color w:val="auto"/>
              </w:rPr>
              <w:t>182</w:t>
            </w:r>
          </w:p>
        </w:tc>
        <w:tc>
          <w:tcPr>
            <w:tcW w:w="0" w:type="dxa"/>
            <w:vAlign w:val="bottom"/>
          </w:tcPr>
          <w:p>
            <w:pPr>
              <w:spacing w:after="0"/>
              <w:rPr>
                <w:sz w:val="1"/>
                <w:szCs w:val="1"/>
                <w:color w:val="auto"/>
              </w:rPr>
            </w:pPr>
          </w:p>
        </w:tc>
      </w:tr>
    </w:tbl>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Significant increases or decreases in these assumptions in isolation would result in a significantly higher or lower fair value.</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Derivative Financial Instruments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IRLCs are classified as Level 3 assets as fallout rates were determined to be significant unobservable assumptions.</w:t>
      </w:r>
    </w:p>
    <w:p>
      <w:pPr>
        <w:spacing w:after="0" w:line="200" w:lineRule="exact"/>
        <w:rPr>
          <w:sz w:val="20"/>
          <w:szCs w:val="20"/>
          <w:color w:val="auto"/>
        </w:rPr>
      </w:pPr>
    </w:p>
    <w:p>
      <w:pPr>
        <w:spacing w:after="0" w:line="283"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Note 4 – Loans Held for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84455</wp:posOffset>
            </wp:positionV>
            <wp:extent cx="712152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980" w:type="dxa"/>
            <w:vAlign w:val="bottom"/>
            <w:gridSpan w:val="5"/>
          </w:tcPr>
          <w:p>
            <w:pPr>
              <w:ind w:left="180"/>
              <w:spacing w:after="0"/>
              <w:rPr>
                <w:sz w:val="20"/>
                <w:szCs w:val="20"/>
                <w:color w:val="auto"/>
              </w:rPr>
            </w:pPr>
            <w:r>
              <w:rPr>
                <w:rFonts w:ascii="Arial" w:cs="Arial" w:eastAsia="Arial" w:hAnsi="Arial"/>
                <w:sz w:val="17"/>
                <w:szCs w:val="17"/>
                <w:b w:val="1"/>
                <w:bCs w:val="1"/>
                <w:color w:val="auto"/>
              </w:rPr>
              <w:t>Three Months Ended June 30,</w:t>
            </w:r>
          </w:p>
        </w:tc>
        <w:tc>
          <w:tcPr>
            <w:tcW w:w="320" w:type="dxa"/>
            <w:vAlign w:val="bottom"/>
          </w:tcPr>
          <w:p>
            <w:pPr>
              <w:spacing w:after="0"/>
              <w:rPr>
                <w:sz w:val="19"/>
                <w:szCs w:val="19"/>
                <w:color w:val="auto"/>
              </w:rPr>
            </w:pPr>
          </w:p>
        </w:tc>
        <w:tc>
          <w:tcPr>
            <w:tcW w:w="2820" w:type="dxa"/>
            <w:vAlign w:val="bottom"/>
            <w:gridSpan w:val="4"/>
          </w:tcPr>
          <w:p>
            <w:pPr>
              <w:jc w:val="right"/>
              <w:ind w:right="474"/>
              <w:spacing w:after="0"/>
              <w:rPr>
                <w:sz w:val="20"/>
                <w:szCs w:val="20"/>
                <w:color w:val="auto"/>
              </w:rPr>
            </w:pPr>
            <w:r>
              <w:rPr>
                <w:rFonts w:ascii="Arial" w:cs="Arial" w:eastAsia="Arial" w:hAnsi="Arial"/>
                <w:sz w:val="17"/>
                <w:szCs w:val="17"/>
                <w:b w:val="1"/>
                <w:bCs w:val="1"/>
                <w:color w:val="auto"/>
              </w:rPr>
              <w:t>Six Months Ended June 30,</w:t>
            </w:r>
          </w:p>
        </w:tc>
      </w:tr>
      <w:tr>
        <w:trPr>
          <w:trHeight w:val="225"/>
        </w:trPr>
        <w:tc>
          <w:tcPr>
            <w:tcW w:w="4840" w:type="dxa"/>
            <w:vAlign w:val="bottom"/>
            <w:tcBorders>
              <w:bottom w:val="single" w:sz="8" w:color="CCEEFF"/>
            </w:tcBorders>
          </w:tcPr>
          <w:p>
            <w:pPr>
              <w:ind w:left="20"/>
              <w:spacing w:after="0"/>
              <w:rPr>
                <w:sz w:val="20"/>
                <w:szCs w:val="20"/>
                <w:color w:val="auto"/>
              </w:rPr>
            </w:pPr>
            <w:r>
              <w:rPr>
                <w:rFonts w:ascii="Arial" w:cs="Arial" w:eastAsia="Arial" w:hAnsi="Arial"/>
                <w:sz w:val="17"/>
                <w:szCs w:val="17"/>
                <w:b w:val="1"/>
                <w:bCs w:val="1"/>
                <w:color w:val="auto"/>
              </w:rPr>
              <w:t>Loans Held for Sale - Fair Value</w:t>
            </w:r>
          </w:p>
        </w:tc>
        <w:tc>
          <w:tcPr>
            <w:tcW w:w="28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7"/>
                <w:szCs w:val="17"/>
                <w:b w:val="1"/>
                <w:bCs w:val="1"/>
                <w:color w:val="auto"/>
              </w:rPr>
              <w:t>2021</w:t>
            </w:r>
          </w:p>
        </w:tc>
        <w:tc>
          <w:tcPr>
            <w:tcW w:w="12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7"/>
                <w:szCs w:val="17"/>
                <w:b w:val="1"/>
                <w:bCs w:val="1"/>
                <w:color w:val="auto"/>
              </w:rPr>
              <w:t>2021</w:t>
            </w:r>
          </w:p>
        </w:tc>
      </w:tr>
      <w:tr>
        <w:trPr>
          <w:trHeight w:val="213"/>
        </w:trPr>
        <w:tc>
          <w:tcPr>
            <w:tcW w:w="48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Beginning balance</w:t>
            </w: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716,024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500,814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917,534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366,364</w:t>
            </w:r>
          </w:p>
        </w:tc>
      </w:tr>
      <w:tr>
        <w:trPr>
          <w:trHeight w:val="220"/>
        </w:trPr>
        <w:tc>
          <w:tcPr>
            <w:tcW w:w="4840" w:type="dxa"/>
            <w:vAlign w:val="bottom"/>
          </w:tcPr>
          <w:p>
            <w:pPr>
              <w:ind w:left="180"/>
              <w:spacing w:after="0"/>
              <w:rPr>
                <w:sz w:val="20"/>
                <w:szCs w:val="20"/>
                <w:color w:val="auto"/>
              </w:rPr>
            </w:pPr>
            <w:r>
              <w:rPr>
                <w:rFonts w:ascii="Arial" w:cs="Arial" w:eastAsia="Arial" w:hAnsi="Arial"/>
                <w:sz w:val="17"/>
                <w:szCs w:val="17"/>
                <w:color w:val="auto"/>
              </w:rPr>
              <w:t>Originations and purchases</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4,681,989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3,286,826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8,154,599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6,620,727</w:t>
            </w:r>
          </w:p>
        </w:tc>
      </w:tr>
      <w:tr>
        <w:trPr>
          <w:trHeight w:val="220"/>
        </w:trPr>
        <w:tc>
          <w:tcPr>
            <w:tcW w:w="48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Proceeds from sales</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(4,603,355)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(3,094,639)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(8,174,218)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(6,263,654)</w:t>
            </w:r>
          </w:p>
        </w:tc>
      </w:tr>
      <w:tr>
        <w:trPr>
          <w:trHeight w:val="220"/>
        </w:trPr>
        <w:tc>
          <w:tcPr>
            <w:tcW w:w="4840" w:type="dxa"/>
            <w:vAlign w:val="bottom"/>
          </w:tcPr>
          <w:p>
            <w:pPr>
              <w:ind w:left="180"/>
              <w:spacing w:after="0"/>
              <w:rPr>
                <w:sz w:val="20"/>
                <w:szCs w:val="20"/>
                <w:color w:val="auto"/>
              </w:rPr>
            </w:pPr>
            <w:r>
              <w:rPr>
                <w:rFonts w:ascii="Arial" w:cs="Arial" w:eastAsia="Arial" w:hAnsi="Arial"/>
                <w:sz w:val="17"/>
                <w:szCs w:val="17"/>
                <w:color w:val="auto"/>
              </w:rPr>
              <w:t>Principal collections</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(65,765)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(11,285)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(95,231)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(16,703)</w:t>
            </w:r>
          </w:p>
        </w:tc>
      </w:tr>
      <w:tr>
        <w:trPr>
          <w:trHeight w:val="220"/>
        </w:trPr>
        <w:tc>
          <w:tcPr>
            <w:tcW w:w="48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Transfers from (to):</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0"/>
        </w:trPr>
        <w:tc>
          <w:tcPr>
            <w:tcW w:w="4840" w:type="dxa"/>
            <w:vAlign w:val="bottom"/>
          </w:tcPr>
          <w:p>
            <w:pPr>
              <w:ind w:left="280"/>
              <w:spacing w:after="0"/>
              <w:rPr>
                <w:sz w:val="20"/>
                <w:szCs w:val="20"/>
                <w:color w:val="auto"/>
              </w:rPr>
            </w:pPr>
            <w:r>
              <w:rPr>
                <w:rFonts w:ascii="Arial" w:cs="Arial" w:eastAsia="Arial" w:hAnsi="Arial"/>
                <w:sz w:val="17"/>
                <w:szCs w:val="17"/>
                <w:color w:val="auto"/>
              </w:rPr>
              <w:t>Loans held for investment, at fair value</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16,492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777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19,630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1,678</w:t>
            </w:r>
          </w:p>
        </w:tc>
      </w:tr>
      <w:tr>
        <w:trPr>
          <w:trHeight w:val="220"/>
        </w:trPr>
        <w:tc>
          <w:tcPr>
            <w:tcW w:w="4840" w:type="dxa"/>
            <w:vAlign w:val="bottom"/>
            <w:shd w:val="clear" w:color="auto" w:fill="CCEEFF"/>
          </w:tcPr>
          <w:p>
            <w:pPr>
              <w:ind w:left="280"/>
              <w:spacing w:after="0"/>
              <w:rPr>
                <w:sz w:val="20"/>
                <w:szCs w:val="20"/>
                <w:color w:val="auto"/>
              </w:rPr>
            </w:pPr>
            <w:r>
              <w:rPr>
                <w:rFonts w:ascii="Arial" w:cs="Arial" w:eastAsia="Arial" w:hAnsi="Arial"/>
                <w:sz w:val="17"/>
                <w:szCs w:val="17"/>
                <w:color w:val="auto"/>
              </w:rPr>
              <w:t>Receivables, net</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32,911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(8,893)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32,211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(17,526)</w:t>
            </w:r>
          </w:p>
        </w:tc>
      </w:tr>
      <w:tr>
        <w:trPr>
          <w:trHeight w:val="220"/>
        </w:trPr>
        <w:tc>
          <w:tcPr>
            <w:tcW w:w="4840" w:type="dxa"/>
            <w:vAlign w:val="bottom"/>
          </w:tcPr>
          <w:p>
            <w:pPr>
              <w:ind w:left="280"/>
              <w:spacing w:after="0"/>
              <w:rPr>
                <w:sz w:val="20"/>
                <w:szCs w:val="20"/>
                <w:color w:val="auto"/>
              </w:rPr>
            </w:pPr>
            <w:r>
              <w:rPr>
                <w:rFonts w:ascii="Arial" w:cs="Arial" w:eastAsia="Arial" w:hAnsi="Arial"/>
                <w:sz w:val="17"/>
                <w:szCs w:val="17"/>
                <w:color w:val="auto"/>
              </w:rPr>
              <w:t>REO (Other assets)</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(1,493)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(3,545)</w:t>
            </w:r>
          </w:p>
        </w:tc>
      </w:tr>
      <w:tr>
        <w:trPr>
          <w:trHeight w:val="220"/>
        </w:trPr>
        <w:tc>
          <w:tcPr>
            <w:tcW w:w="48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Gain (loss) on sale of loans</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(114,300)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(186,602)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(14,799)</w:t>
            </w:r>
          </w:p>
        </w:tc>
      </w:tr>
      <w:tr>
        <w:trPr>
          <w:trHeight w:val="220"/>
        </w:trPr>
        <w:tc>
          <w:tcPr>
            <w:tcW w:w="4840" w:type="dxa"/>
            <w:vAlign w:val="bottom"/>
          </w:tcPr>
          <w:p>
            <w:pPr>
              <w:ind w:left="180"/>
              <w:spacing w:after="0"/>
              <w:rPr>
                <w:sz w:val="20"/>
                <w:szCs w:val="20"/>
                <w:color w:val="auto"/>
              </w:rPr>
            </w:pPr>
            <w:r>
              <w:rPr>
                <w:rFonts w:ascii="Arial" w:cs="Arial" w:eastAsia="Arial" w:hAnsi="Arial"/>
                <w:sz w:val="17"/>
                <w:szCs w:val="17"/>
                <w:color w:val="auto"/>
              </w:rPr>
              <w:t>Capitalization of advances on Ginnie Mae modifications</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5,810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3,897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13,114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7,291</w:t>
            </w:r>
          </w:p>
        </w:tc>
      </w:tr>
      <w:tr>
        <w:trPr>
          <w:trHeight w:val="220"/>
        </w:trPr>
        <w:tc>
          <w:tcPr>
            <w:tcW w:w="48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Increase (decrease) in fair value of loans</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10,841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4,567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(689)</w:t>
            </w:r>
          </w:p>
        </w:tc>
      </w:tr>
      <w:tr>
        <w:trPr>
          <w:trHeight w:val="220"/>
        </w:trPr>
        <w:tc>
          <w:tcPr>
            <w:tcW w:w="4840" w:type="dxa"/>
            <w:vAlign w:val="bottom"/>
            <w:tcBorders>
              <w:bottom w:val="single" w:sz="8" w:color="CCEEFF"/>
            </w:tcBorders>
          </w:tcPr>
          <w:p>
            <w:pPr>
              <w:ind w:left="180"/>
              <w:spacing w:after="0"/>
              <w:rPr>
                <w:sz w:val="20"/>
                <w:szCs w:val="20"/>
                <w:color w:val="auto"/>
              </w:rPr>
            </w:pPr>
            <w:r>
              <w:rPr>
                <w:rFonts w:ascii="Arial" w:cs="Arial" w:eastAsia="Arial" w:hAnsi="Arial"/>
                <w:sz w:val="17"/>
                <w:szCs w:val="17"/>
                <w:color w:val="auto"/>
              </w:rPr>
              <w:t>Other</w:t>
            </w: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2,517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1,362</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3,556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1,722</w:t>
            </w:r>
          </w:p>
        </w:tc>
      </w:tr>
      <w:tr>
        <w:trPr>
          <w:trHeight w:val="238"/>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 xml:space="preserve">Ending balance </w:t>
            </w:r>
            <w:r>
              <w:rPr>
                <w:rFonts w:ascii="Arial" w:cs="Arial" w:eastAsia="Arial" w:hAnsi="Arial"/>
                <w:sz w:val="17"/>
                <w:szCs w:val="17"/>
                <w:color w:val="auto"/>
              </w:rPr>
              <w:t>(1)</w:t>
            </w: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683,140</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680,866</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683,140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680,866</w:t>
            </w: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left="320" w:hanging="317"/>
        <w:spacing w:after="0"/>
        <w:tabs>
          <w:tab w:leader="none" w:pos="3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At June 30, 2022 and 2021, the balances include $(5.7) million and $(7.4) million, respectively, of fair value adjustments.</w:t>
      </w:r>
    </w:p>
    <w:p>
      <w:pPr>
        <w:spacing w:after="0" w:line="200" w:lineRule="exact"/>
        <w:rPr>
          <w:rFonts w:ascii="Arial" w:cs="Arial" w:eastAsia="Arial" w:hAnsi="Arial"/>
          <w:sz w:val="16"/>
          <w:szCs w:val="16"/>
          <w:color w:val="auto"/>
        </w:rPr>
      </w:pPr>
    </w:p>
    <w:p>
      <w:pPr>
        <w:spacing w:after="0" w:line="322" w:lineRule="exact"/>
        <w:rPr>
          <w:rFonts w:ascii="Arial" w:cs="Arial" w:eastAsia="Arial" w:hAnsi="Arial"/>
          <w:sz w:val="16"/>
          <w:szCs w:val="16"/>
          <w:color w:val="auto"/>
        </w:rPr>
      </w:pPr>
    </w:p>
    <w:p>
      <w:pPr>
        <w:ind w:left="5540"/>
        <w:spacing w:after="0"/>
        <w:rPr>
          <w:rFonts w:ascii="Arial" w:cs="Arial" w:eastAsia="Arial" w:hAnsi="Arial"/>
          <w:sz w:val="16"/>
          <w:szCs w:val="16"/>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68"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25"/>
        </w:trPr>
        <w:tc>
          <w:tcPr>
            <w:tcW w:w="4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980" w:type="dxa"/>
            <w:vAlign w:val="bottom"/>
            <w:gridSpan w:val="5"/>
          </w:tcPr>
          <w:p>
            <w:pPr>
              <w:ind w:left="180"/>
              <w:spacing w:after="0"/>
              <w:rPr>
                <w:sz w:val="20"/>
                <w:szCs w:val="20"/>
                <w:color w:val="auto"/>
              </w:rPr>
            </w:pPr>
            <w:r>
              <w:rPr>
                <w:rFonts w:ascii="Arial" w:cs="Arial" w:eastAsia="Arial" w:hAnsi="Arial"/>
                <w:sz w:val="17"/>
                <w:szCs w:val="17"/>
                <w:b w:val="1"/>
                <w:bCs w:val="1"/>
                <w:color w:val="auto"/>
              </w:rPr>
              <w:t>Three Months Ended June 30,</w:t>
            </w:r>
          </w:p>
        </w:tc>
        <w:tc>
          <w:tcPr>
            <w:tcW w:w="320" w:type="dxa"/>
            <w:vAlign w:val="bottom"/>
          </w:tcPr>
          <w:p>
            <w:pPr>
              <w:spacing w:after="0"/>
              <w:rPr>
                <w:sz w:val="19"/>
                <w:szCs w:val="19"/>
                <w:color w:val="auto"/>
              </w:rPr>
            </w:pPr>
          </w:p>
        </w:tc>
        <w:tc>
          <w:tcPr>
            <w:tcW w:w="2820" w:type="dxa"/>
            <w:vAlign w:val="bottom"/>
            <w:gridSpan w:val="4"/>
          </w:tcPr>
          <w:p>
            <w:pPr>
              <w:jc w:val="right"/>
              <w:ind w:right="474"/>
              <w:spacing w:after="0"/>
              <w:rPr>
                <w:sz w:val="20"/>
                <w:szCs w:val="20"/>
                <w:color w:val="auto"/>
              </w:rPr>
            </w:pPr>
            <w:r>
              <w:rPr>
                <w:rFonts w:ascii="Arial" w:cs="Arial" w:eastAsia="Arial" w:hAnsi="Arial"/>
                <w:sz w:val="17"/>
                <w:szCs w:val="17"/>
                <w:b w:val="1"/>
                <w:bCs w:val="1"/>
                <w:color w:val="auto"/>
              </w:rPr>
              <w:t>Six Months Ended June 30,</w:t>
            </w:r>
          </w:p>
        </w:tc>
        <w:tc>
          <w:tcPr>
            <w:tcW w:w="0" w:type="dxa"/>
            <w:vAlign w:val="bottom"/>
          </w:tcPr>
          <w:p>
            <w:pPr>
              <w:spacing w:after="0"/>
              <w:rPr>
                <w:sz w:val="1"/>
                <w:szCs w:val="1"/>
                <w:color w:val="auto"/>
              </w:rPr>
            </w:pPr>
          </w:p>
        </w:tc>
      </w:tr>
      <w:tr>
        <w:trPr>
          <w:trHeight w:val="225"/>
        </w:trPr>
        <w:tc>
          <w:tcPr>
            <w:tcW w:w="4840" w:type="dxa"/>
            <w:vAlign w:val="bottom"/>
            <w:tcBorders>
              <w:bottom w:val="single" w:sz="8" w:color="CCEEFF"/>
            </w:tcBorders>
          </w:tcPr>
          <w:p>
            <w:pPr>
              <w:ind w:left="20"/>
              <w:spacing w:after="0"/>
              <w:rPr>
                <w:sz w:val="20"/>
                <w:szCs w:val="20"/>
                <w:color w:val="auto"/>
              </w:rPr>
            </w:pPr>
            <w:r>
              <w:rPr>
                <w:rFonts w:ascii="Arial" w:cs="Arial" w:eastAsia="Arial" w:hAnsi="Arial"/>
                <w:sz w:val="17"/>
                <w:szCs w:val="17"/>
                <w:b w:val="1"/>
                <w:bCs w:val="1"/>
                <w:color w:val="auto"/>
              </w:rPr>
              <w:t>Loans Held for Sale - Lower of Cost or Fair Value</w:t>
            </w:r>
          </w:p>
        </w:tc>
        <w:tc>
          <w:tcPr>
            <w:tcW w:w="28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7"/>
                <w:szCs w:val="17"/>
                <w:b w:val="1"/>
                <w:bCs w:val="1"/>
                <w:color w:val="auto"/>
              </w:rPr>
              <w:t>2021</w:t>
            </w:r>
          </w:p>
        </w:tc>
        <w:tc>
          <w:tcPr>
            <w:tcW w:w="12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7"/>
                <w:szCs w:val="17"/>
                <w:b w:val="1"/>
                <w:bCs w:val="1"/>
                <w:color w:val="auto"/>
              </w:rPr>
              <w:t>2021</w:t>
            </w:r>
          </w:p>
        </w:tc>
        <w:tc>
          <w:tcPr>
            <w:tcW w:w="0" w:type="dxa"/>
            <w:vAlign w:val="bottom"/>
          </w:tcPr>
          <w:p>
            <w:pPr>
              <w:spacing w:after="0"/>
              <w:rPr>
                <w:sz w:val="1"/>
                <w:szCs w:val="1"/>
                <w:color w:val="auto"/>
              </w:rPr>
            </w:pPr>
          </w:p>
        </w:tc>
      </w:tr>
      <w:tr>
        <w:trPr>
          <w:trHeight w:val="213"/>
        </w:trPr>
        <w:tc>
          <w:tcPr>
            <w:tcW w:w="48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Beginning balance - before Valuation Allowance</w:t>
            </w: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13,347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22,471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15,365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27,652</w:t>
            </w:r>
          </w:p>
        </w:tc>
        <w:tc>
          <w:tcPr>
            <w:tcW w:w="0" w:type="dxa"/>
            <w:vAlign w:val="bottom"/>
          </w:tcPr>
          <w:p>
            <w:pPr>
              <w:spacing w:after="0"/>
              <w:rPr>
                <w:sz w:val="1"/>
                <w:szCs w:val="1"/>
                <w:color w:val="auto"/>
              </w:rPr>
            </w:pPr>
          </w:p>
        </w:tc>
      </w:tr>
      <w:tr>
        <w:trPr>
          <w:trHeight w:val="220"/>
        </w:trPr>
        <w:tc>
          <w:tcPr>
            <w:tcW w:w="4840" w:type="dxa"/>
            <w:vAlign w:val="bottom"/>
          </w:tcPr>
          <w:p>
            <w:pPr>
              <w:ind w:left="140"/>
              <w:spacing w:after="0"/>
              <w:rPr>
                <w:sz w:val="20"/>
                <w:szCs w:val="20"/>
                <w:color w:val="auto"/>
              </w:rPr>
            </w:pPr>
            <w:r>
              <w:rPr>
                <w:rFonts w:ascii="Arial" w:cs="Arial" w:eastAsia="Arial" w:hAnsi="Arial"/>
                <w:sz w:val="17"/>
                <w:szCs w:val="17"/>
                <w:color w:val="auto"/>
              </w:rPr>
              <w:t>Proceeds from sales</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(4,824)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(1,827)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(5,160)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(6,667)</w:t>
            </w:r>
          </w:p>
        </w:tc>
        <w:tc>
          <w:tcPr>
            <w:tcW w:w="0" w:type="dxa"/>
            <w:vAlign w:val="bottom"/>
          </w:tcPr>
          <w:p>
            <w:pPr>
              <w:spacing w:after="0"/>
              <w:rPr>
                <w:sz w:val="1"/>
                <w:szCs w:val="1"/>
                <w:color w:val="auto"/>
              </w:rPr>
            </w:pPr>
          </w:p>
        </w:tc>
      </w:tr>
      <w:tr>
        <w:trPr>
          <w:trHeight w:val="220"/>
        </w:trPr>
        <w:tc>
          <w:tcPr>
            <w:tcW w:w="48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Principal collections</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(214)</w:t>
            </w:r>
          </w:p>
        </w:tc>
        <w:tc>
          <w:tcPr>
            <w:tcW w:w="0" w:type="dxa"/>
            <w:vAlign w:val="bottom"/>
          </w:tcPr>
          <w:p>
            <w:pPr>
              <w:spacing w:after="0"/>
              <w:rPr>
                <w:sz w:val="1"/>
                <w:szCs w:val="1"/>
                <w:color w:val="auto"/>
              </w:rPr>
            </w:pPr>
          </w:p>
        </w:tc>
      </w:tr>
      <w:tr>
        <w:trPr>
          <w:trHeight w:val="220"/>
        </w:trPr>
        <w:tc>
          <w:tcPr>
            <w:tcW w:w="4840" w:type="dxa"/>
            <w:vAlign w:val="bottom"/>
          </w:tcPr>
          <w:p>
            <w:pPr>
              <w:ind w:left="140"/>
              <w:spacing w:after="0"/>
              <w:rPr>
                <w:sz w:val="20"/>
                <w:szCs w:val="20"/>
                <w:color w:val="auto"/>
              </w:rPr>
            </w:pPr>
            <w:r>
              <w:rPr>
                <w:rFonts w:ascii="Arial" w:cs="Arial" w:eastAsia="Arial" w:hAnsi="Arial"/>
                <w:sz w:val="17"/>
                <w:szCs w:val="17"/>
                <w:color w:val="auto"/>
              </w:rPr>
              <w:t>Transfers from (to):</w:t>
            </w: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8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Receivables, net</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(716)</w:t>
            </w:r>
          </w:p>
        </w:tc>
        <w:tc>
          <w:tcPr>
            <w:tcW w:w="0" w:type="dxa"/>
            <w:vAlign w:val="bottom"/>
          </w:tcPr>
          <w:p>
            <w:pPr>
              <w:spacing w:after="0"/>
              <w:rPr>
                <w:sz w:val="1"/>
                <w:szCs w:val="1"/>
                <w:color w:val="auto"/>
              </w:rPr>
            </w:pPr>
          </w:p>
        </w:tc>
      </w:tr>
      <w:tr>
        <w:trPr>
          <w:trHeight w:val="220"/>
        </w:trPr>
        <w:tc>
          <w:tcPr>
            <w:tcW w:w="4840" w:type="dxa"/>
            <w:vAlign w:val="bottom"/>
          </w:tcPr>
          <w:p>
            <w:pPr>
              <w:ind w:left="220"/>
              <w:spacing w:after="0"/>
              <w:rPr>
                <w:sz w:val="20"/>
                <w:szCs w:val="20"/>
                <w:color w:val="auto"/>
              </w:rPr>
            </w:pPr>
            <w:r>
              <w:rPr>
                <w:rFonts w:ascii="Arial" w:cs="Arial" w:eastAsia="Arial" w:hAnsi="Arial"/>
                <w:sz w:val="17"/>
                <w:szCs w:val="17"/>
                <w:color w:val="auto"/>
              </w:rPr>
              <w:t>REO (Other assets)</w:t>
            </w:r>
          </w:p>
        </w:tc>
        <w:tc>
          <w:tcPr>
            <w:tcW w:w="28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(72)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(358)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(545)</w:t>
            </w:r>
          </w:p>
        </w:tc>
        <w:tc>
          <w:tcPr>
            <w:tcW w:w="0" w:type="dxa"/>
            <w:vAlign w:val="bottom"/>
          </w:tcPr>
          <w:p>
            <w:pPr>
              <w:spacing w:after="0"/>
              <w:rPr>
                <w:sz w:val="1"/>
                <w:szCs w:val="1"/>
                <w:color w:val="auto"/>
              </w:rPr>
            </w:pPr>
          </w:p>
        </w:tc>
      </w:tr>
      <w:tr>
        <w:trPr>
          <w:trHeight w:val="220"/>
        </w:trPr>
        <w:tc>
          <w:tcPr>
            <w:tcW w:w="48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Gain on sale of loans</w:t>
            </w:r>
          </w:p>
        </w:tc>
        <w:tc>
          <w:tcPr>
            <w:tcW w:w="2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514</w:t>
            </w:r>
          </w:p>
        </w:tc>
        <w:tc>
          <w:tcPr>
            <w:tcW w:w="0" w:type="dxa"/>
            <w:vAlign w:val="bottom"/>
          </w:tcPr>
          <w:p>
            <w:pPr>
              <w:spacing w:after="0"/>
              <w:rPr>
                <w:sz w:val="1"/>
                <w:szCs w:val="1"/>
                <w:color w:val="auto"/>
              </w:rPr>
            </w:pPr>
          </w:p>
        </w:tc>
      </w:tr>
      <w:tr>
        <w:trPr>
          <w:trHeight w:val="220"/>
        </w:trPr>
        <w:tc>
          <w:tcPr>
            <w:tcW w:w="484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Other</w:t>
            </w: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254</w:t>
            </w:r>
          </w:p>
        </w:tc>
        <w:tc>
          <w:tcPr>
            <w:tcW w:w="0" w:type="dxa"/>
            <w:vAlign w:val="bottom"/>
          </w:tcPr>
          <w:p>
            <w:pPr>
              <w:spacing w:after="0"/>
              <w:rPr>
                <w:sz w:val="1"/>
                <w:szCs w:val="1"/>
                <w:color w:val="auto"/>
              </w:rPr>
            </w:pPr>
          </w:p>
        </w:tc>
      </w:tr>
      <w:tr>
        <w:trPr>
          <w:trHeight w:val="213"/>
        </w:trPr>
        <w:tc>
          <w:tcPr>
            <w:tcW w:w="48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Ending balance - before Valuation Allowance</w:t>
            </w:r>
          </w:p>
        </w:tc>
        <w:tc>
          <w:tcPr>
            <w:tcW w:w="2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8,138</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20,278</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8,138</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20,278</w:t>
            </w:r>
          </w:p>
        </w:tc>
        <w:tc>
          <w:tcPr>
            <w:tcW w:w="0" w:type="dxa"/>
            <w:vAlign w:val="bottom"/>
          </w:tcPr>
          <w:p>
            <w:pPr>
              <w:spacing w:after="0"/>
              <w:rPr>
                <w:sz w:val="1"/>
                <w:szCs w:val="1"/>
                <w:color w:val="auto"/>
              </w:rPr>
            </w:pPr>
          </w:p>
        </w:tc>
      </w:tr>
      <w:tr>
        <w:trPr>
          <w:trHeight w:val="70"/>
        </w:trPr>
        <w:tc>
          <w:tcPr>
            <w:tcW w:w="48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0"/>
        </w:trPr>
        <w:tc>
          <w:tcPr>
            <w:tcW w:w="48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Beginning balance - Valuation Allowance</w:t>
            </w: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(4,320)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(5,462)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(4,372)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(6,180)</w:t>
            </w:r>
          </w:p>
        </w:tc>
        <w:tc>
          <w:tcPr>
            <w:tcW w:w="0" w:type="dxa"/>
            <w:vAlign w:val="bottom"/>
          </w:tcPr>
          <w:p>
            <w:pPr>
              <w:spacing w:after="0"/>
              <w:rPr>
                <w:sz w:val="1"/>
                <w:szCs w:val="1"/>
                <w:color w:val="auto"/>
              </w:rPr>
            </w:pPr>
          </w:p>
        </w:tc>
      </w:tr>
      <w:tr>
        <w:trPr>
          <w:trHeight w:val="220"/>
        </w:trPr>
        <w:tc>
          <w:tcPr>
            <w:tcW w:w="4840" w:type="dxa"/>
            <w:vAlign w:val="bottom"/>
          </w:tcPr>
          <w:p>
            <w:pPr>
              <w:ind w:left="140"/>
              <w:spacing w:after="0"/>
              <w:rPr>
                <w:sz w:val="20"/>
                <w:szCs w:val="20"/>
                <w:color w:val="auto"/>
              </w:rPr>
            </w:pPr>
            <w:r>
              <w:rPr>
                <w:rFonts w:ascii="Arial" w:cs="Arial" w:eastAsia="Arial" w:hAnsi="Arial"/>
                <w:sz w:val="17"/>
                <w:szCs w:val="17"/>
                <w:color w:val="auto"/>
              </w:rPr>
              <w:t>(Provision for) reversal of valuation allowance</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109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277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980</w:t>
            </w:r>
          </w:p>
        </w:tc>
        <w:tc>
          <w:tcPr>
            <w:tcW w:w="0" w:type="dxa"/>
            <w:vAlign w:val="bottom"/>
          </w:tcPr>
          <w:p>
            <w:pPr>
              <w:spacing w:after="0"/>
              <w:rPr>
                <w:sz w:val="1"/>
                <w:szCs w:val="1"/>
                <w:color w:val="auto"/>
              </w:rPr>
            </w:pPr>
          </w:p>
        </w:tc>
      </w:tr>
      <w:tr>
        <w:trPr>
          <w:trHeight w:val="168"/>
        </w:trPr>
        <w:tc>
          <w:tcPr>
            <w:tcW w:w="4840" w:type="dxa"/>
            <w:vAlign w:val="bottom"/>
            <w:shd w:val="clear" w:color="auto" w:fill="CCEEFF"/>
          </w:tcPr>
          <w:p>
            <w:pPr>
              <w:ind w:left="140"/>
              <w:spacing w:after="0" w:line="168" w:lineRule="exact"/>
              <w:rPr>
                <w:sz w:val="20"/>
                <w:szCs w:val="20"/>
                <w:color w:val="auto"/>
              </w:rPr>
            </w:pPr>
            <w:r>
              <w:rPr>
                <w:rFonts w:ascii="Arial" w:cs="Arial" w:eastAsia="Arial" w:hAnsi="Arial"/>
                <w:sz w:val="17"/>
                <w:szCs w:val="17"/>
                <w:color w:val="auto"/>
              </w:rPr>
              <w:t>Transfer to Liability for indemnification obligations (Other</w:t>
            </w:r>
          </w:p>
        </w:tc>
        <w:tc>
          <w:tcPr>
            <w:tcW w:w="28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398</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61</w:t>
            </w: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521</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76</w:t>
            </w:r>
          </w:p>
        </w:tc>
        <w:tc>
          <w:tcPr>
            <w:tcW w:w="0" w:type="dxa"/>
            <w:vAlign w:val="bottom"/>
          </w:tcPr>
          <w:p>
            <w:pPr>
              <w:spacing w:after="0"/>
              <w:rPr>
                <w:sz w:val="1"/>
                <w:szCs w:val="1"/>
                <w:color w:val="auto"/>
              </w:rPr>
            </w:pPr>
          </w:p>
        </w:tc>
      </w:tr>
      <w:tr>
        <w:trPr>
          <w:trHeight w:val="219"/>
        </w:trPr>
        <w:tc>
          <w:tcPr>
            <w:tcW w:w="4840" w:type="dxa"/>
            <w:vAlign w:val="bottom"/>
            <w:shd w:val="clear" w:color="auto" w:fill="CCEEFF"/>
          </w:tcPr>
          <w:p>
            <w:pPr>
              <w:ind w:left="300"/>
              <w:spacing w:after="0"/>
              <w:rPr>
                <w:sz w:val="20"/>
                <w:szCs w:val="20"/>
                <w:color w:val="auto"/>
              </w:rPr>
            </w:pPr>
            <w:r>
              <w:rPr>
                <w:rFonts w:ascii="Arial" w:cs="Arial" w:eastAsia="Arial" w:hAnsi="Arial"/>
                <w:sz w:val="17"/>
                <w:szCs w:val="17"/>
                <w:color w:val="auto"/>
              </w:rPr>
              <w:t>liabilities)</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840" w:type="dxa"/>
            <w:vAlign w:val="bottom"/>
            <w:tcBorders>
              <w:bottom w:val="single" w:sz="8" w:color="CCEEFF"/>
            </w:tcBorders>
          </w:tcPr>
          <w:p>
            <w:pPr>
              <w:ind w:left="20"/>
              <w:spacing w:after="0"/>
              <w:rPr>
                <w:sz w:val="20"/>
                <w:szCs w:val="20"/>
                <w:color w:val="auto"/>
              </w:rPr>
            </w:pPr>
            <w:r>
              <w:rPr>
                <w:rFonts w:ascii="Arial" w:cs="Arial" w:eastAsia="Arial" w:hAnsi="Arial"/>
                <w:sz w:val="17"/>
                <w:szCs w:val="17"/>
                <w:b w:val="1"/>
                <w:bCs w:val="1"/>
                <w:color w:val="auto"/>
              </w:rPr>
              <w:t>Ending balance - Valuation Allowance</w:t>
            </w: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(3,813)</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(5,124)</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(3,813)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(5,124)</w:t>
            </w:r>
          </w:p>
        </w:tc>
        <w:tc>
          <w:tcPr>
            <w:tcW w:w="0" w:type="dxa"/>
            <w:vAlign w:val="bottom"/>
          </w:tcPr>
          <w:p>
            <w:pPr>
              <w:spacing w:after="0"/>
              <w:rPr>
                <w:sz w:val="1"/>
                <w:szCs w:val="1"/>
                <w:color w:val="auto"/>
              </w:rPr>
            </w:pPr>
          </w:p>
        </w:tc>
      </w:tr>
      <w:tr>
        <w:trPr>
          <w:trHeight w:val="83"/>
        </w:trPr>
        <w:tc>
          <w:tcPr>
            <w:tcW w:w="4840" w:type="dxa"/>
            <w:vAlign w:val="bottom"/>
            <w:shd w:val="clear" w:color="auto" w:fill="CCEEFF"/>
          </w:tcPr>
          <w:p>
            <w:pPr>
              <w:spacing w:after="0"/>
              <w:rPr>
                <w:sz w:val="7"/>
                <w:szCs w:val="7"/>
                <w:color w:val="auto"/>
              </w:rPr>
            </w:pPr>
          </w:p>
        </w:tc>
        <w:tc>
          <w:tcPr>
            <w:tcW w:w="280" w:type="dxa"/>
            <w:vAlign w:val="bottom"/>
            <w:tcBorders>
              <w:bottom w:val="single" w:sz="8" w:color="auto"/>
            </w:tcBorders>
            <w:shd w:val="clear" w:color="auto" w:fill="CCEEFF"/>
          </w:tcPr>
          <w:p>
            <w:pPr>
              <w:spacing w:after="0"/>
              <w:rPr>
                <w:sz w:val="7"/>
                <w:szCs w:val="7"/>
                <w:color w:val="auto"/>
              </w:rPr>
            </w:pPr>
          </w:p>
        </w:tc>
        <w:tc>
          <w:tcPr>
            <w:tcW w:w="1240" w:type="dxa"/>
            <w:vAlign w:val="bottom"/>
            <w:tcBorders>
              <w:bottom w:val="single" w:sz="8" w:color="auto"/>
            </w:tcBorders>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60" w:type="dxa"/>
            <w:vAlign w:val="bottom"/>
            <w:tcBorders>
              <w:bottom w:val="single" w:sz="8" w:color="auto"/>
            </w:tcBorders>
            <w:shd w:val="clear" w:color="auto" w:fill="CCEEFF"/>
          </w:tcPr>
          <w:p>
            <w:pPr>
              <w:spacing w:after="0"/>
              <w:rPr>
                <w:sz w:val="7"/>
                <w:szCs w:val="7"/>
                <w:color w:val="auto"/>
              </w:rPr>
            </w:pPr>
          </w:p>
        </w:tc>
        <w:tc>
          <w:tcPr>
            <w:tcW w:w="1160" w:type="dxa"/>
            <w:vAlign w:val="bottom"/>
            <w:tcBorders>
              <w:bottom w:val="single" w:sz="8" w:color="auto"/>
            </w:tcBorders>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320" w:type="dxa"/>
            <w:vAlign w:val="bottom"/>
            <w:tcBorders>
              <w:bottom w:val="single" w:sz="8" w:color="auto"/>
            </w:tcBorders>
            <w:shd w:val="clear" w:color="auto" w:fill="CCEEFF"/>
          </w:tcPr>
          <w:p>
            <w:pPr>
              <w:spacing w:after="0"/>
              <w:rPr>
                <w:sz w:val="7"/>
                <w:szCs w:val="7"/>
                <w:color w:val="auto"/>
              </w:rPr>
            </w:pPr>
          </w:p>
        </w:tc>
        <w:tc>
          <w:tcPr>
            <w:tcW w:w="1200" w:type="dxa"/>
            <w:vAlign w:val="bottom"/>
            <w:tcBorders>
              <w:bottom w:val="single" w:sz="8" w:color="auto"/>
            </w:tcBorders>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40" w:type="dxa"/>
            <w:vAlign w:val="bottom"/>
            <w:tcBorders>
              <w:bottom w:val="single" w:sz="8" w:color="auto"/>
            </w:tcBorders>
            <w:shd w:val="clear" w:color="auto" w:fill="CCEEFF"/>
          </w:tcPr>
          <w:p>
            <w:pPr>
              <w:spacing w:after="0"/>
              <w:rPr>
                <w:sz w:val="7"/>
                <w:szCs w:val="7"/>
                <w:color w:val="auto"/>
              </w:rPr>
            </w:pPr>
          </w:p>
        </w:tc>
        <w:tc>
          <w:tcPr>
            <w:tcW w:w="1180" w:type="dxa"/>
            <w:vAlign w:val="bottom"/>
            <w:tcBorders>
              <w:bottom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3"/>
        </w:trPr>
        <w:tc>
          <w:tcPr>
            <w:tcW w:w="4840" w:type="dxa"/>
            <w:vAlign w:val="bottom"/>
          </w:tcPr>
          <w:p>
            <w:pPr>
              <w:ind w:left="20"/>
              <w:spacing w:after="0"/>
              <w:rPr>
                <w:sz w:val="20"/>
                <w:szCs w:val="20"/>
                <w:color w:val="auto"/>
              </w:rPr>
            </w:pPr>
            <w:r>
              <w:rPr>
                <w:rFonts w:ascii="Arial" w:cs="Arial" w:eastAsia="Arial" w:hAnsi="Arial"/>
                <w:sz w:val="17"/>
                <w:szCs w:val="17"/>
                <w:b w:val="1"/>
                <w:bCs w:val="1"/>
                <w:color w:val="auto"/>
              </w:rPr>
              <w:t>Ending balance, net</w:t>
            </w:r>
          </w:p>
        </w:tc>
        <w:tc>
          <w:tcPr>
            <w:tcW w:w="28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4,325</w:t>
            </w: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15,154</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4,325</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15,154</w:t>
            </w: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980" w:type="dxa"/>
            <w:vAlign w:val="bottom"/>
            <w:gridSpan w:val="5"/>
          </w:tcPr>
          <w:p>
            <w:pPr>
              <w:ind w:left="180"/>
              <w:spacing w:after="0"/>
              <w:rPr>
                <w:sz w:val="20"/>
                <w:szCs w:val="20"/>
                <w:color w:val="auto"/>
              </w:rPr>
            </w:pPr>
            <w:r>
              <w:rPr>
                <w:rFonts w:ascii="Arial" w:cs="Arial" w:eastAsia="Arial" w:hAnsi="Arial"/>
                <w:sz w:val="17"/>
                <w:szCs w:val="17"/>
                <w:b w:val="1"/>
                <w:bCs w:val="1"/>
                <w:color w:val="auto"/>
              </w:rPr>
              <w:t>Three Months Ended June 30,</w:t>
            </w:r>
          </w:p>
        </w:tc>
        <w:tc>
          <w:tcPr>
            <w:tcW w:w="320" w:type="dxa"/>
            <w:vAlign w:val="bottom"/>
          </w:tcPr>
          <w:p>
            <w:pPr>
              <w:spacing w:after="0"/>
              <w:rPr>
                <w:sz w:val="19"/>
                <w:szCs w:val="19"/>
                <w:color w:val="auto"/>
              </w:rPr>
            </w:pPr>
          </w:p>
        </w:tc>
        <w:tc>
          <w:tcPr>
            <w:tcW w:w="2820" w:type="dxa"/>
            <w:vAlign w:val="bottom"/>
            <w:gridSpan w:val="4"/>
          </w:tcPr>
          <w:p>
            <w:pPr>
              <w:jc w:val="right"/>
              <w:ind w:right="474"/>
              <w:spacing w:after="0"/>
              <w:rPr>
                <w:sz w:val="20"/>
                <w:szCs w:val="20"/>
                <w:color w:val="auto"/>
              </w:rPr>
            </w:pPr>
            <w:r>
              <w:rPr>
                <w:rFonts w:ascii="Arial" w:cs="Arial" w:eastAsia="Arial" w:hAnsi="Arial"/>
                <w:sz w:val="17"/>
                <w:szCs w:val="17"/>
                <w:b w:val="1"/>
                <w:bCs w:val="1"/>
                <w:color w:val="auto"/>
              </w:rPr>
              <w:t>Six Months Ended June 30,</w:t>
            </w:r>
          </w:p>
        </w:tc>
      </w:tr>
      <w:tr>
        <w:trPr>
          <w:trHeight w:val="225"/>
        </w:trPr>
        <w:tc>
          <w:tcPr>
            <w:tcW w:w="4840" w:type="dxa"/>
            <w:vAlign w:val="bottom"/>
            <w:tcBorders>
              <w:bottom w:val="single" w:sz="8" w:color="CCEEFF"/>
            </w:tcBorders>
          </w:tcPr>
          <w:p>
            <w:pPr>
              <w:ind w:left="20"/>
              <w:spacing w:after="0"/>
              <w:rPr>
                <w:sz w:val="20"/>
                <w:szCs w:val="20"/>
                <w:color w:val="auto"/>
              </w:rPr>
            </w:pPr>
            <w:r>
              <w:rPr>
                <w:rFonts w:ascii="Arial" w:cs="Arial" w:eastAsia="Arial" w:hAnsi="Arial"/>
                <w:sz w:val="17"/>
                <w:szCs w:val="17"/>
                <w:b w:val="1"/>
                <w:bCs w:val="1"/>
                <w:color w:val="auto"/>
              </w:rPr>
              <w:t>Gain (Loss) on Loans Held for Sale, Net</w:t>
            </w:r>
          </w:p>
        </w:tc>
        <w:tc>
          <w:tcPr>
            <w:tcW w:w="28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7"/>
                <w:szCs w:val="17"/>
                <w:b w:val="1"/>
                <w:bCs w:val="1"/>
                <w:color w:val="auto"/>
              </w:rPr>
              <w:t>2021</w:t>
            </w:r>
          </w:p>
        </w:tc>
        <w:tc>
          <w:tcPr>
            <w:tcW w:w="12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7"/>
                <w:szCs w:val="17"/>
                <w:b w:val="1"/>
                <w:bCs w:val="1"/>
                <w:color w:val="auto"/>
              </w:rPr>
              <w:t>2021</w:t>
            </w:r>
          </w:p>
        </w:tc>
      </w:tr>
      <w:tr>
        <w:trPr>
          <w:trHeight w:val="200"/>
        </w:trPr>
        <w:tc>
          <w:tcPr>
            <w:tcW w:w="4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Gain (loss) on sales of loans, net</w:t>
            </w: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20"/>
        </w:trPr>
        <w:tc>
          <w:tcPr>
            <w:tcW w:w="4840" w:type="dxa"/>
            <w:vAlign w:val="bottom"/>
          </w:tcPr>
          <w:p>
            <w:pPr>
              <w:ind w:left="140"/>
              <w:spacing w:after="0"/>
              <w:rPr>
                <w:sz w:val="20"/>
                <w:szCs w:val="20"/>
                <w:color w:val="auto"/>
              </w:rPr>
            </w:pPr>
            <w:r>
              <w:rPr>
                <w:rFonts w:ascii="Arial" w:cs="Arial" w:eastAsia="Arial" w:hAnsi="Arial"/>
                <w:sz w:val="17"/>
                <w:szCs w:val="17"/>
                <w:color w:val="auto"/>
              </w:rPr>
              <w:t>MSRs retained on transfers of forward mortgage loans</w:t>
            </w: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60,162</w:t>
            </w:r>
          </w:p>
        </w:tc>
        <w:tc>
          <w:tcPr>
            <w:tcW w:w="100" w:type="dxa"/>
            <w:vAlign w:val="bottom"/>
          </w:tcPr>
          <w:p>
            <w:pPr>
              <w:spacing w:after="0"/>
              <w:rPr>
                <w:sz w:val="19"/>
                <w:szCs w:val="19"/>
                <w:color w:val="auto"/>
              </w:rPr>
            </w:pPr>
          </w:p>
        </w:tc>
        <w:tc>
          <w:tcPr>
            <w:tcW w:w="360" w:type="dxa"/>
            <w:vAlign w:val="bottom"/>
          </w:tcPr>
          <w:p>
            <w:pPr>
              <w:jc w:val="right"/>
              <w:ind w:right="174"/>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35,802</w:t>
            </w:r>
          </w:p>
        </w:tc>
        <w:tc>
          <w:tcPr>
            <w:tcW w:w="12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105,965</w:t>
            </w:r>
          </w:p>
        </w:tc>
        <w:tc>
          <w:tcPr>
            <w:tcW w:w="100" w:type="dxa"/>
            <w:vAlign w:val="bottom"/>
          </w:tcPr>
          <w:p>
            <w:pPr>
              <w:spacing w:after="0"/>
              <w:rPr>
                <w:sz w:val="19"/>
                <w:szCs w:val="19"/>
                <w:color w:val="auto"/>
              </w:rPr>
            </w:pP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70,062</w:t>
            </w:r>
          </w:p>
        </w:tc>
      </w:tr>
      <w:tr>
        <w:trPr>
          <w:trHeight w:val="220"/>
        </w:trPr>
        <w:tc>
          <w:tcPr>
            <w:tcW w:w="48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Gain (loss) on sale of forward mortgage loans (1)</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(90,298)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(4,272)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(162,594)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(22,839)</w:t>
            </w:r>
          </w:p>
        </w:tc>
      </w:tr>
      <w:tr>
        <w:trPr>
          <w:trHeight w:val="220"/>
        </w:trPr>
        <w:tc>
          <w:tcPr>
            <w:tcW w:w="484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Gain (loss) on sale of repurchased Ginnie Mae loans (1)(2)</w:t>
            </w: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(10,262)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3,416</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(9,664)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8,316</w:t>
            </w:r>
          </w:p>
        </w:tc>
      </w:tr>
      <w:tr>
        <w:trPr>
          <w:trHeight w:val="213"/>
        </w:trPr>
        <w:tc>
          <w:tcPr>
            <w:tcW w:w="4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(40,398)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34,946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(66,292)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55,539</w:t>
            </w:r>
          </w:p>
        </w:tc>
      </w:tr>
      <w:tr>
        <w:trPr>
          <w:trHeight w:val="220"/>
        </w:trPr>
        <w:tc>
          <w:tcPr>
            <w:tcW w:w="4840" w:type="dxa"/>
            <w:vAlign w:val="bottom"/>
          </w:tcPr>
          <w:p>
            <w:pPr>
              <w:ind w:left="20"/>
              <w:spacing w:after="0"/>
              <w:rPr>
                <w:sz w:val="20"/>
                <w:szCs w:val="20"/>
                <w:color w:val="auto"/>
              </w:rPr>
            </w:pPr>
            <w:r>
              <w:rPr>
                <w:rFonts w:ascii="Arial" w:cs="Arial" w:eastAsia="Arial" w:hAnsi="Arial"/>
                <w:sz w:val="17"/>
                <w:szCs w:val="17"/>
                <w:color w:val="auto"/>
              </w:rPr>
              <w:t>Change in fair value of IRLCs</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890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3,528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(11,167)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(5,090)</w:t>
            </w:r>
          </w:p>
        </w:tc>
      </w:tr>
      <w:tr>
        <w:trPr>
          <w:trHeight w:val="220"/>
        </w:trPr>
        <w:tc>
          <w:tcPr>
            <w:tcW w:w="4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Change in fair value of loans held for sale</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12,048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5,149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168</w:t>
            </w:r>
          </w:p>
        </w:tc>
      </w:tr>
      <w:tr>
        <w:trPr>
          <w:trHeight w:val="220"/>
        </w:trPr>
        <w:tc>
          <w:tcPr>
            <w:tcW w:w="4840" w:type="dxa"/>
            <w:vAlign w:val="bottom"/>
          </w:tcPr>
          <w:p>
            <w:pPr>
              <w:ind w:left="20"/>
              <w:spacing w:after="0"/>
              <w:rPr>
                <w:sz w:val="20"/>
                <w:szCs w:val="20"/>
                <w:color w:val="auto"/>
              </w:rPr>
            </w:pPr>
            <w:r>
              <w:rPr>
                <w:rFonts w:ascii="Arial" w:cs="Arial" w:eastAsia="Arial" w:hAnsi="Arial"/>
                <w:sz w:val="17"/>
                <w:szCs w:val="17"/>
                <w:color w:val="auto"/>
              </w:rPr>
              <w:t>Gain (loss) on economic hedge instruments (3)</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29,118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(188)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76,224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(188)</w:t>
            </w:r>
          </w:p>
        </w:tc>
      </w:tr>
      <w:tr>
        <w:trPr>
          <w:trHeight w:val="220"/>
        </w:trPr>
        <w:tc>
          <w:tcPr>
            <w:tcW w:w="4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(718)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(722)</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(1,393)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(1,995)</w:t>
            </w:r>
          </w:p>
        </w:tc>
      </w:tr>
      <w:tr>
        <w:trPr>
          <w:trHeight w:val="213"/>
        </w:trPr>
        <w:tc>
          <w:tcPr>
            <w:tcW w:w="4840" w:type="dxa"/>
            <w:vAlign w:val="bottom"/>
          </w:tcPr>
          <w:p>
            <w:pPr>
              <w:spacing w:after="0"/>
              <w:rPr>
                <w:sz w:val="18"/>
                <w:szCs w:val="18"/>
                <w:color w:val="auto"/>
              </w:rPr>
            </w:pPr>
          </w:p>
        </w:tc>
        <w:tc>
          <w:tcPr>
            <w:tcW w:w="28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940</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42,713</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(2,266)</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48,434</w:t>
            </w:r>
          </w:p>
        </w:tc>
      </w:tr>
      <w:tr>
        <w:trPr>
          <w:trHeight w:val="20"/>
        </w:trPr>
        <w:tc>
          <w:tcPr>
            <w:tcW w:w="48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320" w:hanging="317"/>
        <w:spacing w:after="0"/>
        <w:tabs>
          <w:tab w:leader="none" w:pos="3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Realized gain (loss) on sale of loans, excluding retained MSRs.</w:t>
      </w:r>
    </w:p>
    <w:p>
      <w:pPr>
        <w:spacing w:after="0" w:line="8" w:lineRule="exact"/>
        <w:rPr>
          <w:rFonts w:ascii="Arial" w:cs="Arial" w:eastAsia="Arial" w:hAnsi="Arial"/>
          <w:sz w:val="16"/>
          <w:szCs w:val="16"/>
          <w:color w:val="auto"/>
        </w:rPr>
      </w:pPr>
    </w:p>
    <w:p>
      <w:pPr>
        <w:ind w:left="320" w:right="100" w:hanging="317"/>
        <w:spacing w:after="0" w:line="235" w:lineRule="auto"/>
        <w:tabs>
          <w:tab w:leader="none" w:pos="3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Includes an $8.8 million loss during the three months ended June 30, 2022 on certain delinquent and aged loans repurchased in connection with the Ginnie Mae EBO program with an aggregated UPB of $299.7 million, net of the associated MSR fair value adjustment.</w:t>
      </w:r>
    </w:p>
    <w:p>
      <w:pPr>
        <w:spacing w:after="0" w:line="1" w:lineRule="exact"/>
        <w:rPr>
          <w:rFonts w:ascii="Arial" w:cs="Arial" w:eastAsia="Arial" w:hAnsi="Arial"/>
          <w:sz w:val="16"/>
          <w:szCs w:val="16"/>
          <w:color w:val="auto"/>
        </w:rPr>
      </w:pPr>
    </w:p>
    <w:p>
      <w:pPr>
        <w:ind w:left="320" w:hanging="317"/>
        <w:spacing w:after="0" w:line="281" w:lineRule="auto"/>
        <w:tabs>
          <w:tab w:leader="none" w:pos="3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Excludes gains (losses) of $0.1 million and $13.4 million during the three and six months ended June 30, 2022, respectively, and $(11.3) million and $24.1 million during the three and six months ended June 30, 2021, respectively, on inter-segment economic hedge derivatives presented within MSR valuation adjustments, net. Third-party derivatives are hedging the net exposure of MSR and pipeline, and the change in fair value of derivatives are reported within MSR valuation adjustments, net. Inter-segment derivatives are established to transfer risk and allocate hedging gains/losses to the pipeline separately from the MSR portfolio. Refer to Note 19 – Business Segment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58" w:right="339" w:bottom="1440" w:gutter="0" w:footer="0" w:header="0"/>
        </w:sectPr>
      </w:pPr>
    </w:p>
    <w:bookmarkStart w:id="23" w:name="page24"/>
    <w:bookmarkEnd w:id="23"/>
    <w:p>
      <w:pPr>
        <w:ind w:left="20"/>
        <w:spacing w:after="0"/>
        <w:rPr>
          <w:sz w:val="20"/>
          <w:szCs w:val="20"/>
          <w:color w:val="auto"/>
        </w:rPr>
      </w:pPr>
      <w:r>
        <w:rPr>
          <w:rFonts w:ascii="Arial" w:cs="Arial" w:eastAsia="Arial" w:hAnsi="Arial"/>
          <w:sz w:val="17"/>
          <w:szCs w:val="17"/>
          <w:b w:val="1"/>
          <w:bCs w:val="1"/>
          <w:color w:val="auto"/>
        </w:rPr>
        <w:t>Note 5 - Reverse Mortgages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19050</wp:posOffset>
            </wp:positionV>
            <wp:extent cx="708914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4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200" w:type="dxa"/>
            <w:vAlign w:val="bottom"/>
            <w:tcBorders>
              <w:bottom w:val="single" w:sz="8" w:color="auto"/>
            </w:tcBorders>
            <w:gridSpan w:val="4"/>
          </w:tcPr>
          <w:p>
            <w:pPr>
              <w:jc w:val="right"/>
              <w:ind w:right="494"/>
              <w:spacing w:after="0"/>
              <w:rPr>
                <w:sz w:val="20"/>
                <w:szCs w:val="20"/>
                <w:color w:val="auto"/>
              </w:rPr>
            </w:pPr>
            <w:r>
              <w:rPr>
                <w:rFonts w:ascii="Arial" w:cs="Arial" w:eastAsia="Arial" w:hAnsi="Arial"/>
                <w:sz w:val="17"/>
                <w:szCs w:val="17"/>
                <w:b w:val="1"/>
                <w:bCs w:val="1"/>
                <w:color w:val="auto"/>
              </w:rPr>
              <w:t>Three Months Ended June 30,</w:t>
            </w: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4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2022</w:t>
            </w:r>
          </w:p>
        </w:tc>
        <w:tc>
          <w:tcPr>
            <w:tcW w:w="14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2021</w:t>
            </w:r>
          </w:p>
        </w:tc>
        <w:tc>
          <w:tcPr>
            <w:tcW w:w="14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4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60" w:type="dxa"/>
            <w:vAlign w:val="bottom"/>
          </w:tcPr>
          <w:p>
            <w:pPr>
              <w:jc w:val="center"/>
              <w:ind w:right="114"/>
              <w:spacing w:after="0" w:line="161" w:lineRule="exact"/>
              <w:rPr>
                <w:sz w:val="20"/>
                <w:szCs w:val="20"/>
                <w:color w:val="auto"/>
              </w:rPr>
            </w:pPr>
            <w:r>
              <w:rPr>
                <w:rFonts w:ascii="Arial" w:cs="Arial" w:eastAsia="Arial" w:hAnsi="Arial"/>
                <w:sz w:val="17"/>
                <w:szCs w:val="17"/>
                <w:b w:val="1"/>
                <w:bCs w:val="1"/>
                <w:color w:val="auto"/>
                <w:w w:val="92"/>
              </w:rPr>
              <w:t>Loans Held for</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60" w:type="dxa"/>
            <w:vAlign w:val="bottom"/>
            <w:gridSpan w:val="2"/>
            <w:vMerge w:val="restart"/>
          </w:tcPr>
          <w:p>
            <w:pPr>
              <w:jc w:val="center"/>
              <w:ind w:right="280"/>
              <w:spacing w:after="0"/>
              <w:rPr>
                <w:sz w:val="20"/>
                <w:szCs w:val="20"/>
                <w:color w:val="auto"/>
              </w:rPr>
            </w:pPr>
            <w:r>
              <w:rPr>
                <w:rFonts w:ascii="Arial" w:cs="Arial" w:eastAsia="Arial" w:hAnsi="Arial"/>
                <w:sz w:val="17"/>
                <w:szCs w:val="17"/>
                <w:b w:val="1"/>
                <w:bCs w:val="1"/>
                <w:color w:val="auto"/>
                <w:w w:val="94"/>
              </w:rPr>
              <w:t>HMBS - Related</w:t>
            </w:r>
          </w:p>
        </w:tc>
        <w:tc>
          <w:tcPr>
            <w:tcW w:w="180" w:type="dxa"/>
            <w:vAlign w:val="bottom"/>
          </w:tcPr>
          <w:p>
            <w:pPr>
              <w:spacing w:after="0"/>
              <w:rPr>
                <w:sz w:val="13"/>
                <w:szCs w:val="13"/>
                <w:color w:val="auto"/>
              </w:rPr>
            </w:pPr>
          </w:p>
        </w:tc>
        <w:tc>
          <w:tcPr>
            <w:tcW w:w="1460" w:type="dxa"/>
            <w:vAlign w:val="bottom"/>
          </w:tcPr>
          <w:p>
            <w:pPr>
              <w:jc w:val="center"/>
              <w:ind w:right="114"/>
              <w:spacing w:after="0" w:line="161" w:lineRule="exact"/>
              <w:rPr>
                <w:sz w:val="20"/>
                <w:szCs w:val="20"/>
                <w:color w:val="auto"/>
              </w:rPr>
            </w:pPr>
            <w:r>
              <w:rPr>
                <w:rFonts w:ascii="Arial" w:cs="Arial" w:eastAsia="Arial" w:hAnsi="Arial"/>
                <w:sz w:val="17"/>
                <w:szCs w:val="17"/>
                <w:b w:val="1"/>
                <w:bCs w:val="1"/>
                <w:color w:val="auto"/>
                <w:w w:val="92"/>
              </w:rPr>
              <w:t>Loans Held for</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60" w:type="dxa"/>
            <w:vAlign w:val="bottom"/>
            <w:vMerge w:val="restart"/>
          </w:tcPr>
          <w:p>
            <w:pPr>
              <w:jc w:val="center"/>
              <w:ind w:right="74"/>
              <w:spacing w:after="0"/>
              <w:rPr>
                <w:sz w:val="20"/>
                <w:szCs w:val="20"/>
                <w:color w:val="auto"/>
              </w:rPr>
            </w:pPr>
            <w:r>
              <w:rPr>
                <w:rFonts w:ascii="Arial" w:cs="Arial" w:eastAsia="Arial" w:hAnsi="Arial"/>
                <w:sz w:val="17"/>
                <w:szCs w:val="17"/>
                <w:b w:val="1"/>
                <w:bCs w:val="1"/>
                <w:color w:val="auto"/>
                <w:w w:val="96"/>
              </w:rPr>
              <w:t>HMBS - Related</w:t>
            </w:r>
          </w:p>
        </w:tc>
        <w:tc>
          <w:tcPr>
            <w:tcW w:w="0" w:type="dxa"/>
            <w:vAlign w:val="bottom"/>
          </w:tcPr>
          <w:p>
            <w:pPr>
              <w:spacing w:after="0"/>
              <w:rPr>
                <w:sz w:val="1"/>
                <w:szCs w:val="1"/>
                <w:color w:val="auto"/>
              </w:rPr>
            </w:pPr>
          </w:p>
        </w:tc>
      </w:tr>
      <w:tr>
        <w:trPr>
          <w:trHeight w:val="168"/>
        </w:trPr>
        <w:tc>
          <w:tcPr>
            <w:tcW w:w="4400" w:type="dxa"/>
            <w:vAlign w:val="bottom"/>
          </w:tcPr>
          <w:p>
            <w:pPr>
              <w:spacing w:after="0"/>
              <w:rPr>
                <w:sz w:val="14"/>
                <w:szCs w:val="14"/>
                <w:color w:val="auto"/>
              </w:rPr>
            </w:pPr>
          </w:p>
        </w:tc>
        <w:tc>
          <w:tcPr>
            <w:tcW w:w="1660" w:type="dxa"/>
            <w:vAlign w:val="bottom"/>
            <w:gridSpan w:val="2"/>
          </w:tcPr>
          <w:p>
            <w:pPr>
              <w:jc w:val="center"/>
              <w:spacing w:after="0" w:line="168" w:lineRule="exact"/>
              <w:rPr>
                <w:sz w:val="20"/>
                <w:szCs w:val="20"/>
                <w:color w:val="auto"/>
              </w:rPr>
            </w:pPr>
            <w:r>
              <w:rPr>
                <w:rFonts w:ascii="Arial" w:cs="Arial" w:eastAsia="Arial" w:hAnsi="Arial"/>
                <w:sz w:val="17"/>
                <w:szCs w:val="17"/>
                <w:b w:val="1"/>
                <w:bCs w:val="1"/>
                <w:color w:val="auto"/>
                <w:w w:val="90"/>
              </w:rPr>
              <w:t>Investment - Reverse</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640" w:type="dxa"/>
            <w:vAlign w:val="bottom"/>
            <w:gridSpan w:val="2"/>
          </w:tcPr>
          <w:p>
            <w:pPr>
              <w:jc w:val="center"/>
              <w:spacing w:after="0" w:line="168" w:lineRule="exact"/>
              <w:rPr>
                <w:sz w:val="20"/>
                <w:szCs w:val="20"/>
                <w:color w:val="auto"/>
              </w:rPr>
            </w:pPr>
            <w:r>
              <w:rPr>
                <w:rFonts w:ascii="Arial" w:cs="Arial" w:eastAsia="Arial" w:hAnsi="Arial"/>
                <w:sz w:val="17"/>
                <w:szCs w:val="17"/>
                <w:b w:val="1"/>
                <w:bCs w:val="1"/>
                <w:color w:val="auto"/>
                <w:w w:val="90"/>
              </w:rPr>
              <w:t>Investment - Reverse</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44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center"/>
              <w:ind w:right="114"/>
              <w:spacing w:after="0"/>
              <w:rPr>
                <w:sz w:val="20"/>
                <w:szCs w:val="20"/>
                <w:color w:val="auto"/>
              </w:rPr>
            </w:pPr>
            <w:r>
              <w:rPr>
                <w:rFonts w:ascii="Arial" w:cs="Arial" w:eastAsia="Arial" w:hAnsi="Arial"/>
                <w:sz w:val="17"/>
                <w:szCs w:val="17"/>
                <w:b w:val="1"/>
                <w:bCs w:val="1"/>
                <w:color w:val="auto"/>
                <w:w w:val="90"/>
              </w:rPr>
              <w:t>Mortgages</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center"/>
              <w:ind w:right="74"/>
              <w:spacing w:after="0"/>
              <w:rPr>
                <w:sz w:val="20"/>
                <w:szCs w:val="20"/>
                <w:color w:val="auto"/>
              </w:rPr>
            </w:pPr>
            <w:r>
              <w:rPr>
                <w:rFonts w:ascii="Arial" w:cs="Arial" w:eastAsia="Arial" w:hAnsi="Arial"/>
                <w:sz w:val="17"/>
                <w:szCs w:val="17"/>
                <w:b w:val="1"/>
                <w:bCs w:val="1"/>
                <w:color w:val="auto"/>
                <w:w w:val="91"/>
              </w:rPr>
              <w:t>Borrowings (2)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center"/>
              <w:ind w:right="114"/>
              <w:spacing w:after="0"/>
              <w:rPr>
                <w:sz w:val="20"/>
                <w:szCs w:val="20"/>
                <w:color w:val="auto"/>
              </w:rPr>
            </w:pPr>
            <w:r>
              <w:rPr>
                <w:rFonts w:ascii="Arial" w:cs="Arial" w:eastAsia="Arial" w:hAnsi="Arial"/>
                <w:sz w:val="17"/>
                <w:szCs w:val="17"/>
                <w:b w:val="1"/>
                <w:bCs w:val="1"/>
                <w:color w:val="auto"/>
                <w:w w:val="90"/>
              </w:rPr>
              <w:t>Mortgages</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center"/>
              <w:ind w:right="74"/>
              <w:spacing w:after="0"/>
              <w:rPr>
                <w:sz w:val="20"/>
                <w:szCs w:val="20"/>
                <w:color w:val="auto"/>
              </w:rPr>
            </w:pPr>
            <w:r>
              <w:rPr>
                <w:rFonts w:ascii="Arial" w:cs="Arial" w:eastAsia="Arial" w:hAnsi="Arial"/>
                <w:sz w:val="17"/>
                <w:szCs w:val="17"/>
                <w:b w:val="1"/>
                <w:bCs w:val="1"/>
                <w:color w:val="auto"/>
                <w:w w:val="91"/>
              </w:rPr>
              <w:t>Borrowings (2)</w:t>
            </w:r>
          </w:p>
        </w:tc>
        <w:tc>
          <w:tcPr>
            <w:tcW w:w="0" w:type="dxa"/>
            <w:vAlign w:val="bottom"/>
          </w:tcPr>
          <w:p>
            <w:pPr>
              <w:spacing w:after="0"/>
              <w:rPr>
                <w:sz w:val="1"/>
                <w:szCs w:val="1"/>
                <w:color w:val="auto"/>
              </w:rPr>
            </w:pPr>
          </w:p>
        </w:tc>
      </w:tr>
      <w:tr>
        <w:trPr>
          <w:trHeight w:val="213"/>
        </w:trPr>
        <w:tc>
          <w:tcPr>
            <w:tcW w:w="44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Beginning balance</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7,451,555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(7,118,844)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7,044,374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(6,778,195)</w:t>
            </w:r>
          </w:p>
        </w:tc>
        <w:tc>
          <w:tcPr>
            <w:tcW w:w="0" w:type="dxa"/>
            <w:vAlign w:val="bottom"/>
          </w:tcPr>
          <w:p>
            <w:pPr>
              <w:spacing w:after="0"/>
              <w:rPr>
                <w:sz w:val="1"/>
                <w:szCs w:val="1"/>
                <w:color w:val="auto"/>
              </w:rPr>
            </w:pPr>
          </w:p>
        </w:tc>
      </w:tr>
      <w:tr>
        <w:trPr>
          <w:trHeight w:val="220"/>
        </w:trPr>
        <w:tc>
          <w:tcPr>
            <w:tcW w:w="4400" w:type="dxa"/>
            <w:vAlign w:val="bottom"/>
          </w:tcPr>
          <w:p>
            <w:pPr>
              <w:ind w:left="120"/>
              <w:spacing w:after="0"/>
              <w:rPr>
                <w:sz w:val="20"/>
                <w:szCs w:val="20"/>
                <w:color w:val="auto"/>
              </w:rPr>
            </w:pPr>
            <w:r>
              <w:rPr>
                <w:rFonts w:ascii="Arial" w:cs="Arial" w:eastAsia="Arial" w:hAnsi="Arial"/>
                <w:sz w:val="17"/>
                <w:szCs w:val="17"/>
                <w:color w:val="auto"/>
              </w:rPr>
              <w:t>Originations</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524,618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393,707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4400" w:type="dxa"/>
            <w:vAlign w:val="bottom"/>
            <w:shd w:val="clear" w:color="auto" w:fill="CCEEFF"/>
          </w:tcPr>
          <w:p>
            <w:pPr>
              <w:ind w:left="120"/>
              <w:spacing w:after="0"/>
              <w:rPr>
                <w:sz w:val="20"/>
                <w:szCs w:val="20"/>
                <w:color w:val="auto"/>
              </w:rPr>
            </w:pPr>
            <w:r>
              <w:rPr>
                <w:rFonts w:ascii="Arial" w:cs="Arial" w:eastAsia="Arial" w:hAnsi="Arial"/>
                <w:sz w:val="17"/>
                <w:szCs w:val="17"/>
                <w:color w:val="auto"/>
                <w:w w:val="97"/>
              </w:rPr>
              <w:t>Securitization of HECM loans accounted for as a financing</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(565,977)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(379,650)</w:t>
            </w:r>
          </w:p>
        </w:tc>
        <w:tc>
          <w:tcPr>
            <w:tcW w:w="0" w:type="dxa"/>
            <w:vAlign w:val="bottom"/>
          </w:tcPr>
          <w:p>
            <w:pPr>
              <w:spacing w:after="0"/>
              <w:rPr>
                <w:sz w:val="1"/>
                <w:szCs w:val="1"/>
                <w:color w:val="auto"/>
              </w:rPr>
            </w:pPr>
          </w:p>
        </w:tc>
      </w:tr>
      <w:tr>
        <w:trPr>
          <w:trHeight w:val="168"/>
        </w:trPr>
        <w:tc>
          <w:tcPr>
            <w:tcW w:w="4400" w:type="dxa"/>
            <w:vAlign w:val="bottom"/>
          </w:tcPr>
          <w:p>
            <w:pPr>
              <w:ind w:left="120"/>
              <w:spacing w:after="0" w:line="168" w:lineRule="exact"/>
              <w:rPr>
                <w:sz w:val="20"/>
                <w:szCs w:val="20"/>
                <w:color w:val="auto"/>
              </w:rPr>
            </w:pPr>
            <w:r>
              <w:rPr>
                <w:rFonts w:ascii="Arial" w:cs="Arial" w:eastAsia="Arial" w:hAnsi="Arial"/>
                <w:sz w:val="17"/>
                <w:szCs w:val="17"/>
                <w:color w:val="auto"/>
                <w:w w:val="95"/>
              </w:rPr>
              <w:t>Additional proceeds from securitization of HECM loans and</w:t>
            </w:r>
          </w:p>
        </w:tc>
        <w:tc>
          <w:tcPr>
            <w:tcW w:w="200" w:type="dxa"/>
            <w:vAlign w:val="bottom"/>
          </w:tcPr>
          <w:p>
            <w:pPr>
              <w:spacing w:after="0"/>
              <w:rPr>
                <w:sz w:val="14"/>
                <w:szCs w:val="14"/>
                <w:color w:val="auto"/>
              </w:rPr>
            </w:pPr>
          </w:p>
        </w:tc>
        <w:tc>
          <w:tcPr>
            <w:tcW w:w="146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vMerge w:val="restart"/>
          </w:tcPr>
          <w:p>
            <w:pPr>
              <w:jc w:val="right"/>
              <w:spacing w:after="0"/>
              <w:rPr>
                <w:sz w:val="20"/>
                <w:szCs w:val="20"/>
                <w:color w:val="auto"/>
              </w:rPr>
            </w:pPr>
            <w:r>
              <w:rPr>
                <w:rFonts w:ascii="Arial" w:cs="Arial" w:eastAsia="Arial" w:hAnsi="Arial"/>
                <w:sz w:val="17"/>
                <w:szCs w:val="17"/>
                <w:color w:val="auto"/>
              </w:rPr>
              <w:t>(10,102)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vMerge w:val="restart"/>
          </w:tcPr>
          <w:p>
            <w:pPr>
              <w:jc w:val="right"/>
              <w:spacing w:after="0"/>
              <w:rPr>
                <w:sz w:val="20"/>
                <w:szCs w:val="20"/>
                <w:color w:val="auto"/>
              </w:rPr>
            </w:pPr>
            <w:r>
              <w:rPr>
                <w:rFonts w:ascii="Arial" w:cs="Arial" w:eastAsia="Arial" w:hAnsi="Arial"/>
                <w:sz w:val="17"/>
                <w:szCs w:val="17"/>
                <w:color w:val="auto"/>
              </w:rPr>
              <w:t>(14,608)</w:t>
            </w:r>
          </w:p>
        </w:tc>
        <w:tc>
          <w:tcPr>
            <w:tcW w:w="0" w:type="dxa"/>
            <w:vAlign w:val="bottom"/>
          </w:tcPr>
          <w:p>
            <w:pPr>
              <w:spacing w:after="0"/>
              <w:rPr>
                <w:sz w:val="1"/>
                <w:szCs w:val="1"/>
                <w:color w:val="auto"/>
              </w:rPr>
            </w:pPr>
          </w:p>
        </w:tc>
      </w:tr>
      <w:tr>
        <w:trPr>
          <w:trHeight w:val="219"/>
        </w:trPr>
        <w:tc>
          <w:tcPr>
            <w:tcW w:w="4400" w:type="dxa"/>
            <w:vAlign w:val="bottom"/>
          </w:tcPr>
          <w:p>
            <w:pPr>
              <w:ind w:left="280"/>
              <w:spacing w:after="0"/>
              <w:rPr>
                <w:sz w:val="20"/>
                <w:szCs w:val="20"/>
                <w:color w:val="auto"/>
              </w:rPr>
            </w:pPr>
            <w:r>
              <w:rPr>
                <w:rFonts w:ascii="Arial" w:cs="Arial" w:eastAsia="Arial" w:hAnsi="Arial"/>
                <w:sz w:val="17"/>
                <w:szCs w:val="17"/>
                <w:color w:val="auto"/>
              </w:rPr>
              <w:t>tails</w:t>
            </w:r>
          </w:p>
        </w:tc>
        <w:tc>
          <w:tcPr>
            <w:tcW w:w="200" w:type="dxa"/>
            <w:vAlign w:val="bottom"/>
          </w:tcPr>
          <w:p>
            <w:pPr>
              <w:spacing w:after="0"/>
              <w:rPr>
                <w:sz w:val="19"/>
                <w:szCs w:val="19"/>
                <w:color w:val="auto"/>
              </w:rPr>
            </w:pPr>
          </w:p>
        </w:tc>
        <w:tc>
          <w:tcPr>
            <w:tcW w:w="14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4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Repayments (principal payments received)</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(476,303)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476,108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(406,856)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403,770</w:t>
            </w:r>
          </w:p>
        </w:tc>
        <w:tc>
          <w:tcPr>
            <w:tcW w:w="0" w:type="dxa"/>
            <w:vAlign w:val="bottom"/>
          </w:tcPr>
          <w:p>
            <w:pPr>
              <w:spacing w:after="0"/>
              <w:rPr>
                <w:sz w:val="1"/>
                <w:szCs w:val="1"/>
                <w:color w:val="auto"/>
              </w:rPr>
            </w:pPr>
          </w:p>
        </w:tc>
      </w:tr>
      <w:tr>
        <w:trPr>
          <w:trHeight w:val="220"/>
        </w:trPr>
        <w:tc>
          <w:tcPr>
            <w:tcW w:w="4400" w:type="dxa"/>
            <w:vAlign w:val="bottom"/>
          </w:tcPr>
          <w:p>
            <w:pPr>
              <w:ind w:left="120"/>
              <w:spacing w:after="0"/>
              <w:rPr>
                <w:sz w:val="20"/>
                <w:szCs w:val="20"/>
                <w:color w:val="auto"/>
              </w:rPr>
            </w:pPr>
            <w:r>
              <w:rPr>
                <w:rFonts w:ascii="Arial" w:cs="Arial" w:eastAsia="Arial" w:hAnsi="Arial"/>
                <w:sz w:val="17"/>
                <w:szCs w:val="17"/>
                <w:color w:val="auto"/>
              </w:rPr>
              <w:t>Transfers to:</w:t>
            </w: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4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Loans held for sale, at fair value</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(16,492)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4400" w:type="dxa"/>
            <w:vAlign w:val="bottom"/>
          </w:tcPr>
          <w:p>
            <w:pPr>
              <w:ind w:left="220"/>
              <w:spacing w:after="0"/>
              <w:rPr>
                <w:sz w:val="20"/>
                <w:szCs w:val="20"/>
                <w:color w:val="auto"/>
              </w:rPr>
            </w:pPr>
            <w:r>
              <w:rPr>
                <w:rFonts w:ascii="Arial" w:cs="Arial" w:eastAsia="Arial" w:hAnsi="Arial"/>
                <w:sz w:val="17"/>
                <w:szCs w:val="17"/>
                <w:color w:val="auto"/>
              </w:rPr>
              <w:t>Receivables, net</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(36,933)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31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44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Other assets</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440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Change in fair value included in earnings (3)</w:t>
            </w: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(69,917)</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63,564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81,878</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(55,228)</w:t>
            </w:r>
          </w:p>
        </w:tc>
        <w:tc>
          <w:tcPr>
            <w:tcW w:w="0" w:type="dxa"/>
            <w:vAlign w:val="bottom"/>
          </w:tcPr>
          <w:p>
            <w:pPr>
              <w:spacing w:after="0"/>
              <w:rPr>
                <w:sz w:val="1"/>
                <w:szCs w:val="1"/>
                <w:color w:val="auto"/>
              </w:rPr>
            </w:pPr>
          </w:p>
        </w:tc>
      </w:tr>
      <w:tr>
        <w:trPr>
          <w:trHeight w:val="233"/>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Ending balance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7,376,528</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(7,155,251)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7,112,273</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(6,823,911)</w:t>
            </w:r>
          </w:p>
        </w:tc>
        <w:tc>
          <w:tcPr>
            <w:tcW w:w="0" w:type="dxa"/>
            <w:vAlign w:val="bottom"/>
          </w:tcPr>
          <w:p>
            <w:pPr>
              <w:spacing w:after="0"/>
              <w:rPr>
                <w:sz w:val="1"/>
                <w:szCs w:val="1"/>
                <w:color w:val="auto"/>
              </w:rPr>
            </w:pPr>
          </w:p>
        </w:tc>
      </w:tr>
      <w:tr>
        <w:trPr>
          <w:trHeight w:val="20"/>
        </w:trPr>
        <w:tc>
          <w:tcPr>
            <w:tcW w:w="4400" w:type="dxa"/>
            <w:vAlign w:val="bottom"/>
            <w:vMerge w:val="restart"/>
          </w:tcPr>
          <w:p>
            <w:pPr>
              <w:ind w:left="120"/>
              <w:spacing w:after="0"/>
              <w:rPr>
                <w:sz w:val="20"/>
                <w:szCs w:val="20"/>
                <w:color w:val="auto"/>
              </w:rPr>
            </w:pPr>
            <w:r>
              <w:rPr>
                <w:rFonts w:ascii="Arial" w:cs="Arial" w:eastAsia="Arial" w:hAnsi="Arial"/>
                <w:sz w:val="17"/>
                <w:szCs w:val="17"/>
                <w:color w:val="auto"/>
                <w:w w:val="98"/>
              </w:rPr>
              <w:t>Securitized loans (pledged to HMBS-Related Borrowings)</w:t>
            </w: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400" w:type="dxa"/>
            <w:vAlign w:val="bottom"/>
            <w:vMerge w:val="continue"/>
          </w:tcPr>
          <w:p>
            <w:pPr>
              <w:spacing w:after="0"/>
              <w:rPr>
                <w:sz w:val="16"/>
                <w:szCs w:val="16"/>
                <w:color w:val="auto"/>
              </w:rPr>
            </w:pPr>
          </w:p>
        </w:tc>
        <w:tc>
          <w:tcPr>
            <w:tcW w:w="200" w:type="dxa"/>
            <w:vAlign w:val="bottom"/>
          </w:tcPr>
          <w:p>
            <w:pPr>
              <w:jc w:val="right"/>
              <w:spacing w:after="0" w:line="191" w:lineRule="exact"/>
              <w:rPr>
                <w:sz w:val="20"/>
                <w:szCs w:val="20"/>
                <w:color w:val="auto"/>
              </w:rPr>
            </w:pPr>
            <w:r>
              <w:rPr>
                <w:rFonts w:ascii="Arial" w:cs="Arial" w:eastAsia="Arial" w:hAnsi="Arial"/>
                <w:sz w:val="17"/>
                <w:szCs w:val="17"/>
                <w:color w:val="auto"/>
              </w:rPr>
              <w:t>$</w:t>
            </w:r>
          </w:p>
        </w:tc>
        <w:tc>
          <w:tcPr>
            <w:tcW w:w="1460" w:type="dxa"/>
            <w:vAlign w:val="bottom"/>
          </w:tcPr>
          <w:p>
            <w:pPr>
              <w:jc w:val="right"/>
              <w:spacing w:after="0" w:line="191" w:lineRule="exact"/>
              <w:rPr>
                <w:sz w:val="20"/>
                <w:szCs w:val="20"/>
                <w:color w:val="auto"/>
              </w:rPr>
            </w:pPr>
            <w:r>
              <w:rPr>
                <w:rFonts w:ascii="Arial" w:cs="Arial" w:eastAsia="Arial" w:hAnsi="Arial"/>
                <w:sz w:val="17"/>
                <w:szCs w:val="17"/>
                <w:color w:val="auto"/>
              </w:rPr>
              <w:t>7,220,774</w:t>
            </w:r>
          </w:p>
        </w:tc>
        <w:tc>
          <w:tcPr>
            <w:tcW w:w="260" w:type="dxa"/>
            <w:vAlign w:val="bottom"/>
            <w:gridSpan w:val="2"/>
          </w:tcPr>
          <w:p>
            <w:pPr>
              <w:jc w:val="right"/>
              <w:spacing w:after="0" w:line="191" w:lineRule="exact"/>
              <w:rPr>
                <w:sz w:val="20"/>
                <w:szCs w:val="20"/>
                <w:color w:val="auto"/>
              </w:rPr>
            </w:pPr>
            <w:r>
              <w:rPr>
                <w:rFonts w:ascii="Arial" w:cs="Arial" w:eastAsia="Arial" w:hAnsi="Arial"/>
                <w:sz w:val="17"/>
                <w:szCs w:val="17"/>
                <w:color w:val="auto"/>
              </w:rPr>
              <w:t>$</w:t>
            </w:r>
          </w:p>
        </w:tc>
        <w:tc>
          <w:tcPr>
            <w:tcW w:w="1460" w:type="dxa"/>
            <w:vAlign w:val="bottom"/>
          </w:tcPr>
          <w:p>
            <w:pPr>
              <w:jc w:val="right"/>
              <w:spacing w:after="0" w:line="191" w:lineRule="exact"/>
              <w:rPr>
                <w:sz w:val="20"/>
                <w:szCs w:val="20"/>
                <w:color w:val="auto"/>
              </w:rPr>
            </w:pPr>
            <w:r>
              <w:rPr>
                <w:rFonts w:ascii="Arial" w:cs="Arial" w:eastAsia="Arial" w:hAnsi="Arial"/>
                <w:sz w:val="17"/>
                <w:szCs w:val="17"/>
                <w:color w:val="auto"/>
              </w:rPr>
              <w:t>(7,155,251)</w:t>
            </w:r>
          </w:p>
        </w:tc>
        <w:tc>
          <w:tcPr>
            <w:tcW w:w="100" w:type="dxa"/>
            <w:vAlign w:val="bottom"/>
          </w:tcPr>
          <w:p>
            <w:pPr>
              <w:spacing w:after="0"/>
              <w:rPr>
                <w:sz w:val="16"/>
                <w:szCs w:val="16"/>
                <w:color w:val="auto"/>
              </w:rPr>
            </w:pPr>
          </w:p>
        </w:tc>
        <w:tc>
          <w:tcPr>
            <w:tcW w:w="180" w:type="dxa"/>
            <w:vAlign w:val="bottom"/>
          </w:tcPr>
          <w:p>
            <w:pPr>
              <w:jc w:val="right"/>
              <w:spacing w:after="0" w:line="191" w:lineRule="exact"/>
              <w:rPr>
                <w:sz w:val="20"/>
                <w:szCs w:val="20"/>
                <w:color w:val="auto"/>
              </w:rPr>
            </w:pPr>
            <w:r>
              <w:rPr>
                <w:rFonts w:ascii="Arial" w:cs="Arial" w:eastAsia="Arial" w:hAnsi="Arial"/>
                <w:sz w:val="17"/>
                <w:szCs w:val="17"/>
                <w:color w:val="auto"/>
                <w:w w:val="84"/>
              </w:rPr>
              <w:t>$</w:t>
            </w:r>
          </w:p>
        </w:tc>
        <w:tc>
          <w:tcPr>
            <w:tcW w:w="1460" w:type="dxa"/>
            <w:vAlign w:val="bottom"/>
          </w:tcPr>
          <w:p>
            <w:pPr>
              <w:jc w:val="right"/>
              <w:spacing w:after="0" w:line="191" w:lineRule="exact"/>
              <w:rPr>
                <w:sz w:val="20"/>
                <w:szCs w:val="20"/>
                <w:color w:val="auto"/>
              </w:rPr>
            </w:pPr>
            <w:r>
              <w:rPr>
                <w:rFonts w:ascii="Arial" w:cs="Arial" w:eastAsia="Arial" w:hAnsi="Arial"/>
                <w:sz w:val="17"/>
                <w:szCs w:val="17"/>
                <w:color w:val="auto"/>
              </w:rPr>
              <w:t>6,928,459</w:t>
            </w:r>
          </w:p>
        </w:tc>
        <w:tc>
          <w:tcPr>
            <w:tcW w:w="260" w:type="dxa"/>
            <w:vAlign w:val="bottom"/>
            <w:gridSpan w:val="2"/>
          </w:tcPr>
          <w:p>
            <w:pPr>
              <w:jc w:val="right"/>
              <w:spacing w:after="0" w:line="191" w:lineRule="exact"/>
              <w:rPr>
                <w:sz w:val="20"/>
                <w:szCs w:val="20"/>
                <w:color w:val="auto"/>
              </w:rPr>
            </w:pPr>
            <w:r>
              <w:rPr>
                <w:rFonts w:ascii="Arial" w:cs="Arial" w:eastAsia="Arial" w:hAnsi="Arial"/>
                <w:sz w:val="17"/>
                <w:szCs w:val="17"/>
                <w:color w:val="auto"/>
              </w:rPr>
              <w:t>$</w:t>
            </w:r>
          </w:p>
        </w:tc>
        <w:tc>
          <w:tcPr>
            <w:tcW w:w="1460" w:type="dxa"/>
            <w:vAlign w:val="bottom"/>
          </w:tcPr>
          <w:p>
            <w:pPr>
              <w:jc w:val="right"/>
              <w:spacing w:after="0" w:line="191" w:lineRule="exact"/>
              <w:rPr>
                <w:sz w:val="20"/>
                <w:szCs w:val="20"/>
                <w:color w:val="auto"/>
              </w:rPr>
            </w:pPr>
            <w:r>
              <w:rPr>
                <w:rFonts w:ascii="Arial" w:cs="Arial" w:eastAsia="Arial" w:hAnsi="Arial"/>
                <w:sz w:val="17"/>
                <w:szCs w:val="17"/>
                <w:color w:val="auto"/>
              </w:rPr>
              <w:t>(6,823,911)</w:t>
            </w:r>
          </w:p>
        </w:tc>
        <w:tc>
          <w:tcPr>
            <w:tcW w:w="0" w:type="dxa"/>
            <w:vAlign w:val="bottom"/>
          </w:tcPr>
          <w:p>
            <w:pPr>
              <w:spacing w:after="0"/>
              <w:rPr>
                <w:sz w:val="1"/>
                <w:szCs w:val="1"/>
                <w:color w:val="auto"/>
              </w:rPr>
            </w:pPr>
          </w:p>
        </w:tc>
      </w:tr>
      <w:tr>
        <w:trPr>
          <w:trHeight w:val="220"/>
        </w:trPr>
        <w:tc>
          <w:tcPr>
            <w:tcW w:w="44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Unsecuritized loans</w:t>
            </w:r>
          </w:p>
        </w:tc>
        <w:tc>
          <w:tcPr>
            <w:tcW w:w="2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155,754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183,814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400" w:type="dxa"/>
            <w:vAlign w:val="bottom"/>
          </w:tcPr>
          <w:p>
            <w:pPr>
              <w:ind w:left="220"/>
              <w:spacing w:after="0"/>
              <w:rPr>
                <w:sz w:val="20"/>
                <w:szCs w:val="20"/>
                <w:color w:val="auto"/>
              </w:rPr>
            </w:pPr>
            <w:r>
              <w:rPr>
                <w:rFonts w:ascii="Arial" w:cs="Arial" w:eastAsia="Arial" w:hAnsi="Arial"/>
                <w:sz w:val="17"/>
                <w:szCs w:val="17"/>
                <w:color w:val="auto"/>
              </w:rPr>
              <w:t>Total</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7,376,528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7,112,273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5"/>
        </w:trPr>
        <w:tc>
          <w:tcPr>
            <w:tcW w:w="44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gridSpan w:val="4"/>
          </w:tcPr>
          <w:p>
            <w:pPr>
              <w:jc w:val="right"/>
              <w:ind w:right="594"/>
              <w:spacing w:after="0"/>
              <w:rPr>
                <w:sz w:val="20"/>
                <w:szCs w:val="20"/>
                <w:color w:val="auto"/>
              </w:rPr>
            </w:pPr>
            <w:r>
              <w:rPr>
                <w:rFonts w:ascii="Arial" w:cs="Arial" w:eastAsia="Arial" w:hAnsi="Arial"/>
                <w:sz w:val="17"/>
                <w:szCs w:val="17"/>
                <w:b w:val="1"/>
                <w:bCs w:val="1"/>
                <w:color w:val="auto"/>
              </w:rPr>
              <w:t>Six Months Ended June 30,</w:t>
            </w: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44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2022</w:t>
            </w:r>
          </w:p>
        </w:tc>
        <w:tc>
          <w:tcPr>
            <w:tcW w:w="14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2021</w:t>
            </w:r>
          </w:p>
        </w:tc>
        <w:tc>
          <w:tcPr>
            <w:tcW w:w="14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4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60" w:type="dxa"/>
            <w:vAlign w:val="bottom"/>
          </w:tcPr>
          <w:p>
            <w:pPr>
              <w:jc w:val="center"/>
              <w:ind w:right="114"/>
              <w:spacing w:after="0" w:line="161" w:lineRule="exact"/>
              <w:rPr>
                <w:sz w:val="20"/>
                <w:szCs w:val="20"/>
                <w:color w:val="auto"/>
              </w:rPr>
            </w:pPr>
            <w:r>
              <w:rPr>
                <w:rFonts w:ascii="Arial" w:cs="Arial" w:eastAsia="Arial" w:hAnsi="Arial"/>
                <w:sz w:val="17"/>
                <w:szCs w:val="17"/>
                <w:b w:val="1"/>
                <w:bCs w:val="1"/>
                <w:color w:val="auto"/>
                <w:w w:val="92"/>
              </w:rPr>
              <w:t>Loans Held for</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60" w:type="dxa"/>
            <w:vAlign w:val="bottom"/>
            <w:gridSpan w:val="2"/>
            <w:vMerge w:val="restart"/>
          </w:tcPr>
          <w:p>
            <w:pPr>
              <w:jc w:val="center"/>
              <w:ind w:right="280"/>
              <w:spacing w:after="0"/>
              <w:rPr>
                <w:sz w:val="20"/>
                <w:szCs w:val="20"/>
                <w:color w:val="auto"/>
              </w:rPr>
            </w:pPr>
            <w:r>
              <w:rPr>
                <w:rFonts w:ascii="Arial" w:cs="Arial" w:eastAsia="Arial" w:hAnsi="Arial"/>
                <w:sz w:val="17"/>
                <w:szCs w:val="17"/>
                <w:b w:val="1"/>
                <w:bCs w:val="1"/>
                <w:color w:val="auto"/>
                <w:w w:val="94"/>
              </w:rPr>
              <w:t>HMBS - Related</w:t>
            </w:r>
          </w:p>
        </w:tc>
        <w:tc>
          <w:tcPr>
            <w:tcW w:w="180" w:type="dxa"/>
            <w:vAlign w:val="bottom"/>
          </w:tcPr>
          <w:p>
            <w:pPr>
              <w:spacing w:after="0"/>
              <w:rPr>
                <w:sz w:val="13"/>
                <w:szCs w:val="13"/>
                <w:color w:val="auto"/>
              </w:rPr>
            </w:pPr>
          </w:p>
        </w:tc>
        <w:tc>
          <w:tcPr>
            <w:tcW w:w="1460" w:type="dxa"/>
            <w:vAlign w:val="bottom"/>
          </w:tcPr>
          <w:p>
            <w:pPr>
              <w:jc w:val="center"/>
              <w:ind w:right="114"/>
              <w:spacing w:after="0" w:line="161" w:lineRule="exact"/>
              <w:rPr>
                <w:sz w:val="20"/>
                <w:szCs w:val="20"/>
                <w:color w:val="auto"/>
              </w:rPr>
            </w:pPr>
            <w:r>
              <w:rPr>
                <w:rFonts w:ascii="Arial" w:cs="Arial" w:eastAsia="Arial" w:hAnsi="Arial"/>
                <w:sz w:val="17"/>
                <w:szCs w:val="17"/>
                <w:b w:val="1"/>
                <w:bCs w:val="1"/>
                <w:color w:val="auto"/>
                <w:w w:val="92"/>
              </w:rPr>
              <w:t>Loans Held for</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60" w:type="dxa"/>
            <w:vAlign w:val="bottom"/>
            <w:vMerge w:val="restart"/>
          </w:tcPr>
          <w:p>
            <w:pPr>
              <w:jc w:val="center"/>
              <w:ind w:right="74"/>
              <w:spacing w:after="0"/>
              <w:rPr>
                <w:sz w:val="20"/>
                <w:szCs w:val="20"/>
                <w:color w:val="auto"/>
              </w:rPr>
            </w:pPr>
            <w:r>
              <w:rPr>
                <w:rFonts w:ascii="Arial" w:cs="Arial" w:eastAsia="Arial" w:hAnsi="Arial"/>
                <w:sz w:val="17"/>
                <w:szCs w:val="17"/>
                <w:b w:val="1"/>
                <w:bCs w:val="1"/>
                <w:color w:val="auto"/>
                <w:w w:val="96"/>
              </w:rPr>
              <w:t>HMBS - Related</w:t>
            </w:r>
          </w:p>
        </w:tc>
        <w:tc>
          <w:tcPr>
            <w:tcW w:w="0" w:type="dxa"/>
            <w:vAlign w:val="bottom"/>
          </w:tcPr>
          <w:p>
            <w:pPr>
              <w:spacing w:after="0"/>
              <w:rPr>
                <w:sz w:val="1"/>
                <w:szCs w:val="1"/>
                <w:color w:val="auto"/>
              </w:rPr>
            </w:pPr>
          </w:p>
        </w:tc>
      </w:tr>
      <w:tr>
        <w:trPr>
          <w:trHeight w:val="168"/>
        </w:trPr>
        <w:tc>
          <w:tcPr>
            <w:tcW w:w="4400" w:type="dxa"/>
            <w:vAlign w:val="bottom"/>
          </w:tcPr>
          <w:p>
            <w:pPr>
              <w:spacing w:after="0"/>
              <w:rPr>
                <w:sz w:val="14"/>
                <w:szCs w:val="14"/>
                <w:color w:val="auto"/>
              </w:rPr>
            </w:pPr>
          </w:p>
        </w:tc>
        <w:tc>
          <w:tcPr>
            <w:tcW w:w="1660" w:type="dxa"/>
            <w:vAlign w:val="bottom"/>
            <w:gridSpan w:val="2"/>
          </w:tcPr>
          <w:p>
            <w:pPr>
              <w:jc w:val="center"/>
              <w:spacing w:after="0" w:line="168" w:lineRule="exact"/>
              <w:rPr>
                <w:sz w:val="20"/>
                <w:szCs w:val="20"/>
                <w:color w:val="auto"/>
              </w:rPr>
            </w:pPr>
            <w:r>
              <w:rPr>
                <w:rFonts w:ascii="Arial" w:cs="Arial" w:eastAsia="Arial" w:hAnsi="Arial"/>
                <w:sz w:val="17"/>
                <w:szCs w:val="17"/>
                <w:b w:val="1"/>
                <w:bCs w:val="1"/>
                <w:color w:val="auto"/>
                <w:w w:val="90"/>
              </w:rPr>
              <w:t>Investment - Reverse</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640" w:type="dxa"/>
            <w:vAlign w:val="bottom"/>
            <w:gridSpan w:val="2"/>
          </w:tcPr>
          <w:p>
            <w:pPr>
              <w:jc w:val="center"/>
              <w:spacing w:after="0" w:line="168" w:lineRule="exact"/>
              <w:rPr>
                <w:sz w:val="20"/>
                <w:szCs w:val="20"/>
                <w:color w:val="auto"/>
              </w:rPr>
            </w:pPr>
            <w:r>
              <w:rPr>
                <w:rFonts w:ascii="Arial" w:cs="Arial" w:eastAsia="Arial" w:hAnsi="Arial"/>
                <w:sz w:val="17"/>
                <w:szCs w:val="17"/>
                <w:b w:val="1"/>
                <w:bCs w:val="1"/>
                <w:color w:val="auto"/>
                <w:w w:val="90"/>
              </w:rPr>
              <w:t>Investment - Reverse</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44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center"/>
              <w:ind w:right="114"/>
              <w:spacing w:after="0"/>
              <w:rPr>
                <w:sz w:val="20"/>
                <w:szCs w:val="20"/>
                <w:color w:val="auto"/>
              </w:rPr>
            </w:pPr>
            <w:r>
              <w:rPr>
                <w:rFonts w:ascii="Arial" w:cs="Arial" w:eastAsia="Arial" w:hAnsi="Arial"/>
                <w:sz w:val="17"/>
                <w:szCs w:val="17"/>
                <w:b w:val="1"/>
                <w:bCs w:val="1"/>
                <w:color w:val="auto"/>
                <w:w w:val="90"/>
              </w:rPr>
              <w:t>Mortgages</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center"/>
              <w:ind w:right="74"/>
              <w:spacing w:after="0"/>
              <w:rPr>
                <w:sz w:val="20"/>
                <w:szCs w:val="20"/>
                <w:color w:val="auto"/>
              </w:rPr>
            </w:pPr>
            <w:r>
              <w:rPr>
                <w:rFonts w:ascii="Arial" w:cs="Arial" w:eastAsia="Arial" w:hAnsi="Arial"/>
                <w:sz w:val="17"/>
                <w:szCs w:val="17"/>
                <w:b w:val="1"/>
                <w:bCs w:val="1"/>
                <w:color w:val="auto"/>
                <w:w w:val="91"/>
              </w:rPr>
              <w:t>Borrowings (2)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center"/>
              <w:ind w:right="114"/>
              <w:spacing w:after="0"/>
              <w:rPr>
                <w:sz w:val="20"/>
                <w:szCs w:val="20"/>
                <w:color w:val="auto"/>
              </w:rPr>
            </w:pPr>
            <w:r>
              <w:rPr>
                <w:rFonts w:ascii="Arial" w:cs="Arial" w:eastAsia="Arial" w:hAnsi="Arial"/>
                <w:sz w:val="17"/>
                <w:szCs w:val="17"/>
                <w:b w:val="1"/>
                <w:bCs w:val="1"/>
                <w:color w:val="auto"/>
                <w:w w:val="90"/>
              </w:rPr>
              <w:t>Mortgages</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center"/>
              <w:ind w:right="74"/>
              <w:spacing w:after="0"/>
              <w:rPr>
                <w:sz w:val="20"/>
                <w:szCs w:val="20"/>
                <w:color w:val="auto"/>
              </w:rPr>
            </w:pPr>
            <w:r>
              <w:rPr>
                <w:rFonts w:ascii="Arial" w:cs="Arial" w:eastAsia="Arial" w:hAnsi="Arial"/>
                <w:sz w:val="17"/>
                <w:szCs w:val="17"/>
                <w:b w:val="1"/>
                <w:bCs w:val="1"/>
                <w:color w:val="auto"/>
                <w:w w:val="91"/>
              </w:rPr>
              <w:t>Borrowings (2)</w:t>
            </w:r>
          </w:p>
        </w:tc>
        <w:tc>
          <w:tcPr>
            <w:tcW w:w="0" w:type="dxa"/>
            <w:vAlign w:val="bottom"/>
          </w:tcPr>
          <w:p>
            <w:pPr>
              <w:spacing w:after="0"/>
              <w:rPr>
                <w:sz w:val="1"/>
                <w:szCs w:val="1"/>
                <w:color w:val="auto"/>
              </w:rPr>
            </w:pPr>
          </w:p>
        </w:tc>
      </w:tr>
      <w:tr>
        <w:trPr>
          <w:trHeight w:val="213"/>
        </w:trPr>
        <w:tc>
          <w:tcPr>
            <w:tcW w:w="44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Beginning balance</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7,199,762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(6,885,022)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6,997,127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(6,772,711)</w:t>
            </w:r>
          </w:p>
        </w:tc>
        <w:tc>
          <w:tcPr>
            <w:tcW w:w="0" w:type="dxa"/>
            <w:vAlign w:val="bottom"/>
          </w:tcPr>
          <w:p>
            <w:pPr>
              <w:spacing w:after="0"/>
              <w:rPr>
                <w:sz w:val="1"/>
                <w:szCs w:val="1"/>
                <w:color w:val="auto"/>
              </w:rPr>
            </w:pPr>
          </w:p>
        </w:tc>
      </w:tr>
      <w:tr>
        <w:trPr>
          <w:trHeight w:val="220"/>
        </w:trPr>
        <w:tc>
          <w:tcPr>
            <w:tcW w:w="4400" w:type="dxa"/>
            <w:vAlign w:val="bottom"/>
          </w:tcPr>
          <w:p>
            <w:pPr>
              <w:ind w:left="120"/>
              <w:spacing w:after="0"/>
              <w:rPr>
                <w:sz w:val="20"/>
                <w:szCs w:val="20"/>
                <w:color w:val="auto"/>
              </w:rPr>
            </w:pPr>
            <w:r>
              <w:rPr>
                <w:rFonts w:ascii="Arial" w:cs="Arial" w:eastAsia="Arial" w:hAnsi="Arial"/>
                <w:sz w:val="17"/>
                <w:szCs w:val="17"/>
                <w:color w:val="auto"/>
              </w:rPr>
              <w:t>Originations</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1,144,856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720,442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68"/>
        </w:trPr>
        <w:tc>
          <w:tcPr>
            <w:tcW w:w="4400" w:type="dxa"/>
            <w:vAlign w:val="bottom"/>
            <w:shd w:val="clear" w:color="auto" w:fill="CCEEFF"/>
          </w:tcPr>
          <w:p>
            <w:pPr>
              <w:ind w:left="120"/>
              <w:spacing w:after="0" w:line="168" w:lineRule="exact"/>
              <w:rPr>
                <w:sz w:val="20"/>
                <w:szCs w:val="20"/>
                <w:color w:val="auto"/>
              </w:rPr>
            </w:pPr>
            <w:r>
              <w:rPr>
                <w:rFonts w:ascii="Arial" w:cs="Arial" w:eastAsia="Arial" w:hAnsi="Arial"/>
                <w:sz w:val="17"/>
                <w:szCs w:val="17"/>
                <w:color w:val="auto"/>
                <w:w w:val="97"/>
              </w:rPr>
              <w:t>Securitization of HECM loans accounted for as a financing</w:t>
            </w:r>
          </w:p>
        </w:tc>
        <w:tc>
          <w:tcPr>
            <w:tcW w:w="200" w:type="dxa"/>
            <w:vAlign w:val="bottom"/>
            <w:shd w:val="clear" w:color="auto" w:fill="CCEEFF"/>
          </w:tcPr>
          <w:p>
            <w:pPr>
              <w:spacing w:after="0"/>
              <w:rPr>
                <w:sz w:val="14"/>
                <w:szCs w:val="14"/>
                <w:color w:val="auto"/>
              </w:rPr>
            </w:pP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(1,149,876)</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(667,480)</w:t>
            </w:r>
          </w:p>
        </w:tc>
        <w:tc>
          <w:tcPr>
            <w:tcW w:w="0" w:type="dxa"/>
            <w:vAlign w:val="bottom"/>
          </w:tcPr>
          <w:p>
            <w:pPr>
              <w:spacing w:after="0"/>
              <w:rPr>
                <w:sz w:val="1"/>
                <w:szCs w:val="1"/>
                <w:color w:val="auto"/>
              </w:rPr>
            </w:pPr>
          </w:p>
        </w:tc>
      </w:tr>
      <w:tr>
        <w:trPr>
          <w:trHeight w:val="219"/>
        </w:trPr>
        <w:tc>
          <w:tcPr>
            <w:tcW w:w="4400" w:type="dxa"/>
            <w:vAlign w:val="bottom"/>
            <w:shd w:val="clear" w:color="auto" w:fill="CCEEFF"/>
          </w:tcPr>
          <w:p>
            <w:pPr>
              <w:ind w:left="280"/>
              <w:spacing w:after="0"/>
              <w:rPr>
                <w:sz w:val="20"/>
                <w:szCs w:val="20"/>
                <w:color w:val="auto"/>
              </w:rPr>
            </w:pPr>
            <w:r>
              <w:rPr>
                <w:rFonts w:ascii="Arial" w:cs="Arial" w:eastAsia="Arial" w:hAnsi="Arial"/>
                <w:sz w:val="17"/>
                <w:szCs w:val="17"/>
                <w:color w:val="auto"/>
              </w:rPr>
              <w:t>(incl. realized fair value changes)</w:t>
            </w:r>
          </w:p>
        </w:tc>
        <w:tc>
          <w:tcPr>
            <w:tcW w:w="200" w:type="dxa"/>
            <w:vAlign w:val="bottom"/>
            <w:shd w:val="clear" w:color="auto" w:fill="CCEEFF"/>
          </w:tcPr>
          <w:p>
            <w:pPr>
              <w:spacing w:after="0"/>
              <w:rPr>
                <w:sz w:val="19"/>
                <w:szCs w:val="19"/>
                <w:color w:val="auto"/>
              </w:rPr>
            </w:pPr>
          </w:p>
        </w:tc>
        <w:tc>
          <w:tcPr>
            <w:tcW w:w="14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4400" w:type="dxa"/>
            <w:vAlign w:val="bottom"/>
          </w:tcPr>
          <w:p>
            <w:pPr>
              <w:ind w:left="120"/>
              <w:spacing w:after="0" w:line="168" w:lineRule="exact"/>
              <w:rPr>
                <w:sz w:val="20"/>
                <w:szCs w:val="20"/>
                <w:color w:val="auto"/>
              </w:rPr>
            </w:pPr>
            <w:r>
              <w:rPr>
                <w:rFonts w:ascii="Arial" w:cs="Arial" w:eastAsia="Arial" w:hAnsi="Arial"/>
                <w:sz w:val="17"/>
                <w:szCs w:val="17"/>
                <w:color w:val="auto"/>
                <w:w w:val="95"/>
              </w:rPr>
              <w:t>Additional proceeds from securitization of HECM loans and</w:t>
            </w:r>
          </w:p>
        </w:tc>
        <w:tc>
          <w:tcPr>
            <w:tcW w:w="200" w:type="dxa"/>
            <w:vAlign w:val="bottom"/>
          </w:tcPr>
          <w:p>
            <w:pPr>
              <w:spacing w:after="0"/>
              <w:rPr>
                <w:sz w:val="14"/>
                <w:szCs w:val="14"/>
                <w:color w:val="auto"/>
              </w:rPr>
            </w:pPr>
          </w:p>
        </w:tc>
        <w:tc>
          <w:tcPr>
            <w:tcW w:w="146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vMerge w:val="restart"/>
          </w:tcPr>
          <w:p>
            <w:pPr>
              <w:jc w:val="right"/>
              <w:spacing w:after="0"/>
              <w:rPr>
                <w:sz w:val="20"/>
                <w:szCs w:val="20"/>
                <w:color w:val="auto"/>
              </w:rPr>
            </w:pPr>
            <w:r>
              <w:rPr>
                <w:rFonts w:ascii="Arial" w:cs="Arial" w:eastAsia="Arial" w:hAnsi="Arial"/>
                <w:sz w:val="17"/>
                <w:szCs w:val="17"/>
                <w:color w:val="auto"/>
              </w:rPr>
              <w:t>(22,299)</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vMerge w:val="restart"/>
          </w:tcPr>
          <w:p>
            <w:pPr>
              <w:jc w:val="right"/>
              <w:spacing w:after="0"/>
              <w:rPr>
                <w:sz w:val="20"/>
                <w:szCs w:val="20"/>
                <w:color w:val="auto"/>
              </w:rPr>
            </w:pPr>
            <w:r>
              <w:rPr>
                <w:rFonts w:ascii="Arial" w:cs="Arial" w:eastAsia="Arial" w:hAnsi="Arial"/>
                <w:sz w:val="17"/>
                <w:szCs w:val="17"/>
                <w:color w:val="auto"/>
              </w:rPr>
              <w:t>(27,173)</w:t>
            </w:r>
          </w:p>
        </w:tc>
        <w:tc>
          <w:tcPr>
            <w:tcW w:w="0" w:type="dxa"/>
            <w:vAlign w:val="bottom"/>
          </w:tcPr>
          <w:p>
            <w:pPr>
              <w:spacing w:after="0"/>
              <w:rPr>
                <w:sz w:val="1"/>
                <w:szCs w:val="1"/>
                <w:color w:val="auto"/>
              </w:rPr>
            </w:pPr>
          </w:p>
        </w:tc>
      </w:tr>
      <w:tr>
        <w:trPr>
          <w:trHeight w:val="219"/>
        </w:trPr>
        <w:tc>
          <w:tcPr>
            <w:tcW w:w="4400" w:type="dxa"/>
            <w:vAlign w:val="bottom"/>
          </w:tcPr>
          <w:p>
            <w:pPr>
              <w:ind w:left="280"/>
              <w:spacing w:after="0"/>
              <w:rPr>
                <w:sz w:val="20"/>
                <w:szCs w:val="20"/>
                <w:color w:val="auto"/>
              </w:rPr>
            </w:pPr>
            <w:r>
              <w:rPr>
                <w:rFonts w:ascii="Arial" w:cs="Arial" w:eastAsia="Arial" w:hAnsi="Arial"/>
                <w:sz w:val="17"/>
                <w:szCs w:val="17"/>
                <w:color w:val="auto"/>
              </w:rPr>
              <w:t>tails</w:t>
            </w:r>
          </w:p>
        </w:tc>
        <w:tc>
          <w:tcPr>
            <w:tcW w:w="200" w:type="dxa"/>
            <w:vAlign w:val="bottom"/>
          </w:tcPr>
          <w:p>
            <w:pPr>
              <w:spacing w:after="0"/>
              <w:rPr>
                <w:sz w:val="19"/>
                <w:szCs w:val="19"/>
                <w:color w:val="auto"/>
              </w:rPr>
            </w:pPr>
          </w:p>
        </w:tc>
        <w:tc>
          <w:tcPr>
            <w:tcW w:w="14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4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Acquisition (1)</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211,258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(209,057)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4400" w:type="dxa"/>
            <w:vAlign w:val="bottom"/>
          </w:tcPr>
          <w:p>
            <w:pPr>
              <w:ind w:left="120"/>
              <w:spacing w:after="0"/>
              <w:rPr>
                <w:sz w:val="20"/>
                <w:szCs w:val="20"/>
                <w:color w:val="auto"/>
              </w:rPr>
            </w:pPr>
            <w:r>
              <w:rPr>
                <w:rFonts w:ascii="Arial" w:cs="Arial" w:eastAsia="Arial" w:hAnsi="Arial"/>
                <w:sz w:val="17"/>
                <w:szCs w:val="17"/>
                <w:color w:val="auto"/>
              </w:rPr>
              <w:t>Repayments (principal payments received)</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(995,122)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993,487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(721,009)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715,332</w:t>
            </w:r>
          </w:p>
        </w:tc>
        <w:tc>
          <w:tcPr>
            <w:tcW w:w="0" w:type="dxa"/>
            <w:vAlign w:val="bottom"/>
          </w:tcPr>
          <w:p>
            <w:pPr>
              <w:spacing w:after="0"/>
              <w:rPr>
                <w:sz w:val="1"/>
                <w:szCs w:val="1"/>
                <w:color w:val="auto"/>
              </w:rPr>
            </w:pPr>
          </w:p>
        </w:tc>
      </w:tr>
      <w:tr>
        <w:trPr>
          <w:trHeight w:val="220"/>
        </w:trPr>
        <w:tc>
          <w:tcPr>
            <w:tcW w:w="44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Transfers to:</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400" w:type="dxa"/>
            <w:vAlign w:val="bottom"/>
          </w:tcPr>
          <w:p>
            <w:pPr>
              <w:ind w:left="220"/>
              <w:spacing w:after="0"/>
              <w:rPr>
                <w:sz w:val="20"/>
                <w:szCs w:val="20"/>
                <w:color w:val="auto"/>
              </w:rPr>
            </w:pPr>
            <w:r>
              <w:rPr>
                <w:rFonts w:ascii="Arial" w:cs="Arial" w:eastAsia="Arial" w:hAnsi="Arial"/>
                <w:sz w:val="17"/>
                <w:szCs w:val="17"/>
                <w:color w:val="auto"/>
              </w:rPr>
              <w:t>Loans held for sale, at fair value</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(19,646)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(1,678)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44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Receivables, net</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(49,395)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4400" w:type="dxa"/>
            <w:vAlign w:val="bottom"/>
          </w:tcPr>
          <w:p>
            <w:pPr>
              <w:ind w:left="220"/>
              <w:spacing w:after="0"/>
              <w:rPr>
                <w:sz w:val="20"/>
                <w:szCs w:val="20"/>
                <w:color w:val="auto"/>
              </w:rPr>
            </w:pPr>
            <w:r>
              <w:rPr>
                <w:rFonts w:ascii="Arial" w:cs="Arial" w:eastAsia="Arial" w:hAnsi="Arial"/>
                <w:sz w:val="17"/>
                <w:szCs w:val="17"/>
                <w:color w:val="auto"/>
              </w:rPr>
              <w:t>REO (Other assets)</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(132)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(195)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44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Change in fair value (3)</w:t>
            </w:r>
          </w:p>
        </w:tc>
        <w:tc>
          <w:tcPr>
            <w:tcW w:w="2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(115,053)</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117,516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117,671</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(71,879)</w:t>
            </w:r>
          </w:p>
        </w:tc>
        <w:tc>
          <w:tcPr>
            <w:tcW w:w="0" w:type="dxa"/>
            <w:vAlign w:val="bottom"/>
          </w:tcPr>
          <w:p>
            <w:pPr>
              <w:spacing w:after="0"/>
              <w:rPr>
                <w:sz w:val="1"/>
                <w:szCs w:val="1"/>
                <w:color w:val="auto"/>
              </w:rPr>
            </w:pPr>
          </w:p>
        </w:tc>
      </w:tr>
      <w:tr>
        <w:trPr>
          <w:trHeight w:val="213"/>
        </w:trPr>
        <w:tc>
          <w:tcPr>
            <w:tcW w:w="4400" w:type="dxa"/>
            <w:vAlign w:val="bottom"/>
          </w:tcPr>
          <w:p>
            <w:pPr>
              <w:ind w:left="20"/>
              <w:spacing w:after="0"/>
              <w:rPr>
                <w:sz w:val="20"/>
                <w:szCs w:val="20"/>
                <w:color w:val="auto"/>
              </w:rPr>
            </w:pPr>
            <w:r>
              <w:rPr>
                <w:rFonts w:ascii="Arial" w:cs="Arial" w:eastAsia="Arial" w:hAnsi="Arial"/>
                <w:sz w:val="17"/>
                <w:szCs w:val="17"/>
                <w:b w:val="1"/>
                <w:bCs w:val="1"/>
                <w:color w:val="auto"/>
              </w:rPr>
              <w:t>Ending Balance</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460" w:type="dxa"/>
            <w:vAlign w:val="bottom"/>
          </w:tcPr>
          <w:p>
            <w:pPr>
              <w:jc w:val="right"/>
              <w:spacing w:after="0"/>
              <w:rPr>
                <w:sz w:val="20"/>
                <w:szCs w:val="20"/>
                <w:color w:val="auto"/>
              </w:rPr>
            </w:pPr>
            <w:r>
              <w:rPr>
                <w:rFonts w:ascii="Arial" w:cs="Arial" w:eastAsia="Arial" w:hAnsi="Arial"/>
                <w:sz w:val="17"/>
                <w:szCs w:val="17"/>
                <w:color w:val="auto"/>
              </w:rPr>
              <w:t>7,376,528</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460" w:type="dxa"/>
            <w:vAlign w:val="bottom"/>
          </w:tcPr>
          <w:p>
            <w:pPr>
              <w:jc w:val="right"/>
              <w:spacing w:after="0"/>
              <w:rPr>
                <w:sz w:val="20"/>
                <w:szCs w:val="20"/>
                <w:color w:val="auto"/>
              </w:rPr>
            </w:pPr>
            <w:r>
              <w:rPr>
                <w:rFonts w:ascii="Arial" w:cs="Arial" w:eastAsia="Arial" w:hAnsi="Arial"/>
                <w:sz w:val="17"/>
                <w:szCs w:val="17"/>
                <w:color w:val="auto"/>
              </w:rPr>
              <w:t>(7,155,251)</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tcPr>
          <w:p>
            <w:pPr>
              <w:jc w:val="right"/>
              <w:spacing w:after="0"/>
              <w:rPr>
                <w:sz w:val="20"/>
                <w:szCs w:val="20"/>
                <w:color w:val="auto"/>
              </w:rPr>
            </w:pPr>
            <w:r>
              <w:rPr>
                <w:rFonts w:ascii="Arial" w:cs="Arial" w:eastAsia="Arial" w:hAnsi="Arial"/>
                <w:sz w:val="17"/>
                <w:szCs w:val="17"/>
                <w:color w:val="auto"/>
              </w:rPr>
              <w:t>7,112,273</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460" w:type="dxa"/>
            <w:vAlign w:val="bottom"/>
          </w:tcPr>
          <w:p>
            <w:pPr>
              <w:jc w:val="right"/>
              <w:spacing w:after="0"/>
              <w:rPr>
                <w:sz w:val="20"/>
                <w:szCs w:val="20"/>
                <w:color w:val="auto"/>
              </w:rPr>
            </w:pPr>
            <w:r>
              <w:rPr>
                <w:rFonts w:ascii="Arial" w:cs="Arial" w:eastAsia="Arial" w:hAnsi="Arial"/>
                <w:sz w:val="17"/>
                <w:szCs w:val="17"/>
                <w:color w:val="auto"/>
              </w:rPr>
              <w:t>(6,823,911)</w:t>
            </w:r>
          </w:p>
        </w:tc>
        <w:tc>
          <w:tcPr>
            <w:tcW w:w="0" w:type="dxa"/>
            <w:vAlign w:val="bottom"/>
          </w:tcPr>
          <w:p>
            <w:pPr>
              <w:spacing w:after="0"/>
              <w:rPr>
                <w:sz w:val="1"/>
                <w:szCs w:val="1"/>
                <w:color w:val="auto"/>
              </w:rPr>
            </w:pPr>
          </w:p>
        </w:tc>
      </w:tr>
      <w:tr>
        <w:trPr>
          <w:trHeight w:val="20"/>
        </w:trPr>
        <w:tc>
          <w:tcPr>
            <w:tcW w:w="44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4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Securitized loans (pledged to HMBS-related borrowings)</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7,220,774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(7,155,251)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6,928,459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(6,823,911)</w:t>
            </w:r>
          </w:p>
        </w:tc>
        <w:tc>
          <w:tcPr>
            <w:tcW w:w="0" w:type="dxa"/>
            <w:vAlign w:val="bottom"/>
          </w:tcPr>
          <w:p>
            <w:pPr>
              <w:spacing w:after="0"/>
              <w:rPr>
                <w:sz w:val="1"/>
                <w:szCs w:val="1"/>
                <w:color w:val="auto"/>
              </w:rPr>
            </w:pPr>
          </w:p>
        </w:tc>
      </w:tr>
      <w:tr>
        <w:trPr>
          <w:trHeight w:val="220"/>
        </w:trPr>
        <w:tc>
          <w:tcPr>
            <w:tcW w:w="440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Unsecuritized loans</w:t>
            </w: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155,754</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183,814</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4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7,376,528</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7,112,273</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2" w:lineRule="exact"/>
        <w:rPr>
          <w:sz w:val="20"/>
          <w:szCs w:val="20"/>
          <w:color w:val="auto"/>
        </w:rPr>
      </w:pPr>
    </w:p>
    <w:p>
      <w:pPr>
        <w:ind w:left="320" w:right="300" w:hanging="317"/>
        <w:spacing w:after="0" w:line="251" w:lineRule="auto"/>
        <w:tabs>
          <w:tab w:leader="none" w:pos="3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During the first quarter of 2022, we purchased a reverse mortgage servicing portfolio of HECM loans securitized in Ginnie Mae pools. As the Ginnie Mae HMBS program does not qualify for sale accounting, the transaction conveyed the HECM loans and associated</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51" w:right="339" w:bottom="1440" w:gutter="0" w:footer="0" w:header="0"/>
        </w:sectPr>
      </w:pPr>
    </w:p>
    <w:bookmarkStart w:id="24" w:name="page25"/>
    <w:bookmarkEnd w:id="24"/>
    <w:p>
      <w:pPr>
        <w:ind w:left="320" w:right="520"/>
        <w:spacing w:after="0" w:line="243" w:lineRule="auto"/>
        <w:rPr>
          <w:sz w:val="20"/>
          <w:szCs w:val="20"/>
          <w:color w:val="auto"/>
        </w:rPr>
      </w:pPr>
      <w:r>
        <w:rPr>
          <w:rFonts w:ascii="Arial" w:cs="Arial" w:eastAsia="Arial" w:hAnsi="Arial"/>
          <w:sz w:val="16"/>
          <w:szCs w:val="16"/>
          <w:color w:val="auto"/>
        </w:rPr>
        <w:t>HMBS-related borrowings to us. We have accounted for this transaction as a secured financing, as a purchase of loans held for investment and assumption of an HMBS securitization liability for the obligation to Ginnie Mae.</w:t>
      </w:r>
    </w:p>
    <w:p>
      <w:pPr>
        <w:spacing w:after="0" w:line="1" w:lineRule="exact"/>
        <w:rPr>
          <w:sz w:val="20"/>
          <w:szCs w:val="20"/>
          <w:color w:val="auto"/>
        </w:rPr>
      </w:pPr>
    </w:p>
    <w:p>
      <w:pPr>
        <w:ind w:left="320" w:right="220" w:hanging="317"/>
        <w:spacing w:after="0" w:line="235" w:lineRule="auto"/>
        <w:tabs>
          <w:tab w:leader="none" w:pos="3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Represents amounts due to the holders of beneficial interests in Ginnie Mae guaranteed HMBS that did not qualify for sale accounting treatment of HECM loans. Under this accounting treatment, the HECM loans securitized with Ginnie Mae remain on our consolidated balance sheets and the proceeds from the sale are recognized as a financing liability, which is recorded at fair value consistent with the related HECM loans. The beneficial interests in Ginnie Mae guaranteed HMBS have no maturity dates, and the borrowings mature as the related loans are repaid. The interest rate is the pass-through rate of the loans less applicable margin. See Note 2 – Securitizations and Variable Interest Entities</w:t>
      </w:r>
    </w:p>
    <w:p>
      <w:pPr>
        <w:spacing w:after="0" w:line="3" w:lineRule="exact"/>
        <w:rPr>
          <w:rFonts w:ascii="Arial" w:cs="Arial" w:eastAsia="Arial" w:hAnsi="Arial"/>
          <w:sz w:val="16"/>
          <w:szCs w:val="16"/>
          <w:color w:val="auto"/>
        </w:rPr>
      </w:pPr>
    </w:p>
    <w:p>
      <w:pPr>
        <w:ind w:left="320" w:hanging="317"/>
        <w:spacing w:after="0"/>
        <w:tabs>
          <w:tab w:leader="none" w:pos="3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See further breakdown in the table below.</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840" w:type="dxa"/>
            <w:vAlign w:val="bottom"/>
          </w:tcPr>
          <w:p>
            <w:pPr>
              <w:ind w:left="20"/>
              <w:spacing w:after="0"/>
              <w:rPr>
                <w:sz w:val="20"/>
                <w:szCs w:val="20"/>
                <w:color w:val="auto"/>
              </w:rPr>
            </w:pPr>
            <w:r>
              <w:rPr>
                <w:rFonts w:ascii="Arial" w:cs="Arial" w:eastAsia="Arial" w:hAnsi="Arial"/>
                <w:sz w:val="17"/>
                <w:szCs w:val="17"/>
                <w:b w:val="1"/>
                <w:bCs w:val="1"/>
                <w:color w:val="auto"/>
              </w:rPr>
              <w:t>Reverse Mortgage Revenue, net</w:t>
            </w:r>
          </w:p>
        </w:tc>
        <w:tc>
          <w:tcPr>
            <w:tcW w:w="300" w:type="dxa"/>
            <w:vAlign w:val="bottom"/>
          </w:tcPr>
          <w:p>
            <w:pPr>
              <w:spacing w:after="0"/>
              <w:rPr>
                <w:sz w:val="19"/>
                <w:szCs w:val="19"/>
                <w:color w:val="auto"/>
              </w:rPr>
            </w:pPr>
          </w:p>
        </w:tc>
        <w:tc>
          <w:tcPr>
            <w:tcW w:w="2960" w:type="dxa"/>
            <w:vAlign w:val="bottom"/>
            <w:gridSpan w:val="5"/>
          </w:tcPr>
          <w:p>
            <w:pPr>
              <w:ind w:left="180"/>
              <w:spacing w:after="0"/>
              <w:rPr>
                <w:sz w:val="20"/>
                <w:szCs w:val="20"/>
                <w:color w:val="auto"/>
              </w:rPr>
            </w:pPr>
            <w:r>
              <w:rPr>
                <w:rFonts w:ascii="Arial" w:cs="Arial" w:eastAsia="Arial" w:hAnsi="Arial"/>
                <w:sz w:val="17"/>
                <w:szCs w:val="17"/>
                <w:b w:val="1"/>
                <w:bCs w:val="1"/>
                <w:color w:val="auto"/>
              </w:rPr>
              <w:t>Three Months Ended June 30,</w:t>
            </w:r>
          </w:p>
        </w:tc>
        <w:tc>
          <w:tcPr>
            <w:tcW w:w="340" w:type="dxa"/>
            <w:vAlign w:val="bottom"/>
          </w:tcPr>
          <w:p>
            <w:pPr>
              <w:spacing w:after="0"/>
              <w:rPr>
                <w:sz w:val="19"/>
                <w:szCs w:val="19"/>
                <w:color w:val="auto"/>
              </w:rPr>
            </w:pPr>
          </w:p>
        </w:tc>
        <w:tc>
          <w:tcPr>
            <w:tcW w:w="2800" w:type="dxa"/>
            <w:vAlign w:val="bottom"/>
            <w:gridSpan w:val="4"/>
          </w:tcPr>
          <w:p>
            <w:pPr>
              <w:jc w:val="right"/>
              <w:ind w:right="474"/>
              <w:spacing w:after="0"/>
              <w:rPr>
                <w:sz w:val="20"/>
                <w:szCs w:val="20"/>
                <w:color w:val="auto"/>
              </w:rPr>
            </w:pPr>
            <w:r>
              <w:rPr>
                <w:rFonts w:ascii="Arial" w:cs="Arial" w:eastAsia="Arial" w:hAnsi="Arial"/>
                <w:sz w:val="17"/>
                <w:szCs w:val="17"/>
                <w:b w:val="1"/>
                <w:bCs w:val="1"/>
                <w:color w:val="auto"/>
              </w:rPr>
              <w:t>Six Months Ended June 30,</w:t>
            </w:r>
          </w:p>
        </w:tc>
        <w:tc>
          <w:tcPr>
            <w:tcW w:w="0" w:type="dxa"/>
            <w:vAlign w:val="bottom"/>
          </w:tcPr>
          <w:p>
            <w:pPr>
              <w:spacing w:after="0"/>
              <w:rPr>
                <w:sz w:val="1"/>
                <w:szCs w:val="1"/>
                <w:color w:val="auto"/>
              </w:rPr>
            </w:pPr>
          </w:p>
        </w:tc>
      </w:tr>
      <w:tr>
        <w:trPr>
          <w:trHeight w:val="213"/>
        </w:trPr>
        <w:tc>
          <w:tcPr>
            <w:tcW w:w="484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7"/>
                <w:szCs w:val="17"/>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7"/>
                <w:szCs w:val="17"/>
                <w:b w:val="1"/>
                <w:bCs w:val="1"/>
                <w:color w:val="auto"/>
              </w:rPr>
              <w:t>2021</w:t>
            </w:r>
          </w:p>
        </w:tc>
        <w:tc>
          <w:tcPr>
            <w:tcW w:w="0" w:type="dxa"/>
            <w:vAlign w:val="bottom"/>
          </w:tcPr>
          <w:p>
            <w:pPr>
              <w:spacing w:after="0"/>
              <w:rPr>
                <w:sz w:val="1"/>
                <w:szCs w:val="1"/>
                <w:color w:val="auto"/>
              </w:rPr>
            </w:pPr>
          </w:p>
        </w:tc>
      </w:tr>
      <w:tr>
        <w:trPr>
          <w:trHeight w:val="213"/>
        </w:trPr>
        <w:tc>
          <w:tcPr>
            <w:tcW w:w="4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Gain on new originations (1)</w:t>
            </w:r>
          </w:p>
        </w:tc>
        <w:tc>
          <w:tcPr>
            <w:tcW w:w="30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12,674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16,163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33,343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33,270</w:t>
            </w:r>
          </w:p>
        </w:tc>
        <w:tc>
          <w:tcPr>
            <w:tcW w:w="0" w:type="dxa"/>
            <w:vAlign w:val="bottom"/>
          </w:tcPr>
          <w:p>
            <w:pPr>
              <w:spacing w:after="0"/>
              <w:rPr>
                <w:sz w:val="1"/>
                <w:szCs w:val="1"/>
                <w:color w:val="auto"/>
              </w:rPr>
            </w:pPr>
          </w:p>
        </w:tc>
      </w:tr>
      <w:tr>
        <w:trPr>
          <w:trHeight w:val="168"/>
        </w:trPr>
        <w:tc>
          <w:tcPr>
            <w:tcW w:w="4840" w:type="dxa"/>
            <w:vAlign w:val="bottom"/>
          </w:tcPr>
          <w:p>
            <w:pPr>
              <w:ind w:left="20"/>
              <w:spacing w:after="0" w:line="168" w:lineRule="exact"/>
              <w:rPr>
                <w:sz w:val="20"/>
                <w:szCs w:val="20"/>
                <w:color w:val="auto"/>
              </w:rPr>
            </w:pPr>
            <w:r>
              <w:rPr>
                <w:rFonts w:ascii="Arial" w:cs="Arial" w:eastAsia="Arial" w:hAnsi="Arial"/>
                <w:sz w:val="17"/>
                <w:szCs w:val="17"/>
                <w:color w:val="auto"/>
                <w:w w:val="99"/>
              </w:rPr>
              <w:t>Change in fair value of securitized loans held for investment and</w:t>
            </w:r>
          </w:p>
        </w:tc>
        <w:tc>
          <w:tcPr>
            <w:tcW w:w="300" w:type="dxa"/>
            <w:vAlign w:val="bottom"/>
          </w:tcPr>
          <w:p>
            <w:pPr>
              <w:spacing w:after="0"/>
              <w:rPr>
                <w:sz w:val="14"/>
                <w:szCs w:val="14"/>
                <w:color w:val="auto"/>
              </w:rPr>
            </w:pPr>
          </w:p>
        </w:tc>
        <w:tc>
          <w:tcPr>
            <w:tcW w:w="1240" w:type="dxa"/>
            <w:vAlign w:val="bottom"/>
            <w:vMerge w:val="restart"/>
          </w:tcPr>
          <w:p>
            <w:pPr>
              <w:jc w:val="right"/>
              <w:spacing w:after="0"/>
              <w:rPr>
                <w:sz w:val="20"/>
                <w:szCs w:val="20"/>
                <w:color w:val="auto"/>
              </w:rPr>
            </w:pPr>
            <w:r>
              <w:rPr>
                <w:rFonts w:ascii="Arial" w:cs="Arial" w:eastAsia="Arial" w:hAnsi="Arial"/>
                <w:sz w:val="17"/>
                <w:szCs w:val="17"/>
                <w:color w:val="auto"/>
              </w:rPr>
              <w:t>(19,028)</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7"/>
                <w:szCs w:val="17"/>
                <w:color w:val="auto"/>
              </w:rPr>
              <w:t>10,487</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7"/>
                <w:szCs w:val="17"/>
                <w:color w:val="auto"/>
              </w:rPr>
              <w:t>(30,881)</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7"/>
                <w:szCs w:val="17"/>
                <w:color w:val="auto"/>
              </w:rPr>
              <w:t>12,522</w:t>
            </w:r>
          </w:p>
        </w:tc>
        <w:tc>
          <w:tcPr>
            <w:tcW w:w="0" w:type="dxa"/>
            <w:vAlign w:val="bottom"/>
          </w:tcPr>
          <w:p>
            <w:pPr>
              <w:spacing w:after="0"/>
              <w:rPr>
                <w:sz w:val="1"/>
                <w:szCs w:val="1"/>
                <w:color w:val="auto"/>
              </w:rPr>
            </w:pPr>
          </w:p>
        </w:tc>
      </w:tr>
      <w:tr>
        <w:trPr>
          <w:trHeight w:val="219"/>
        </w:trPr>
        <w:tc>
          <w:tcPr>
            <w:tcW w:w="4840" w:type="dxa"/>
            <w:vAlign w:val="bottom"/>
            <w:tcBorders>
              <w:bottom w:val="single" w:sz="8" w:color="CCEEFF"/>
            </w:tcBorders>
          </w:tcPr>
          <w:p>
            <w:pPr>
              <w:ind w:left="180"/>
              <w:spacing w:after="0"/>
              <w:rPr>
                <w:sz w:val="20"/>
                <w:szCs w:val="20"/>
                <w:color w:val="auto"/>
              </w:rPr>
            </w:pPr>
            <w:r>
              <w:rPr>
                <w:rFonts w:ascii="Arial" w:cs="Arial" w:eastAsia="Arial" w:hAnsi="Arial"/>
                <w:sz w:val="17"/>
                <w:szCs w:val="17"/>
                <w:color w:val="auto"/>
              </w:rPr>
              <w:t>HMBS-related borrowings, net</w:t>
            </w: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8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Change in fair value included in earnings, net (2)</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(6,354)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26,650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2,462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45,792</w:t>
            </w:r>
          </w:p>
        </w:tc>
        <w:tc>
          <w:tcPr>
            <w:tcW w:w="0" w:type="dxa"/>
            <w:vAlign w:val="bottom"/>
          </w:tcPr>
          <w:p>
            <w:pPr>
              <w:spacing w:after="0"/>
              <w:rPr>
                <w:sz w:val="1"/>
                <w:szCs w:val="1"/>
                <w:color w:val="auto"/>
              </w:rPr>
            </w:pPr>
          </w:p>
        </w:tc>
      </w:tr>
      <w:tr>
        <w:trPr>
          <w:trHeight w:val="220"/>
        </w:trPr>
        <w:tc>
          <w:tcPr>
            <w:tcW w:w="48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Loan fees and other</w:t>
            </w: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3,738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2,651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8,032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5,335</w:t>
            </w:r>
          </w:p>
        </w:tc>
        <w:tc>
          <w:tcPr>
            <w:tcW w:w="0" w:type="dxa"/>
            <w:vAlign w:val="bottom"/>
          </w:tcPr>
          <w:p>
            <w:pPr>
              <w:spacing w:after="0"/>
              <w:rPr>
                <w:sz w:val="1"/>
                <w:szCs w:val="1"/>
                <w:color w:val="auto"/>
              </w:rPr>
            </w:pPr>
          </w:p>
        </w:tc>
      </w:tr>
      <w:tr>
        <w:trPr>
          <w:trHeight w:val="238"/>
        </w:trPr>
        <w:tc>
          <w:tcPr>
            <w:tcW w:w="48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(2,616)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29,301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10,494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51,127</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left="320" w:hanging="317"/>
        <w:spacing w:after="0"/>
        <w:tabs>
          <w:tab w:leader="none" w:pos="3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Includes the changes in fair value of newly originated loans held for investment in the period through securitization date.</w:t>
      </w:r>
    </w:p>
    <w:p>
      <w:pPr>
        <w:spacing w:after="0" w:line="8" w:lineRule="exact"/>
        <w:rPr>
          <w:rFonts w:ascii="Arial" w:cs="Arial" w:eastAsia="Arial" w:hAnsi="Arial"/>
          <w:sz w:val="16"/>
          <w:szCs w:val="16"/>
          <w:color w:val="auto"/>
        </w:rPr>
      </w:pPr>
    </w:p>
    <w:p>
      <w:pPr>
        <w:ind w:left="320" w:hanging="317"/>
        <w:spacing w:after="0"/>
        <w:tabs>
          <w:tab w:leader="none" w:pos="3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See breakdown between loans held-for-investment and HMBS - related borrowings in the table above.</w:t>
      </w:r>
    </w:p>
    <w:p>
      <w:pPr>
        <w:spacing w:after="0" w:line="200" w:lineRule="exact"/>
        <w:rPr>
          <w:sz w:val="20"/>
          <w:szCs w:val="20"/>
          <w:color w:val="auto"/>
        </w:rPr>
      </w:pPr>
    </w:p>
    <w:p>
      <w:pPr>
        <w:spacing w:after="0" w:line="253"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Note 6 – Advances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84455</wp:posOffset>
            </wp:positionV>
            <wp:extent cx="712152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3"/>
          </w:tcPr>
          <w:p>
            <w:pPr>
              <w:ind w:left="60"/>
              <w:spacing w:after="0"/>
              <w:rPr>
                <w:sz w:val="20"/>
                <w:szCs w:val="20"/>
                <w:color w:val="auto"/>
              </w:rPr>
            </w:pPr>
            <w:r>
              <w:rPr>
                <w:rFonts w:ascii="Arial" w:cs="Arial" w:eastAsia="Arial" w:hAnsi="Arial"/>
                <w:sz w:val="17"/>
                <w:szCs w:val="17"/>
                <w:b w:val="1"/>
                <w:bCs w:val="1"/>
                <w:color w:val="auto"/>
              </w:rPr>
              <w:t>June 30, 2022</w:t>
            </w:r>
          </w:p>
        </w:tc>
        <w:tc>
          <w:tcPr>
            <w:tcW w:w="40" w:type="dxa"/>
            <w:vAlign w:val="bottom"/>
          </w:tcPr>
          <w:p>
            <w:pPr>
              <w:spacing w:after="0"/>
              <w:rPr>
                <w:sz w:val="19"/>
                <w:szCs w:val="19"/>
                <w:color w:val="auto"/>
              </w:rPr>
            </w:pPr>
          </w:p>
        </w:tc>
        <w:tc>
          <w:tcPr>
            <w:tcW w:w="1520" w:type="dxa"/>
            <w:vAlign w:val="bottom"/>
            <w:gridSpan w:val="3"/>
          </w:tcPr>
          <w:p>
            <w:pPr>
              <w:ind w:left="20"/>
              <w:spacing w:after="0"/>
              <w:rPr>
                <w:sz w:val="20"/>
                <w:szCs w:val="20"/>
                <w:color w:val="auto"/>
              </w:rPr>
            </w:pPr>
            <w:r>
              <w:rPr>
                <w:rFonts w:ascii="Arial" w:cs="Arial" w:eastAsia="Arial" w:hAnsi="Arial"/>
                <w:sz w:val="17"/>
                <w:szCs w:val="17"/>
                <w:b w:val="1"/>
                <w:bCs w:val="1"/>
                <w:color w:val="auto"/>
                <w:w w:val="96"/>
              </w:rPr>
              <w:t>December 31, 2021</w:t>
            </w:r>
          </w:p>
        </w:tc>
        <w:tc>
          <w:tcPr>
            <w:tcW w:w="0" w:type="dxa"/>
            <w:vAlign w:val="bottom"/>
          </w:tcPr>
          <w:p>
            <w:pPr>
              <w:spacing w:after="0"/>
              <w:rPr>
                <w:sz w:val="1"/>
                <w:szCs w:val="1"/>
                <w:color w:val="auto"/>
              </w:rPr>
            </w:pPr>
          </w:p>
        </w:tc>
      </w:tr>
      <w:tr>
        <w:trPr>
          <w:trHeight w:val="213"/>
        </w:trPr>
        <w:tc>
          <w:tcPr>
            <w:tcW w:w="4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Principal and interest</w:t>
            </w:r>
          </w:p>
        </w:tc>
        <w:tc>
          <w:tcPr>
            <w:tcW w:w="28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84"/>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212,656</w:t>
            </w: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gridSpan w:val="2"/>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228,041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860" w:type="dxa"/>
            <w:vAlign w:val="bottom"/>
          </w:tcPr>
          <w:p>
            <w:pPr>
              <w:ind w:left="20"/>
              <w:spacing w:after="0"/>
              <w:rPr>
                <w:sz w:val="20"/>
                <w:szCs w:val="20"/>
                <w:color w:val="auto"/>
              </w:rPr>
            </w:pPr>
            <w:r>
              <w:rPr>
                <w:rFonts w:ascii="Arial" w:cs="Arial" w:eastAsia="Arial" w:hAnsi="Arial"/>
                <w:sz w:val="17"/>
                <w:szCs w:val="17"/>
                <w:color w:val="auto"/>
              </w:rPr>
              <w:t>Taxes and insurance</w:t>
            </w: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294,269</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381,025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Foreclosures, bankruptcy, REO and other</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146,843</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170,385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653,768</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779,451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Allowance for losses</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(6,601)</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(7,018)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860" w:type="dxa"/>
            <w:vAlign w:val="bottom"/>
          </w:tcPr>
          <w:p>
            <w:pPr>
              <w:ind w:left="20"/>
              <w:spacing w:after="0"/>
              <w:rPr>
                <w:sz w:val="20"/>
                <w:szCs w:val="20"/>
                <w:color w:val="auto"/>
              </w:rPr>
            </w:pPr>
            <w:r>
              <w:rPr>
                <w:rFonts w:ascii="Arial" w:cs="Arial" w:eastAsia="Arial" w:hAnsi="Arial"/>
                <w:sz w:val="17"/>
                <w:szCs w:val="17"/>
                <w:color w:val="auto"/>
              </w:rPr>
              <w:t>Advances, net</w:t>
            </w: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647,167</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Borders>
              <w:bottom w:val="single" w:sz="8" w:color="auto"/>
            </w:tcBorders>
            <w:gridSpan w:val="2"/>
          </w:tcPr>
          <w:p>
            <w:pPr>
              <w:jc w:val="right"/>
              <w:ind w:right="194"/>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772,433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60" w:type="dxa"/>
            <w:vAlign w:val="bottom"/>
            <w:vMerge w:val="restart"/>
          </w:tcPr>
          <w:p>
            <w:pPr>
              <w:spacing w:after="0"/>
              <w:rPr>
                <w:sz w:val="20"/>
                <w:szCs w:val="20"/>
                <w:color w:val="auto"/>
              </w:rPr>
            </w:pPr>
            <w:r>
              <w:rPr>
                <w:rFonts w:ascii="Arial" w:cs="Arial" w:eastAsia="Arial" w:hAnsi="Arial"/>
                <w:sz w:val="17"/>
                <w:szCs w:val="17"/>
                <w:color w:val="auto"/>
              </w:rPr>
              <w:t>The following table summarizes the activity in net advances:</w:t>
            </w: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48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4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920" w:type="dxa"/>
            <w:vAlign w:val="bottom"/>
            <w:gridSpan w:val="5"/>
          </w:tcPr>
          <w:p>
            <w:pPr>
              <w:ind w:left="180"/>
              <w:spacing w:after="0"/>
              <w:rPr>
                <w:sz w:val="20"/>
                <w:szCs w:val="20"/>
                <w:color w:val="auto"/>
              </w:rPr>
            </w:pPr>
            <w:r>
              <w:rPr>
                <w:rFonts w:ascii="Arial" w:cs="Arial" w:eastAsia="Arial" w:hAnsi="Arial"/>
                <w:sz w:val="17"/>
                <w:szCs w:val="17"/>
                <w:b w:val="1"/>
                <w:bCs w:val="1"/>
                <w:color w:val="auto"/>
              </w:rPr>
              <w:t>Three Months Ended June 30,</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980" w:type="dxa"/>
            <w:vAlign w:val="bottom"/>
            <w:gridSpan w:val="7"/>
          </w:tcPr>
          <w:p>
            <w:pPr>
              <w:jc w:val="right"/>
              <w:ind w:right="560"/>
              <w:spacing w:after="0"/>
              <w:rPr>
                <w:sz w:val="20"/>
                <w:szCs w:val="20"/>
                <w:color w:val="auto"/>
              </w:rPr>
            </w:pPr>
            <w:r>
              <w:rPr>
                <w:rFonts w:ascii="Arial" w:cs="Arial" w:eastAsia="Arial" w:hAnsi="Arial"/>
                <w:sz w:val="17"/>
                <w:szCs w:val="17"/>
                <w:b w:val="1"/>
                <w:bCs w:val="1"/>
                <w:color w:val="auto"/>
              </w:rPr>
              <w:t>Six Months Ended June 30,</w:t>
            </w:r>
          </w:p>
        </w:tc>
        <w:tc>
          <w:tcPr>
            <w:tcW w:w="0" w:type="dxa"/>
            <w:vAlign w:val="bottom"/>
          </w:tcPr>
          <w:p>
            <w:pPr>
              <w:spacing w:after="0"/>
              <w:rPr>
                <w:sz w:val="1"/>
                <w:szCs w:val="1"/>
                <w:color w:val="auto"/>
              </w:rPr>
            </w:pPr>
          </w:p>
        </w:tc>
      </w:tr>
      <w:tr>
        <w:trPr>
          <w:trHeight w:val="213"/>
        </w:trPr>
        <w:tc>
          <w:tcPr>
            <w:tcW w:w="486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7"/>
                <w:szCs w:val="17"/>
                <w:b w:val="1"/>
                <w:bCs w:val="1"/>
                <w:color w:val="auto"/>
              </w:rPr>
              <w:t>2021</w:t>
            </w: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7"/>
                <w:szCs w:val="17"/>
                <w:b w:val="1"/>
                <w:bCs w:val="1"/>
                <w:color w:val="auto"/>
              </w:rPr>
              <w:t>2022</w:t>
            </w:r>
          </w:p>
        </w:tc>
        <w:tc>
          <w:tcPr>
            <w:tcW w:w="4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auto"/>
              <w:bottom w:val="single" w:sz="8" w:color="CCEEFF"/>
            </w:tcBorders>
          </w:tcPr>
          <w:p>
            <w:pPr>
              <w:spacing w:after="0"/>
              <w:rPr>
                <w:sz w:val="18"/>
                <w:szCs w:val="18"/>
                <w:color w:val="auto"/>
              </w:rPr>
            </w:pPr>
          </w:p>
        </w:tc>
        <w:tc>
          <w:tcPr>
            <w:tcW w:w="4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7"/>
                <w:szCs w:val="17"/>
                <w:b w:val="1"/>
                <w:bCs w:val="1"/>
                <w:color w:val="auto"/>
              </w:rPr>
              <w:t>2021</w:t>
            </w:r>
          </w:p>
        </w:tc>
        <w:tc>
          <w:tcPr>
            <w:tcW w:w="4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8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Beginning balance - before Allowance for Losses</w:t>
            </w: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736,870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792,837</w:t>
            </w:r>
          </w:p>
        </w:tc>
        <w:tc>
          <w:tcPr>
            <w:tcW w:w="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779,451</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834,512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860" w:type="dxa"/>
            <w:vAlign w:val="bottom"/>
          </w:tcPr>
          <w:p>
            <w:pPr>
              <w:ind w:left="140"/>
              <w:spacing w:after="0"/>
              <w:rPr>
                <w:sz w:val="20"/>
                <w:szCs w:val="20"/>
                <w:color w:val="auto"/>
              </w:rPr>
            </w:pPr>
            <w:r>
              <w:rPr>
                <w:rFonts w:ascii="Arial" w:cs="Arial" w:eastAsia="Arial" w:hAnsi="Arial"/>
                <w:sz w:val="17"/>
                <w:szCs w:val="17"/>
                <w:color w:val="auto"/>
                <w:w w:val="95"/>
              </w:rPr>
              <w:t>Acquisition of advances in connection with the purchase of MSRs</w:t>
            </w:r>
          </w:p>
        </w:tc>
        <w:tc>
          <w:tcPr>
            <w:tcW w:w="28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4,495</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3"/>
          </w:tcPr>
          <w:p>
            <w:pPr>
              <w:jc w:val="right"/>
              <w:ind w:right="14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4,495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8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New advances</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190,020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180,317</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387,274</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383,717</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860" w:type="dxa"/>
            <w:vAlign w:val="bottom"/>
          </w:tcPr>
          <w:p>
            <w:pPr>
              <w:ind w:left="140"/>
              <w:spacing w:after="0"/>
              <w:rPr>
                <w:sz w:val="20"/>
                <w:szCs w:val="20"/>
                <w:color w:val="auto"/>
              </w:rPr>
            </w:pPr>
            <w:r>
              <w:rPr>
                <w:rFonts w:ascii="Arial" w:cs="Arial" w:eastAsia="Arial" w:hAnsi="Arial"/>
                <w:sz w:val="17"/>
                <w:szCs w:val="17"/>
                <w:color w:val="auto"/>
              </w:rPr>
              <w:t>Sales of advances</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(190)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(115)</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7"/>
                <w:szCs w:val="17"/>
                <w:color w:val="auto"/>
              </w:rPr>
              <w:t>(831)</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7"/>
                <w:szCs w:val="17"/>
                <w:color w:val="auto"/>
              </w:rPr>
              <w:t>(248)</w:t>
            </w:r>
          </w:p>
        </w:tc>
        <w:tc>
          <w:tcPr>
            <w:tcW w:w="0" w:type="dxa"/>
            <w:vAlign w:val="bottom"/>
          </w:tcPr>
          <w:p>
            <w:pPr>
              <w:spacing w:after="0"/>
              <w:rPr>
                <w:sz w:val="1"/>
                <w:szCs w:val="1"/>
                <w:color w:val="auto"/>
              </w:rPr>
            </w:pPr>
          </w:p>
        </w:tc>
      </w:tr>
      <w:tr>
        <w:trPr>
          <w:trHeight w:val="220"/>
        </w:trPr>
        <w:tc>
          <w:tcPr>
            <w:tcW w:w="48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Collections of advances and other (1)</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(272,932)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(208,670)</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(512,126)</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(453,612)</w:t>
            </w:r>
          </w:p>
        </w:tc>
        <w:tc>
          <w:tcPr>
            <w:tcW w:w="0" w:type="dxa"/>
            <w:vAlign w:val="bottom"/>
          </w:tcPr>
          <w:p>
            <w:pPr>
              <w:spacing w:after="0"/>
              <w:rPr>
                <w:sz w:val="1"/>
                <w:szCs w:val="1"/>
                <w:color w:val="auto"/>
              </w:rPr>
            </w:pPr>
          </w:p>
        </w:tc>
      </w:tr>
      <w:tr>
        <w:trPr>
          <w:trHeight w:val="213"/>
        </w:trPr>
        <w:tc>
          <w:tcPr>
            <w:tcW w:w="4860" w:type="dxa"/>
            <w:vAlign w:val="bottom"/>
            <w:tcBorders>
              <w:bottom w:val="single" w:sz="8" w:color="CCEEFF"/>
            </w:tcBorders>
          </w:tcPr>
          <w:p>
            <w:pPr>
              <w:ind w:left="20"/>
              <w:spacing w:after="0"/>
              <w:rPr>
                <w:sz w:val="20"/>
                <w:szCs w:val="20"/>
                <w:color w:val="auto"/>
              </w:rPr>
            </w:pPr>
            <w:r>
              <w:rPr>
                <w:rFonts w:ascii="Arial" w:cs="Arial" w:eastAsia="Arial" w:hAnsi="Arial"/>
                <w:sz w:val="17"/>
                <w:szCs w:val="17"/>
                <w:b w:val="1"/>
                <w:bCs w:val="1"/>
                <w:color w:val="auto"/>
              </w:rPr>
              <w:t>Ending balance - before Allowance for Losses</w:t>
            </w: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653,768</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768,864</w:t>
            </w: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653,768</w:t>
            </w: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768,864</w:t>
            </w:r>
          </w:p>
        </w:tc>
        <w:tc>
          <w:tcPr>
            <w:tcW w:w="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83"/>
        </w:trPr>
        <w:tc>
          <w:tcPr>
            <w:tcW w:w="486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2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1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32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14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4860" w:type="dxa"/>
            <w:vAlign w:val="bottom"/>
          </w:tcPr>
          <w:p>
            <w:pPr>
              <w:ind w:left="20"/>
              <w:spacing w:after="0"/>
              <w:rPr>
                <w:sz w:val="20"/>
                <w:szCs w:val="20"/>
                <w:color w:val="auto"/>
              </w:rPr>
            </w:pPr>
            <w:r>
              <w:rPr>
                <w:rFonts w:ascii="Arial" w:cs="Arial" w:eastAsia="Arial" w:hAnsi="Arial"/>
                <w:sz w:val="17"/>
                <w:szCs w:val="17"/>
                <w:b w:val="1"/>
                <w:bCs w:val="1"/>
                <w:color w:val="auto"/>
              </w:rPr>
              <w:t>Beginning balance - Allowance for Losses</w:t>
            </w: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(6,897)</w:t>
            </w:r>
          </w:p>
        </w:tc>
        <w:tc>
          <w:tcPr>
            <w:tcW w:w="100" w:type="dxa"/>
            <w:vAlign w:val="bottom"/>
          </w:tcPr>
          <w:p>
            <w:pPr>
              <w:spacing w:after="0"/>
              <w:rPr>
                <w:sz w:val="19"/>
                <w:szCs w:val="19"/>
                <w:color w:val="auto"/>
              </w:rPr>
            </w:pP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(6,159)</w:t>
            </w:r>
          </w:p>
        </w:tc>
        <w:tc>
          <w:tcPr>
            <w:tcW w:w="60" w:type="dxa"/>
            <w:vAlign w:val="bottom"/>
          </w:tcPr>
          <w:p>
            <w:pPr>
              <w:spacing w:after="0"/>
              <w:rPr>
                <w:sz w:val="19"/>
                <w:szCs w:val="19"/>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360" w:type="dxa"/>
            <w:vAlign w:val="bottom"/>
            <w:gridSpan w:val="2"/>
          </w:tcPr>
          <w:p>
            <w:pPr>
              <w:jc w:val="right"/>
              <w:ind w:right="20"/>
              <w:spacing w:after="0"/>
              <w:rPr>
                <w:sz w:val="20"/>
                <w:szCs w:val="20"/>
                <w:color w:val="auto"/>
              </w:rPr>
            </w:pPr>
            <w:r>
              <w:rPr>
                <w:rFonts w:ascii="Arial" w:cs="Arial" w:eastAsia="Arial" w:hAnsi="Arial"/>
                <w:sz w:val="17"/>
                <w:szCs w:val="17"/>
                <w:color w:val="auto"/>
              </w:rPr>
              <w:t>(7,018)</w:t>
            </w:r>
          </w:p>
        </w:tc>
        <w:tc>
          <w:tcPr>
            <w:tcW w:w="60" w:type="dxa"/>
            <w:vAlign w:val="bottom"/>
          </w:tcPr>
          <w:p>
            <w:pPr>
              <w:spacing w:after="0"/>
              <w:rPr>
                <w:sz w:val="19"/>
                <w:szCs w:val="19"/>
                <w:color w:val="auto"/>
              </w:rPr>
            </w:pPr>
          </w:p>
        </w:tc>
        <w:tc>
          <w:tcPr>
            <w:tcW w:w="380" w:type="dxa"/>
            <w:vAlign w:val="bottom"/>
            <w:gridSpan w:val="2"/>
          </w:tcPr>
          <w:p>
            <w:pPr>
              <w:ind w:left="60"/>
              <w:spacing w:after="0"/>
              <w:rPr>
                <w:sz w:val="20"/>
                <w:szCs w:val="20"/>
                <w:color w:val="auto"/>
              </w:rPr>
            </w:pPr>
            <w:r>
              <w:rPr>
                <w:rFonts w:ascii="Arial" w:cs="Arial" w:eastAsia="Arial" w:hAnsi="Arial"/>
                <w:sz w:val="17"/>
                <w:szCs w:val="17"/>
                <w:color w:val="auto"/>
              </w:rPr>
              <w:t>$</w:t>
            </w:r>
          </w:p>
        </w:tc>
        <w:tc>
          <w:tcPr>
            <w:tcW w:w="1180" w:type="dxa"/>
            <w:vAlign w:val="bottom"/>
            <w:gridSpan w:val="2"/>
          </w:tcPr>
          <w:p>
            <w:pPr>
              <w:jc w:val="right"/>
              <w:ind w:right="20"/>
              <w:spacing w:after="0"/>
              <w:rPr>
                <w:sz w:val="20"/>
                <w:szCs w:val="20"/>
                <w:color w:val="auto"/>
              </w:rPr>
            </w:pPr>
            <w:r>
              <w:rPr>
                <w:rFonts w:ascii="Arial" w:cs="Arial" w:eastAsia="Arial" w:hAnsi="Arial"/>
                <w:sz w:val="17"/>
                <w:szCs w:val="17"/>
                <w:color w:val="auto"/>
              </w:rPr>
              <w:t>(6,273)</w:t>
            </w:r>
          </w:p>
        </w:tc>
        <w:tc>
          <w:tcPr>
            <w:tcW w:w="0" w:type="dxa"/>
            <w:vAlign w:val="bottom"/>
          </w:tcPr>
          <w:p>
            <w:pPr>
              <w:spacing w:after="0"/>
              <w:rPr>
                <w:sz w:val="1"/>
                <w:szCs w:val="1"/>
                <w:color w:val="auto"/>
              </w:rPr>
            </w:pPr>
          </w:p>
        </w:tc>
      </w:tr>
      <w:tr>
        <w:trPr>
          <w:trHeight w:val="220"/>
        </w:trPr>
        <w:tc>
          <w:tcPr>
            <w:tcW w:w="48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Provision expense</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(2,394)</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(3,876)</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(3,896)</w:t>
            </w:r>
          </w:p>
        </w:tc>
        <w:tc>
          <w:tcPr>
            <w:tcW w:w="0" w:type="dxa"/>
            <w:vAlign w:val="bottom"/>
          </w:tcPr>
          <w:p>
            <w:pPr>
              <w:spacing w:after="0"/>
              <w:rPr>
                <w:sz w:val="1"/>
                <w:szCs w:val="1"/>
                <w:color w:val="auto"/>
              </w:rPr>
            </w:pPr>
          </w:p>
        </w:tc>
      </w:tr>
      <w:tr>
        <w:trPr>
          <w:trHeight w:val="220"/>
        </w:trPr>
        <w:tc>
          <w:tcPr>
            <w:tcW w:w="486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Net charge-offs and other</w:t>
            </w: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2,407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1,662</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4,293</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3,278</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8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Ending balance - Allowance for Losses</w:t>
            </w:r>
          </w:p>
        </w:tc>
        <w:tc>
          <w:tcPr>
            <w:tcW w:w="2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(6,601)</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(6,891)</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(6,601)</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(6,891)</w:t>
            </w:r>
          </w:p>
        </w:tc>
        <w:tc>
          <w:tcPr>
            <w:tcW w:w="0" w:type="dxa"/>
            <w:vAlign w:val="bottom"/>
          </w:tcPr>
          <w:p>
            <w:pPr>
              <w:spacing w:after="0"/>
              <w:rPr>
                <w:sz w:val="1"/>
                <w:szCs w:val="1"/>
                <w:color w:val="auto"/>
              </w:rPr>
            </w:pPr>
          </w:p>
        </w:tc>
      </w:tr>
      <w:tr>
        <w:trPr>
          <w:trHeight w:val="122"/>
        </w:trPr>
        <w:tc>
          <w:tcPr>
            <w:tcW w:w="4860" w:type="dxa"/>
            <w:vAlign w:val="bottom"/>
            <w:tcBorders>
              <w:bottom w:val="single" w:sz="8" w:color="CCEEFF"/>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3"/>
        </w:trPr>
        <w:tc>
          <w:tcPr>
            <w:tcW w:w="48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Ending balance, net</w:t>
            </w: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647,167</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761,973</w:t>
            </w:r>
          </w:p>
        </w:tc>
        <w:tc>
          <w:tcPr>
            <w:tcW w:w="6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647,167</w:t>
            </w: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38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761,973</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left="320" w:right="340" w:hanging="317"/>
        <w:spacing w:after="0" w:line="276" w:lineRule="auto"/>
        <w:tabs>
          <w:tab w:leader="none" w:pos="229" w:val="left"/>
        </w:tabs>
        <w:numPr>
          <w:ilvl w:val="0"/>
          <w:numId w:val="15"/>
        </w:numPr>
        <w:rPr>
          <w:rFonts w:ascii="Arial" w:cs="Arial" w:eastAsia="Arial" w:hAnsi="Arial"/>
          <w:sz w:val="16"/>
          <w:szCs w:val="16"/>
          <w:color w:val="auto"/>
        </w:rPr>
      </w:pPr>
      <w:r>
        <w:rPr>
          <w:rFonts w:ascii="Arial" w:cs="Arial" w:eastAsia="Arial" w:hAnsi="Arial"/>
          <w:sz w:val="16"/>
          <w:szCs w:val="16"/>
          <w:color w:val="auto"/>
        </w:rPr>
        <w:t xml:space="preserve">Includes $22.6 million tax, insurance and </w:t>
      </w:r>
      <w:r>
        <w:rPr>
          <w:rFonts w:ascii="Arial" w:cs="Arial" w:eastAsia="Arial" w:hAnsi="Arial"/>
          <w:sz w:val="17"/>
          <w:szCs w:val="17"/>
          <w:color w:val="auto"/>
        </w:rPr>
        <w:t>other</w:t>
      </w:r>
      <w:r>
        <w:rPr>
          <w:rFonts w:ascii="Arial" w:cs="Arial" w:eastAsia="Arial" w:hAnsi="Arial"/>
          <w:sz w:val="16"/>
          <w:szCs w:val="16"/>
          <w:color w:val="auto"/>
        </w:rPr>
        <w:t xml:space="preserve"> advances transferred during the three months ended June 30, 2022 on the repurchase of certain delinquent and aged loans in connection with the Ginnie Mae EBO program. See Note 4 – Loans Held for Sale.</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25" w:name="page26"/>
    <w:bookmarkEnd w:id="25"/>
    <w:p>
      <w:pPr>
        <w:ind w:left="20"/>
        <w:spacing w:after="0"/>
        <w:rPr>
          <w:sz w:val="20"/>
          <w:szCs w:val="20"/>
          <w:color w:val="auto"/>
        </w:rPr>
      </w:pPr>
      <w:r>
        <w:rPr>
          <w:rFonts w:ascii="Arial" w:cs="Arial" w:eastAsia="Arial" w:hAnsi="Arial"/>
          <w:sz w:val="17"/>
          <w:szCs w:val="17"/>
          <w:b w:val="1"/>
          <w:bCs w:val="1"/>
          <w:color w:val="auto"/>
        </w:rPr>
        <w:t>Note 7 – Mortgage Servicing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84455</wp:posOffset>
            </wp:positionV>
            <wp:extent cx="712152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66" w:lineRule="exact"/>
        <w:rPr>
          <w:sz w:val="20"/>
          <w:szCs w:val="20"/>
          <w:color w:val="auto"/>
        </w:rPr>
      </w:pPr>
    </w:p>
    <w:tbl>
      <w:tblPr>
        <w:tblLayout w:type="fixed"/>
        <w:tblInd w:w="20" w:type="dxa"/>
        <w:tblCellMar>
          <w:top w:w="0" w:type="dxa"/>
          <w:left w:w="0" w:type="dxa"/>
          <w:bottom w:w="0" w:type="dxa"/>
          <w:right w:w="0" w:type="dxa"/>
        </w:tblCellMar>
      </w:tblPr>
      <w:tr>
        <w:trPr>
          <w:trHeight w:val="225"/>
        </w:trPr>
        <w:tc>
          <w:tcPr>
            <w:tcW w:w="40" w:type="dxa"/>
            <w:vAlign w:val="bottom"/>
          </w:tcPr>
          <w:p>
            <w:pPr>
              <w:spacing w:after="0"/>
              <w:rPr>
                <w:sz w:val="19"/>
                <w:szCs w:val="19"/>
                <w:color w:val="auto"/>
              </w:rPr>
            </w:pPr>
          </w:p>
        </w:tc>
        <w:tc>
          <w:tcPr>
            <w:tcW w:w="2720" w:type="dxa"/>
            <w:vAlign w:val="bottom"/>
            <w:vMerge w:val="restart"/>
          </w:tcPr>
          <w:p>
            <w:pPr>
              <w:spacing w:after="0"/>
              <w:rPr>
                <w:sz w:val="20"/>
                <w:szCs w:val="20"/>
                <w:color w:val="auto"/>
              </w:rPr>
            </w:pPr>
            <w:r>
              <w:rPr>
                <w:rFonts w:ascii="Arial" w:cs="Arial" w:eastAsia="Arial" w:hAnsi="Arial"/>
                <w:sz w:val="17"/>
                <w:szCs w:val="17"/>
                <w:b w:val="1"/>
                <w:bCs w:val="1"/>
                <w:color w:val="auto"/>
              </w:rPr>
              <w:t>MSRs – At Fair Value</w:t>
            </w: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640" w:type="dxa"/>
            <w:vAlign w:val="bottom"/>
            <w:tcBorders>
              <w:bottom w:val="single" w:sz="8" w:color="auto"/>
            </w:tcBorders>
            <w:gridSpan w:val="8"/>
          </w:tcPr>
          <w:p>
            <w:pPr>
              <w:ind w:left="60"/>
              <w:spacing w:after="0"/>
              <w:rPr>
                <w:sz w:val="20"/>
                <w:szCs w:val="20"/>
                <w:color w:val="auto"/>
              </w:rPr>
            </w:pPr>
            <w:r>
              <w:rPr>
                <w:rFonts w:ascii="Arial" w:cs="Arial" w:eastAsia="Arial" w:hAnsi="Arial"/>
                <w:sz w:val="17"/>
                <w:szCs w:val="17"/>
                <w:b w:val="1"/>
                <w:bCs w:val="1"/>
                <w:color w:val="auto"/>
              </w:rPr>
              <w:t>Three Months Ended June 30,</w:t>
            </w: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4"/>
        </w:trPr>
        <w:tc>
          <w:tcPr>
            <w:tcW w:w="40" w:type="dxa"/>
            <w:vAlign w:val="bottom"/>
          </w:tcPr>
          <w:p>
            <w:pPr>
              <w:spacing w:after="0"/>
              <w:rPr>
                <w:sz w:val="7"/>
                <w:szCs w:val="7"/>
                <w:color w:val="auto"/>
              </w:rPr>
            </w:pPr>
          </w:p>
        </w:tc>
        <w:tc>
          <w:tcPr>
            <w:tcW w:w="27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40" w:type="dxa"/>
            <w:vAlign w:val="bottom"/>
            <w:vMerge w:val="restart"/>
          </w:tcPr>
          <w:p>
            <w:pPr>
              <w:jc w:val="right"/>
              <w:ind w:right="414"/>
              <w:spacing w:after="0"/>
              <w:rPr>
                <w:sz w:val="20"/>
                <w:szCs w:val="20"/>
                <w:color w:val="auto"/>
              </w:rPr>
            </w:pPr>
            <w:r>
              <w:rPr>
                <w:rFonts w:ascii="Arial" w:cs="Arial" w:eastAsia="Arial" w:hAnsi="Arial"/>
                <w:sz w:val="17"/>
                <w:szCs w:val="17"/>
                <w:b w:val="1"/>
                <w:bCs w:val="1"/>
                <w:color w:val="auto"/>
              </w:rPr>
              <w:t>2022</w:t>
            </w: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40" w:type="dxa"/>
            <w:vAlign w:val="bottom"/>
            <w:vMerge w:val="restart"/>
          </w:tcPr>
          <w:p>
            <w:pPr>
              <w:jc w:val="right"/>
              <w:ind w:right="394"/>
              <w:spacing w:after="0"/>
              <w:rPr>
                <w:sz w:val="20"/>
                <w:szCs w:val="20"/>
                <w:color w:val="auto"/>
              </w:rPr>
            </w:pPr>
            <w:r>
              <w:rPr>
                <w:rFonts w:ascii="Arial" w:cs="Arial" w:eastAsia="Arial" w:hAnsi="Arial"/>
                <w:sz w:val="17"/>
                <w:szCs w:val="17"/>
                <w:b w:val="1"/>
                <w:bCs w:val="1"/>
                <w:color w:val="auto"/>
              </w:rPr>
              <w:t>2021</w:t>
            </w: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2"/>
        </w:trPr>
        <w:tc>
          <w:tcPr>
            <w:tcW w:w="4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vMerge w:val="continue"/>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3"/>
          </w:tcPr>
          <w:p>
            <w:pPr>
              <w:ind w:left="100"/>
              <w:spacing w:after="0"/>
              <w:rPr>
                <w:sz w:val="20"/>
                <w:szCs w:val="20"/>
                <w:color w:val="auto"/>
              </w:rPr>
            </w:pPr>
            <w:r>
              <w:rPr>
                <w:rFonts w:ascii="Arial" w:cs="Arial" w:eastAsia="Arial" w:hAnsi="Arial"/>
                <w:sz w:val="17"/>
                <w:szCs w:val="17"/>
                <w:b w:val="1"/>
                <w:bCs w:val="1"/>
                <w:color w:val="auto"/>
              </w:rPr>
              <w:t>Agency</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tcPr>
          <w:p>
            <w:pPr>
              <w:ind w:left="20"/>
              <w:spacing w:after="0"/>
              <w:rPr>
                <w:sz w:val="20"/>
                <w:szCs w:val="20"/>
                <w:color w:val="auto"/>
              </w:rPr>
            </w:pPr>
            <w:r>
              <w:rPr>
                <w:rFonts w:ascii="Arial" w:cs="Arial" w:eastAsia="Arial" w:hAnsi="Arial"/>
                <w:sz w:val="17"/>
                <w:szCs w:val="17"/>
                <w:b w:val="1"/>
                <w:bCs w:val="1"/>
                <w:color w:val="auto"/>
              </w:rPr>
              <w:t>Non-Agency</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394"/>
              <w:spacing w:after="0"/>
              <w:rPr>
                <w:sz w:val="20"/>
                <w:szCs w:val="20"/>
                <w:color w:val="auto"/>
              </w:rPr>
            </w:pPr>
            <w:r>
              <w:rPr>
                <w:rFonts w:ascii="Arial" w:cs="Arial" w:eastAsia="Arial" w:hAnsi="Arial"/>
                <w:sz w:val="17"/>
                <w:szCs w:val="17"/>
                <w:b w:val="1"/>
                <w:bCs w:val="1"/>
                <w:color w:val="auto"/>
              </w:rPr>
              <w:t>Total</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3"/>
          </w:tcPr>
          <w:p>
            <w:pPr>
              <w:ind w:left="120"/>
              <w:spacing w:after="0"/>
              <w:rPr>
                <w:sz w:val="20"/>
                <w:szCs w:val="20"/>
                <w:color w:val="auto"/>
              </w:rPr>
            </w:pPr>
            <w:r>
              <w:rPr>
                <w:rFonts w:ascii="Arial" w:cs="Arial" w:eastAsia="Arial" w:hAnsi="Arial"/>
                <w:sz w:val="17"/>
                <w:szCs w:val="17"/>
                <w:b w:val="1"/>
                <w:bCs w:val="1"/>
                <w:color w:val="auto"/>
              </w:rPr>
              <w:t>Agency</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3"/>
          </w:tcPr>
          <w:p>
            <w:pPr>
              <w:ind w:left="20"/>
              <w:spacing w:after="0"/>
              <w:rPr>
                <w:sz w:val="20"/>
                <w:szCs w:val="20"/>
                <w:color w:val="auto"/>
              </w:rPr>
            </w:pPr>
            <w:r>
              <w:rPr>
                <w:rFonts w:ascii="Arial" w:cs="Arial" w:eastAsia="Arial" w:hAnsi="Arial"/>
                <w:sz w:val="17"/>
                <w:szCs w:val="17"/>
                <w:b w:val="1"/>
                <w:bCs w:val="1"/>
                <w:color w:val="auto"/>
              </w:rPr>
              <w:t>Non-Agency</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ind w:right="394"/>
              <w:spacing w:after="0"/>
              <w:rPr>
                <w:sz w:val="20"/>
                <w:szCs w:val="20"/>
                <w:color w:val="auto"/>
              </w:rPr>
            </w:pPr>
            <w:r>
              <w:rPr>
                <w:rFonts w:ascii="Arial" w:cs="Arial" w:eastAsia="Arial" w:hAnsi="Arial"/>
                <w:sz w:val="17"/>
                <w:szCs w:val="17"/>
                <w:b w:val="1"/>
                <w:bCs w:val="1"/>
                <w:color w:val="auto"/>
              </w:rPr>
              <w:t>Total</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2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Beginning balance</w:t>
            </w:r>
          </w:p>
        </w:tc>
        <w:tc>
          <w:tcPr>
            <w:tcW w:w="280" w:type="dxa"/>
            <w:vAlign w:val="bottom"/>
            <w:tcBorders>
              <w:top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84"/>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1,664,855</w:t>
            </w: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658,426</w:t>
            </w: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2,323,281</w:t>
            </w: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84"/>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708,663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691,554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1,400,217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2720" w:type="dxa"/>
            <w:vAlign w:val="bottom"/>
          </w:tcPr>
          <w:p>
            <w:pPr>
              <w:spacing w:after="0"/>
              <w:rPr>
                <w:sz w:val="20"/>
                <w:szCs w:val="20"/>
                <w:color w:val="auto"/>
              </w:rPr>
            </w:pPr>
            <w:r>
              <w:rPr>
                <w:rFonts w:ascii="Arial" w:cs="Arial" w:eastAsia="Arial" w:hAnsi="Arial"/>
                <w:sz w:val="17"/>
                <w:szCs w:val="17"/>
                <w:color w:val="auto"/>
              </w:rPr>
              <w:t>Sales of MSRs</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(28)</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3"/>
          </w:tcPr>
          <w:p>
            <w:pPr>
              <w:jc w:val="right"/>
              <w:ind w:right="18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(28)</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3"/>
          </w:tcPr>
          <w:p>
            <w:pPr>
              <w:jc w:val="right"/>
              <w:ind w:right="18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3"/>
          </w:tcPr>
          <w:p>
            <w:pPr>
              <w:jc w:val="right"/>
              <w:ind w:right="18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7"/>
                <w:szCs w:val="17"/>
                <w:color w:val="auto"/>
              </w:rPr>
              <w:t>Additions:</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40" w:type="dxa"/>
            <w:vAlign w:val="bottom"/>
          </w:tcPr>
          <w:p>
            <w:pPr>
              <w:spacing w:after="0"/>
              <w:rPr>
                <w:sz w:val="14"/>
                <w:szCs w:val="14"/>
                <w:color w:val="auto"/>
              </w:rPr>
            </w:pPr>
          </w:p>
        </w:tc>
        <w:tc>
          <w:tcPr>
            <w:tcW w:w="2720" w:type="dxa"/>
            <w:vAlign w:val="bottom"/>
          </w:tcPr>
          <w:p>
            <w:pPr>
              <w:ind w:left="120"/>
              <w:spacing w:after="0" w:line="168" w:lineRule="exact"/>
              <w:rPr>
                <w:sz w:val="20"/>
                <w:szCs w:val="20"/>
                <w:color w:val="auto"/>
              </w:rPr>
            </w:pPr>
            <w:r>
              <w:rPr>
                <w:rFonts w:ascii="Arial" w:cs="Arial" w:eastAsia="Arial" w:hAnsi="Arial"/>
                <w:sz w:val="17"/>
                <w:szCs w:val="17"/>
                <w:color w:val="auto"/>
                <w:w w:val="92"/>
              </w:rPr>
              <w:t>Recognized on the sale of residential</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7"/>
                <w:szCs w:val="17"/>
                <w:color w:val="auto"/>
              </w:rPr>
              <w:t>60,162</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3"/>
            <w:vMerge w:val="restart"/>
          </w:tcPr>
          <w:p>
            <w:pPr>
              <w:jc w:val="right"/>
              <w:ind w:right="18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7"/>
                <w:szCs w:val="17"/>
                <w:color w:val="auto"/>
              </w:rPr>
              <w:t>60,162</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7"/>
                <w:szCs w:val="17"/>
                <w:color w:val="auto"/>
              </w:rPr>
              <w:t>35,802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3"/>
            <w:vMerge w:val="restart"/>
          </w:tcPr>
          <w:p>
            <w:pPr>
              <w:jc w:val="right"/>
              <w:ind w:right="18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7"/>
                <w:szCs w:val="17"/>
                <w:color w:val="auto"/>
              </w:rPr>
              <w:t>35,802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2720" w:type="dxa"/>
            <w:vAlign w:val="bottom"/>
          </w:tcPr>
          <w:p>
            <w:pPr>
              <w:ind w:left="280"/>
              <w:spacing w:after="0"/>
              <w:rPr>
                <w:sz w:val="20"/>
                <w:szCs w:val="20"/>
                <w:color w:val="auto"/>
              </w:rPr>
            </w:pPr>
            <w:r>
              <w:rPr>
                <w:rFonts w:ascii="Arial" w:cs="Arial" w:eastAsia="Arial" w:hAnsi="Arial"/>
                <w:sz w:val="17"/>
                <w:szCs w:val="17"/>
                <w:color w:val="auto"/>
              </w:rPr>
              <w:t>mortgage loans</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3"/>
            <w:vMerge w:val="continue"/>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3"/>
            <w:vMerge w:val="continue"/>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27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Purchase of MSRs</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36,863</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36,863</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733,538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733,538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40" w:type="dxa"/>
            <w:vAlign w:val="bottom"/>
          </w:tcPr>
          <w:p>
            <w:pPr>
              <w:spacing w:after="0"/>
              <w:rPr>
                <w:sz w:val="14"/>
                <w:szCs w:val="14"/>
                <w:color w:val="auto"/>
              </w:rPr>
            </w:pPr>
          </w:p>
        </w:tc>
        <w:tc>
          <w:tcPr>
            <w:tcW w:w="2720" w:type="dxa"/>
            <w:vAlign w:val="bottom"/>
          </w:tcPr>
          <w:p>
            <w:pPr>
              <w:spacing w:after="0" w:line="168" w:lineRule="exact"/>
              <w:rPr>
                <w:sz w:val="20"/>
                <w:szCs w:val="20"/>
                <w:color w:val="auto"/>
              </w:rPr>
            </w:pPr>
            <w:r>
              <w:rPr>
                <w:rFonts w:ascii="Arial" w:cs="Arial" w:eastAsia="Arial" w:hAnsi="Arial"/>
                <w:sz w:val="17"/>
                <w:szCs w:val="17"/>
                <w:color w:val="auto"/>
                <w:w w:val="99"/>
              </w:rPr>
              <w:t>Servicing transfers and adjustments</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7"/>
                <w:szCs w:val="17"/>
                <w:color w:val="auto"/>
              </w:rPr>
              <w:t>11,795</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7"/>
                <w:szCs w:val="17"/>
                <w:color w:val="auto"/>
              </w:rPr>
              <w:t>2,926</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7"/>
                <w:szCs w:val="17"/>
                <w:color w:val="auto"/>
              </w:rPr>
              <w:t>14,721</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7"/>
                <w:szCs w:val="17"/>
                <w:color w:val="auto"/>
              </w:rPr>
              <w:t>27</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7"/>
                <w:szCs w:val="17"/>
                <w:color w:val="auto"/>
              </w:rPr>
              <w:t>(1,633)</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7"/>
                <w:szCs w:val="17"/>
                <w:color w:val="auto"/>
              </w:rPr>
              <w:t>(1,606)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2760" w:type="dxa"/>
            <w:vAlign w:val="bottom"/>
            <w:gridSpan w:val="2"/>
          </w:tcPr>
          <w:p>
            <w:pPr>
              <w:ind w:left="200"/>
              <w:spacing w:after="0"/>
              <w:rPr>
                <w:sz w:val="20"/>
                <w:szCs w:val="20"/>
                <w:color w:val="auto"/>
              </w:rPr>
            </w:pPr>
            <w:r>
              <w:rPr>
                <w:rFonts w:ascii="Arial" w:cs="Arial" w:eastAsia="Arial" w:hAnsi="Arial"/>
                <w:sz w:val="17"/>
                <w:szCs w:val="17"/>
                <w:color w:val="auto"/>
              </w:rPr>
              <w:t>(1)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7"/>
                <w:szCs w:val="17"/>
                <w:color w:val="auto"/>
              </w:rPr>
              <w:t>Changes in fair value:</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40" w:type="dxa"/>
            <w:vAlign w:val="bottom"/>
          </w:tcPr>
          <w:p>
            <w:pPr>
              <w:spacing w:after="0"/>
              <w:rPr>
                <w:sz w:val="14"/>
                <w:szCs w:val="14"/>
                <w:color w:val="auto"/>
              </w:rPr>
            </w:pPr>
          </w:p>
        </w:tc>
        <w:tc>
          <w:tcPr>
            <w:tcW w:w="2720" w:type="dxa"/>
            <w:vAlign w:val="bottom"/>
          </w:tcPr>
          <w:p>
            <w:pPr>
              <w:ind w:left="120"/>
              <w:spacing w:after="0" w:line="168" w:lineRule="exact"/>
              <w:rPr>
                <w:sz w:val="20"/>
                <w:szCs w:val="20"/>
                <w:color w:val="auto"/>
              </w:rPr>
            </w:pPr>
            <w:r>
              <w:rPr>
                <w:rFonts w:ascii="Arial" w:cs="Arial" w:eastAsia="Arial" w:hAnsi="Arial"/>
                <w:sz w:val="17"/>
                <w:szCs w:val="17"/>
                <w:color w:val="auto"/>
              </w:rPr>
              <w:t>Changes in valuation inputs or</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7"/>
                <w:szCs w:val="17"/>
                <w:color w:val="auto"/>
              </w:rPr>
              <w:t>85,955</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7"/>
                <w:szCs w:val="17"/>
                <w:color w:val="auto"/>
              </w:rPr>
              <w:t>32,297</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7"/>
                <w:szCs w:val="17"/>
                <w:color w:val="auto"/>
              </w:rPr>
              <w:t>118,252</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7"/>
                <w:szCs w:val="17"/>
                <w:color w:val="auto"/>
              </w:rPr>
              <w:t>(42,337)</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7"/>
                <w:szCs w:val="17"/>
                <w:color w:val="auto"/>
              </w:rPr>
              <w:t>3,941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7"/>
                <w:szCs w:val="17"/>
                <w:color w:val="auto"/>
              </w:rPr>
              <w:t>(38,396)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2720" w:type="dxa"/>
            <w:vAlign w:val="bottom"/>
          </w:tcPr>
          <w:p>
            <w:pPr>
              <w:ind w:left="280"/>
              <w:spacing w:after="0"/>
              <w:rPr>
                <w:sz w:val="20"/>
                <w:szCs w:val="20"/>
                <w:color w:val="auto"/>
              </w:rPr>
            </w:pPr>
            <w:r>
              <w:rPr>
                <w:rFonts w:ascii="Arial" w:cs="Arial" w:eastAsia="Arial" w:hAnsi="Arial"/>
                <w:sz w:val="17"/>
                <w:szCs w:val="17"/>
                <w:color w:val="auto"/>
              </w:rPr>
              <w:t>assumptions</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2720" w:type="dxa"/>
            <w:vAlign w:val="bottom"/>
            <w:shd w:val="clear" w:color="auto" w:fill="CCEEFF"/>
          </w:tcPr>
          <w:p>
            <w:pPr>
              <w:ind w:left="120"/>
              <w:spacing w:after="0"/>
              <w:rPr>
                <w:sz w:val="20"/>
                <w:szCs w:val="20"/>
                <w:color w:val="auto"/>
              </w:rPr>
            </w:pPr>
            <w:r>
              <w:rPr>
                <w:rFonts w:ascii="Arial" w:cs="Arial" w:eastAsia="Arial" w:hAnsi="Arial"/>
                <w:sz w:val="17"/>
                <w:szCs w:val="17"/>
                <w:color w:val="auto"/>
                <w:w w:val="98"/>
              </w:rPr>
              <w:t>Realization of expected cash flows</w:t>
            </w:r>
          </w:p>
        </w:tc>
        <w:tc>
          <w:tcPr>
            <w:tcW w:w="8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(42,998)</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(24,574)</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(67,572)</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(27,273)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(29,764)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(57,037)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7"/>
                <w:szCs w:val="17"/>
                <w:b w:val="1"/>
                <w:bCs w:val="1"/>
                <w:color w:val="auto"/>
              </w:rPr>
              <w:t>Ending balance</w:t>
            </w:r>
          </w:p>
        </w:tc>
        <w:tc>
          <w:tcPr>
            <w:tcW w:w="2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1,816,604</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669,075</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2,485,679</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1,408,420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664,098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2,072,518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2760" w:type="dxa"/>
            <w:vAlign w:val="bottom"/>
            <w:gridSpan w:val="2"/>
            <w:vMerge w:val="restart"/>
          </w:tcPr>
          <w:p>
            <w:pPr>
              <w:ind w:left="20"/>
              <w:spacing w:after="0"/>
              <w:rPr>
                <w:sz w:val="20"/>
                <w:szCs w:val="20"/>
                <w:color w:val="auto"/>
              </w:rPr>
            </w:pPr>
            <w:r>
              <w:rPr>
                <w:rFonts w:ascii="Arial" w:cs="Arial" w:eastAsia="Arial" w:hAnsi="Arial"/>
                <w:sz w:val="17"/>
                <w:szCs w:val="17"/>
                <w:b w:val="1"/>
                <w:bCs w:val="1"/>
                <w:color w:val="auto"/>
              </w:rPr>
              <w:t>MSRs – At Fair Value</w:t>
            </w: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8"/>
          </w:tcPr>
          <w:p>
            <w:pPr>
              <w:ind w:left="220"/>
              <w:spacing w:after="0"/>
              <w:rPr>
                <w:sz w:val="20"/>
                <w:szCs w:val="20"/>
                <w:color w:val="auto"/>
              </w:rPr>
            </w:pPr>
            <w:r>
              <w:rPr>
                <w:rFonts w:ascii="Arial" w:cs="Arial" w:eastAsia="Arial" w:hAnsi="Arial"/>
                <w:sz w:val="17"/>
                <w:szCs w:val="17"/>
                <w:b w:val="1"/>
                <w:bCs w:val="1"/>
                <w:color w:val="auto"/>
              </w:rPr>
              <w:t>Six Months Ended June 30,</w:t>
            </w: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4"/>
        </w:trPr>
        <w:tc>
          <w:tcPr>
            <w:tcW w:w="276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40" w:type="dxa"/>
            <w:vAlign w:val="bottom"/>
            <w:vMerge w:val="restart"/>
          </w:tcPr>
          <w:p>
            <w:pPr>
              <w:jc w:val="right"/>
              <w:ind w:right="334"/>
              <w:spacing w:after="0"/>
              <w:rPr>
                <w:sz w:val="20"/>
                <w:szCs w:val="20"/>
                <w:color w:val="auto"/>
              </w:rPr>
            </w:pPr>
            <w:r>
              <w:rPr>
                <w:rFonts w:ascii="Arial" w:cs="Arial" w:eastAsia="Arial" w:hAnsi="Arial"/>
                <w:sz w:val="17"/>
                <w:szCs w:val="17"/>
                <w:b w:val="1"/>
                <w:bCs w:val="1"/>
                <w:color w:val="auto"/>
              </w:rPr>
              <w:t>2022</w:t>
            </w: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40" w:type="dxa"/>
            <w:vAlign w:val="bottom"/>
            <w:vMerge w:val="restart"/>
          </w:tcPr>
          <w:p>
            <w:pPr>
              <w:jc w:val="right"/>
              <w:ind w:right="374"/>
              <w:spacing w:after="0"/>
              <w:rPr>
                <w:sz w:val="20"/>
                <w:szCs w:val="20"/>
                <w:color w:val="auto"/>
              </w:rPr>
            </w:pPr>
            <w:r>
              <w:rPr>
                <w:rFonts w:ascii="Arial" w:cs="Arial" w:eastAsia="Arial" w:hAnsi="Arial"/>
                <w:sz w:val="17"/>
                <w:szCs w:val="17"/>
                <w:b w:val="1"/>
                <w:bCs w:val="1"/>
                <w:color w:val="auto"/>
              </w:rPr>
              <w:t>2021</w:t>
            </w: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vMerge w:val="continue"/>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vMerge w:val="continue"/>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40" w:type="dxa"/>
            <w:vAlign w:val="bottom"/>
            <w:tcBorders>
              <w:bottom w:val="single" w:sz="8" w:color="CCEEFF"/>
            </w:tcBorders>
          </w:tcPr>
          <w:p>
            <w:pPr>
              <w:spacing w:after="0"/>
              <w:rPr>
                <w:sz w:val="18"/>
                <w:szCs w:val="18"/>
                <w:color w:val="auto"/>
              </w:rPr>
            </w:pPr>
          </w:p>
        </w:tc>
        <w:tc>
          <w:tcPr>
            <w:tcW w:w="27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7"/>
                <w:szCs w:val="17"/>
                <w:b w:val="1"/>
                <w:bCs w:val="1"/>
                <w:color w:val="auto"/>
              </w:rPr>
              <w:t>Agency</w:t>
            </w: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7"/>
                <w:szCs w:val="17"/>
                <w:b w:val="1"/>
                <w:bCs w:val="1"/>
                <w:color w:val="auto"/>
                <w:w w:val="97"/>
              </w:rPr>
              <w:t>Non-Agency</w:t>
            </w: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7"/>
                <w:szCs w:val="17"/>
                <w:b w:val="1"/>
                <w:bCs w:val="1"/>
                <w:color w:val="auto"/>
              </w:rPr>
              <w:t>Total</w:t>
            </w: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7"/>
                <w:szCs w:val="17"/>
                <w:b w:val="1"/>
                <w:bCs w:val="1"/>
                <w:color w:val="auto"/>
              </w:rPr>
              <w:t>Agency</w:t>
            </w: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ind w:left="60"/>
              <w:spacing w:after="0"/>
              <w:rPr>
                <w:sz w:val="20"/>
                <w:szCs w:val="20"/>
                <w:color w:val="auto"/>
              </w:rPr>
            </w:pPr>
            <w:r>
              <w:rPr>
                <w:rFonts w:ascii="Arial" w:cs="Arial" w:eastAsia="Arial" w:hAnsi="Arial"/>
                <w:sz w:val="17"/>
                <w:szCs w:val="17"/>
                <w:b w:val="1"/>
                <w:bCs w:val="1"/>
                <w:color w:val="auto"/>
              </w:rPr>
              <w:t>Non-Agency</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74"/>
              <w:spacing w:after="0"/>
              <w:rPr>
                <w:sz w:val="20"/>
                <w:szCs w:val="20"/>
                <w:color w:val="auto"/>
              </w:rPr>
            </w:pPr>
            <w:r>
              <w:rPr>
                <w:rFonts w:ascii="Arial" w:cs="Arial" w:eastAsia="Arial" w:hAnsi="Arial"/>
                <w:sz w:val="17"/>
                <w:szCs w:val="17"/>
                <w:b w:val="1"/>
                <w:bCs w:val="1"/>
                <w:color w:val="auto"/>
              </w:rPr>
              <w:t>Total</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76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Beginning balance</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1,571,837</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678,310</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2,250,147</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578,957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715,860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1,294,817</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760" w:type="dxa"/>
            <w:vAlign w:val="bottom"/>
            <w:gridSpan w:val="2"/>
          </w:tcPr>
          <w:p>
            <w:pPr>
              <w:ind w:left="20"/>
              <w:spacing w:after="0"/>
              <w:rPr>
                <w:sz w:val="20"/>
                <w:szCs w:val="20"/>
                <w:color w:val="auto"/>
              </w:rPr>
            </w:pPr>
            <w:r>
              <w:rPr>
                <w:rFonts w:ascii="Arial" w:cs="Arial" w:eastAsia="Arial" w:hAnsi="Arial"/>
                <w:sz w:val="17"/>
                <w:szCs w:val="17"/>
                <w:color w:val="auto"/>
              </w:rPr>
              <w:t>Sales of MSRs</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7"/>
                <w:szCs w:val="17"/>
                <w:color w:val="auto"/>
              </w:rPr>
              <w:t>(149,339)</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7"/>
                <w:szCs w:val="17"/>
                <w:color w:val="auto"/>
              </w:rPr>
              <w:t>(24)</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7"/>
                <w:szCs w:val="17"/>
                <w:color w:val="auto"/>
              </w:rPr>
              <w:t>(149,363)</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3"/>
          </w:tcPr>
          <w:p>
            <w:pPr>
              <w:jc w:val="right"/>
              <w:ind w:right="14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3"/>
          </w:tcPr>
          <w:p>
            <w:pPr>
              <w:jc w:val="right"/>
              <w:ind w:right="16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7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Additions:</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40" w:type="dxa"/>
            <w:vAlign w:val="bottom"/>
          </w:tcPr>
          <w:p>
            <w:pPr>
              <w:spacing w:after="0"/>
              <w:rPr>
                <w:sz w:val="14"/>
                <w:szCs w:val="14"/>
                <w:color w:val="auto"/>
              </w:rPr>
            </w:pPr>
          </w:p>
        </w:tc>
        <w:tc>
          <w:tcPr>
            <w:tcW w:w="2720" w:type="dxa"/>
            <w:vAlign w:val="bottom"/>
          </w:tcPr>
          <w:p>
            <w:pPr>
              <w:ind w:left="100"/>
              <w:spacing w:after="0" w:line="168" w:lineRule="exact"/>
              <w:rPr>
                <w:sz w:val="20"/>
                <w:szCs w:val="20"/>
                <w:color w:val="auto"/>
              </w:rPr>
            </w:pPr>
            <w:r>
              <w:rPr>
                <w:rFonts w:ascii="Arial" w:cs="Arial" w:eastAsia="Arial" w:hAnsi="Arial"/>
                <w:sz w:val="17"/>
                <w:szCs w:val="17"/>
                <w:color w:val="auto"/>
                <w:w w:val="93"/>
              </w:rPr>
              <w:t>Recognized on the sale of residential</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7"/>
                <w:szCs w:val="17"/>
                <w:color w:val="auto"/>
              </w:rPr>
              <w:t>105,965</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3"/>
            <w:vMerge w:val="restart"/>
          </w:tcPr>
          <w:p>
            <w:pPr>
              <w:jc w:val="right"/>
              <w:ind w:right="12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7"/>
                <w:szCs w:val="17"/>
                <w:color w:val="auto"/>
              </w:rPr>
              <w:t>105,965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7"/>
                <w:szCs w:val="17"/>
                <w:color w:val="auto"/>
              </w:rPr>
              <w:t>70,062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3"/>
            <w:vMerge w:val="restart"/>
          </w:tcPr>
          <w:p>
            <w:pPr>
              <w:jc w:val="right"/>
              <w:ind w:right="16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7"/>
                <w:szCs w:val="17"/>
                <w:color w:val="auto"/>
              </w:rPr>
              <w:t>70,062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2720" w:type="dxa"/>
            <w:vAlign w:val="bottom"/>
          </w:tcPr>
          <w:p>
            <w:pPr>
              <w:ind w:left="260"/>
              <w:spacing w:after="0"/>
              <w:rPr>
                <w:sz w:val="20"/>
                <w:szCs w:val="20"/>
                <w:color w:val="auto"/>
              </w:rPr>
            </w:pPr>
            <w:r>
              <w:rPr>
                <w:rFonts w:ascii="Arial" w:cs="Arial" w:eastAsia="Arial" w:hAnsi="Arial"/>
                <w:sz w:val="17"/>
                <w:szCs w:val="17"/>
                <w:color w:val="auto"/>
              </w:rPr>
              <w:t>mortgage loans</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3"/>
            <w:vMerge w:val="continue"/>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3"/>
            <w:vMerge w:val="continue"/>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0" w:type="dxa"/>
            <w:vAlign w:val="bottom"/>
            <w:shd w:val="clear" w:color="auto" w:fill="CCEEFF"/>
          </w:tcPr>
          <w:p>
            <w:pPr>
              <w:spacing w:after="0"/>
              <w:rPr>
                <w:sz w:val="19"/>
                <w:szCs w:val="19"/>
                <w:color w:val="auto"/>
              </w:rPr>
            </w:pPr>
          </w:p>
        </w:tc>
        <w:tc>
          <w:tcPr>
            <w:tcW w:w="2720" w:type="dxa"/>
            <w:vAlign w:val="bottom"/>
            <w:shd w:val="clear" w:color="auto" w:fill="CCEEFF"/>
          </w:tcPr>
          <w:p>
            <w:pPr>
              <w:ind w:left="100"/>
              <w:spacing w:after="0"/>
              <w:rPr>
                <w:sz w:val="20"/>
                <w:szCs w:val="20"/>
                <w:color w:val="auto"/>
              </w:rPr>
            </w:pPr>
            <w:r>
              <w:rPr>
                <w:rFonts w:ascii="Arial" w:cs="Arial" w:eastAsia="Arial" w:hAnsi="Arial"/>
                <w:sz w:val="17"/>
                <w:szCs w:val="17"/>
                <w:color w:val="auto"/>
              </w:rPr>
              <w:t>Purchase of MSRs</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83,662</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83,662</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770,316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770,316</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760" w:type="dxa"/>
            <w:vAlign w:val="bottom"/>
            <w:gridSpan w:val="2"/>
          </w:tcPr>
          <w:p>
            <w:pPr>
              <w:ind w:left="20"/>
              <w:spacing w:after="0"/>
              <w:rPr>
                <w:sz w:val="20"/>
                <w:szCs w:val="20"/>
                <w:color w:val="auto"/>
              </w:rPr>
            </w:pPr>
            <w:r>
              <w:rPr>
                <w:rFonts w:ascii="Arial" w:cs="Arial" w:eastAsia="Arial" w:hAnsi="Arial"/>
                <w:sz w:val="17"/>
                <w:szCs w:val="17"/>
                <w:color w:val="auto"/>
              </w:rPr>
              <w:t>Servicing transfers and adjustments</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14,720</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7"/>
                <w:szCs w:val="17"/>
                <w:color w:val="auto"/>
              </w:rPr>
              <w:t>(822)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13,898</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56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(2,190)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(2,134)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7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Changes in fair value:</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40" w:type="dxa"/>
            <w:vAlign w:val="bottom"/>
          </w:tcPr>
          <w:p>
            <w:pPr>
              <w:spacing w:after="0"/>
              <w:rPr>
                <w:sz w:val="14"/>
                <w:szCs w:val="14"/>
                <w:color w:val="auto"/>
              </w:rPr>
            </w:pPr>
          </w:p>
        </w:tc>
        <w:tc>
          <w:tcPr>
            <w:tcW w:w="2720" w:type="dxa"/>
            <w:vAlign w:val="bottom"/>
          </w:tcPr>
          <w:p>
            <w:pPr>
              <w:ind w:left="100"/>
              <w:spacing w:after="0" w:line="168" w:lineRule="exact"/>
              <w:rPr>
                <w:sz w:val="20"/>
                <w:szCs w:val="20"/>
                <w:color w:val="auto"/>
              </w:rPr>
            </w:pPr>
            <w:r>
              <w:rPr>
                <w:rFonts w:ascii="Arial" w:cs="Arial" w:eastAsia="Arial" w:hAnsi="Arial"/>
                <w:sz w:val="17"/>
                <w:szCs w:val="17"/>
                <w:color w:val="auto"/>
              </w:rPr>
              <w:t>Changes in valuation inputs or</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7"/>
                <w:szCs w:val="17"/>
                <w:color w:val="auto"/>
              </w:rPr>
              <w:t>280,431</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7"/>
                <w:szCs w:val="17"/>
                <w:color w:val="auto"/>
              </w:rPr>
              <w:t>41,341</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7"/>
                <w:szCs w:val="17"/>
                <w:color w:val="auto"/>
              </w:rPr>
              <w:t>321,772</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7"/>
                <w:szCs w:val="17"/>
                <w:color w:val="auto"/>
              </w:rPr>
              <w:t>40,149</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7"/>
                <w:szCs w:val="17"/>
                <w:color w:val="auto"/>
              </w:rPr>
              <w:t>5,470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7"/>
                <w:szCs w:val="17"/>
                <w:color w:val="auto"/>
              </w:rPr>
              <w:t>45,619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2720" w:type="dxa"/>
            <w:vAlign w:val="bottom"/>
          </w:tcPr>
          <w:p>
            <w:pPr>
              <w:ind w:left="260"/>
              <w:spacing w:after="0"/>
              <w:rPr>
                <w:sz w:val="20"/>
                <w:szCs w:val="20"/>
                <w:color w:val="auto"/>
              </w:rPr>
            </w:pPr>
            <w:r>
              <w:rPr>
                <w:rFonts w:ascii="Arial" w:cs="Arial" w:eastAsia="Arial" w:hAnsi="Arial"/>
                <w:sz w:val="17"/>
                <w:szCs w:val="17"/>
                <w:color w:val="auto"/>
              </w:rPr>
              <w:t>assumptions</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0" w:type="dxa"/>
            <w:vAlign w:val="bottom"/>
            <w:shd w:val="clear" w:color="auto" w:fill="CCEEFF"/>
          </w:tcPr>
          <w:p>
            <w:pPr>
              <w:spacing w:after="0"/>
              <w:rPr>
                <w:sz w:val="19"/>
                <w:szCs w:val="19"/>
                <w:color w:val="auto"/>
              </w:rPr>
            </w:pPr>
          </w:p>
        </w:tc>
        <w:tc>
          <w:tcPr>
            <w:tcW w:w="2720" w:type="dxa"/>
            <w:vAlign w:val="bottom"/>
            <w:shd w:val="clear" w:color="auto" w:fill="CCEEFF"/>
          </w:tcPr>
          <w:p>
            <w:pPr>
              <w:ind w:left="100"/>
              <w:spacing w:after="0"/>
              <w:rPr>
                <w:sz w:val="20"/>
                <w:szCs w:val="20"/>
                <w:color w:val="auto"/>
              </w:rPr>
            </w:pPr>
            <w:r>
              <w:rPr>
                <w:rFonts w:ascii="Arial" w:cs="Arial" w:eastAsia="Arial" w:hAnsi="Arial"/>
                <w:sz w:val="17"/>
                <w:szCs w:val="17"/>
                <w:color w:val="auto"/>
                <w:w w:val="99"/>
              </w:rPr>
              <w:t>Realization of expected cash flows</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(90,672)</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(49,730)</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(140,402)</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(51,120)</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(55,042)</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(106,162)</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760" w:type="dxa"/>
            <w:vAlign w:val="bottom"/>
            <w:gridSpan w:val="2"/>
          </w:tcPr>
          <w:p>
            <w:pPr>
              <w:ind w:left="20"/>
              <w:spacing w:after="0"/>
              <w:rPr>
                <w:sz w:val="20"/>
                <w:szCs w:val="20"/>
                <w:color w:val="auto"/>
              </w:rPr>
            </w:pPr>
            <w:r>
              <w:rPr>
                <w:rFonts w:ascii="Arial" w:cs="Arial" w:eastAsia="Arial" w:hAnsi="Arial"/>
                <w:sz w:val="17"/>
                <w:szCs w:val="17"/>
                <w:b w:val="1"/>
                <w:bCs w:val="1"/>
                <w:color w:val="auto"/>
              </w:rPr>
              <w:t>Ending balance</w:t>
            </w:r>
          </w:p>
        </w:tc>
        <w:tc>
          <w:tcPr>
            <w:tcW w:w="2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1,816,604</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669,075</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2,485,679</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1,408,420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664,098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2,072,518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summarizes delinquency status of the loans underlying our MSRs:</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080" w:type="dxa"/>
            <w:vAlign w:val="bottom"/>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7"/>
                <w:szCs w:val="17"/>
                <w:b w:val="1"/>
                <w:bCs w:val="1"/>
                <w:color w:val="auto"/>
              </w:rPr>
              <w:t>June 30, 2022</w:t>
            </w:r>
          </w:p>
        </w:tc>
        <w:tc>
          <w:tcPr>
            <w:tcW w:w="14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7"/>
                <w:szCs w:val="17"/>
                <w:b w:val="1"/>
                <w:bCs w:val="1"/>
                <w:color w:val="auto"/>
                <w:w w:val="91"/>
              </w:rPr>
              <w:t>December 31, 2021</w:t>
            </w:r>
          </w:p>
        </w:tc>
        <w:tc>
          <w:tcPr>
            <w:tcW w:w="14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80" w:type="dxa"/>
            <w:vAlign w:val="bottom"/>
          </w:tcPr>
          <w:p>
            <w:pPr>
              <w:ind w:left="20"/>
              <w:spacing w:after="0"/>
              <w:rPr>
                <w:sz w:val="20"/>
                <w:szCs w:val="20"/>
                <w:color w:val="auto"/>
              </w:rPr>
            </w:pPr>
            <w:r>
              <w:rPr>
                <w:rFonts w:ascii="Arial" w:cs="Arial" w:eastAsia="Arial" w:hAnsi="Arial"/>
                <w:sz w:val="17"/>
                <w:szCs w:val="17"/>
                <w:b w:val="1"/>
                <w:bCs w:val="1"/>
                <w:color w:val="auto"/>
              </w:rPr>
              <w:t>Delinquent loans</w:t>
            </w:r>
          </w:p>
        </w:tc>
        <w:tc>
          <w:tcPr>
            <w:tcW w:w="1520" w:type="dxa"/>
            <w:vAlign w:val="bottom"/>
            <w:gridSpan w:val="2"/>
          </w:tcPr>
          <w:p>
            <w:pPr>
              <w:ind w:left="440"/>
              <w:spacing w:after="0"/>
              <w:rPr>
                <w:sz w:val="20"/>
                <w:szCs w:val="20"/>
                <w:color w:val="auto"/>
              </w:rPr>
            </w:pPr>
            <w:r>
              <w:rPr>
                <w:rFonts w:ascii="Arial" w:cs="Arial" w:eastAsia="Arial" w:hAnsi="Arial"/>
                <w:sz w:val="17"/>
                <w:szCs w:val="17"/>
                <w:b w:val="1"/>
                <w:bCs w:val="1"/>
                <w:color w:val="auto"/>
              </w:rPr>
              <w:t>Agency</w:t>
            </w:r>
          </w:p>
        </w:tc>
        <w:tc>
          <w:tcPr>
            <w:tcW w:w="1560" w:type="dxa"/>
            <w:vAlign w:val="bottom"/>
            <w:gridSpan w:val="2"/>
          </w:tcPr>
          <w:p>
            <w:pPr>
              <w:jc w:val="right"/>
              <w:ind w:right="320"/>
              <w:spacing w:after="0"/>
              <w:rPr>
                <w:sz w:val="20"/>
                <w:szCs w:val="20"/>
                <w:color w:val="auto"/>
              </w:rPr>
            </w:pPr>
            <w:r>
              <w:rPr>
                <w:rFonts w:ascii="Arial" w:cs="Arial" w:eastAsia="Arial" w:hAnsi="Arial"/>
                <w:sz w:val="17"/>
                <w:szCs w:val="17"/>
                <w:b w:val="1"/>
                <w:bCs w:val="1"/>
                <w:color w:val="auto"/>
              </w:rPr>
              <w:t>Non - Agency</w:t>
            </w:r>
          </w:p>
        </w:tc>
        <w:tc>
          <w:tcPr>
            <w:tcW w:w="1440" w:type="dxa"/>
            <w:vAlign w:val="bottom"/>
          </w:tcPr>
          <w:p>
            <w:pPr>
              <w:jc w:val="right"/>
              <w:ind w:right="454"/>
              <w:spacing w:after="0"/>
              <w:rPr>
                <w:sz w:val="20"/>
                <w:szCs w:val="20"/>
                <w:color w:val="auto"/>
              </w:rPr>
            </w:pPr>
            <w:r>
              <w:rPr>
                <w:rFonts w:ascii="Arial" w:cs="Arial" w:eastAsia="Arial" w:hAnsi="Arial"/>
                <w:sz w:val="17"/>
                <w:szCs w:val="17"/>
                <w:b w:val="1"/>
                <w:bCs w:val="1"/>
                <w:color w:val="auto"/>
              </w:rPr>
              <w:t>Total</w:t>
            </w:r>
          </w:p>
        </w:tc>
        <w:tc>
          <w:tcPr>
            <w:tcW w:w="80" w:type="dxa"/>
            <w:vAlign w:val="bottom"/>
          </w:tcPr>
          <w:p>
            <w:pPr>
              <w:spacing w:after="0"/>
              <w:rPr>
                <w:sz w:val="18"/>
                <w:szCs w:val="18"/>
                <w:color w:val="auto"/>
              </w:rPr>
            </w:pPr>
          </w:p>
        </w:tc>
        <w:tc>
          <w:tcPr>
            <w:tcW w:w="1560" w:type="dxa"/>
            <w:vAlign w:val="bottom"/>
            <w:gridSpan w:val="2"/>
          </w:tcPr>
          <w:p>
            <w:pPr>
              <w:ind w:left="460"/>
              <w:spacing w:after="0"/>
              <w:rPr>
                <w:sz w:val="20"/>
                <w:szCs w:val="20"/>
                <w:color w:val="auto"/>
              </w:rPr>
            </w:pPr>
            <w:r>
              <w:rPr>
                <w:rFonts w:ascii="Arial" w:cs="Arial" w:eastAsia="Arial" w:hAnsi="Arial"/>
                <w:sz w:val="17"/>
                <w:szCs w:val="17"/>
                <w:b w:val="1"/>
                <w:bCs w:val="1"/>
                <w:color w:val="auto"/>
              </w:rPr>
              <w:t>Agency</w:t>
            </w:r>
          </w:p>
        </w:tc>
        <w:tc>
          <w:tcPr>
            <w:tcW w:w="156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89"/>
              </w:rPr>
              <w:t>Non - Agency</w:t>
            </w:r>
          </w:p>
        </w:tc>
        <w:tc>
          <w:tcPr>
            <w:tcW w:w="1440" w:type="dxa"/>
            <w:vAlign w:val="bottom"/>
          </w:tcPr>
          <w:p>
            <w:pPr>
              <w:jc w:val="right"/>
              <w:ind w:right="454"/>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213"/>
        </w:trPr>
        <w:tc>
          <w:tcPr>
            <w:tcW w:w="208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30 days</w:t>
            </w:r>
          </w:p>
        </w:tc>
        <w:tc>
          <w:tcPr>
            <w:tcW w:w="1440" w:type="dxa"/>
            <w:vAlign w:val="bottom"/>
            <w:tcBorders>
              <w:top w:val="single" w:sz="8" w:color="auto"/>
            </w:tcBorders>
            <w:shd w:val="clear" w:color="auto" w:fill="CCEEFF"/>
          </w:tcPr>
          <w:p>
            <w:pPr>
              <w:ind w:left="1020"/>
              <w:spacing w:after="0"/>
              <w:rPr>
                <w:sz w:val="20"/>
                <w:szCs w:val="20"/>
                <w:color w:val="auto"/>
              </w:rPr>
            </w:pPr>
            <w:r>
              <w:rPr>
                <w:rFonts w:ascii="Arial" w:cs="Arial" w:eastAsia="Arial" w:hAnsi="Arial"/>
                <w:sz w:val="17"/>
                <w:szCs w:val="17"/>
                <w:color w:val="auto"/>
                <w:w w:val="91"/>
              </w:rPr>
              <w:t>1.5 %</w:t>
            </w:r>
          </w:p>
        </w:tc>
        <w:tc>
          <w:tcPr>
            <w:tcW w:w="8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7.3 %</w:t>
            </w:r>
          </w:p>
        </w:tc>
        <w:tc>
          <w:tcPr>
            <w:tcW w:w="1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4.2 %</w:t>
            </w:r>
          </w:p>
        </w:tc>
        <w:tc>
          <w:tcPr>
            <w:tcW w:w="8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ind w:left="1040"/>
              <w:spacing w:after="0"/>
              <w:rPr>
                <w:sz w:val="20"/>
                <w:szCs w:val="20"/>
                <w:color w:val="auto"/>
              </w:rPr>
            </w:pPr>
            <w:r>
              <w:rPr>
                <w:rFonts w:ascii="Arial" w:cs="Arial" w:eastAsia="Arial" w:hAnsi="Arial"/>
                <w:sz w:val="17"/>
                <w:szCs w:val="17"/>
                <w:color w:val="auto"/>
                <w:w w:val="91"/>
              </w:rPr>
              <w:t>1.4 %</w:t>
            </w:r>
          </w:p>
        </w:tc>
        <w:tc>
          <w:tcPr>
            <w:tcW w:w="1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7.2 %</w:t>
            </w:r>
          </w:p>
        </w:tc>
        <w:tc>
          <w:tcPr>
            <w:tcW w:w="1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4.1 %</w:t>
            </w:r>
          </w:p>
        </w:tc>
        <w:tc>
          <w:tcPr>
            <w:tcW w:w="0" w:type="dxa"/>
            <w:vAlign w:val="bottom"/>
          </w:tcPr>
          <w:p>
            <w:pPr>
              <w:spacing w:after="0"/>
              <w:rPr>
                <w:sz w:val="1"/>
                <w:szCs w:val="1"/>
                <w:color w:val="auto"/>
              </w:rPr>
            </w:pPr>
          </w:p>
        </w:tc>
      </w:tr>
      <w:tr>
        <w:trPr>
          <w:trHeight w:val="220"/>
        </w:trPr>
        <w:tc>
          <w:tcPr>
            <w:tcW w:w="2080" w:type="dxa"/>
            <w:vAlign w:val="bottom"/>
          </w:tcPr>
          <w:p>
            <w:pPr>
              <w:ind w:left="120"/>
              <w:spacing w:after="0"/>
              <w:rPr>
                <w:sz w:val="20"/>
                <w:szCs w:val="20"/>
                <w:color w:val="auto"/>
              </w:rPr>
            </w:pPr>
            <w:r>
              <w:rPr>
                <w:rFonts w:ascii="Arial" w:cs="Arial" w:eastAsia="Arial" w:hAnsi="Arial"/>
                <w:sz w:val="17"/>
                <w:szCs w:val="17"/>
                <w:color w:val="auto"/>
              </w:rPr>
              <w:t>60 days</w:t>
            </w:r>
          </w:p>
        </w:tc>
        <w:tc>
          <w:tcPr>
            <w:tcW w:w="1440" w:type="dxa"/>
            <w:vAlign w:val="bottom"/>
          </w:tcPr>
          <w:p>
            <w:pPr>
              <w:ind w:left="1020"/>
              <w:spacing w:after="0"/>
              <w:rPr>
                <w:sz w:val="20"/>
                <w:szCs w:val="20"/>
                <w:color w:val="auto"/>
              </w:rPr>
            </w:pPr>
            <w:r>
              <w:rPr>
                <w:rFonts w:ascii="Arial" w:cs="Arial" w:eastAsia="Arial" w:hAnsi="Arial"/>
                <w:sz w:val="17"/>
                <w:szCs w:val="17"/>
                <w:color w:val="auto"/>
              </w:rPr>
              <w:t>0.4</w:t>
            </w:r>
          </w:p>
        </w:tc>
        <w:tc>
          <w:tcPr>
            <w:tcW w:w="80" w:type="dxa"/>
            <w:vAlign w:val="bottom"/>
          </w:tcPr>
          <w:p>
            <w:pPr>
              <w:spacing w:after="0"/>
              <w:rPr>
                <w:sz w:val="19"/>
                <w:szCs w:val="19"/>
                <w:color w:val="auto"/>
              </w:rPr>
            </w:pPr>
          </w:p>
        </w:tc>
        <w:tc>
          <w:tcPr>
            <w:tcW w:w="1460" w:type="dxa"/>
            <w:vAlign w:val="bottom"/>
          </w:tcPr>
          <w:p>
            <w:pPr>
              <w:jc w:val="right"/>
              <w:ind w:right="114"/>
              <w:spacing w:after="0"/>
              <w:rPr>
                <w:sz w:val="20"/>
                <w:szCs w:val="20"/>
                <w:color w:val="auto"/>
              </w:rPr>
            </w:pPr>
            <w:r>
              <w:rPr>
                <w:rFonts w:ascii="Arial" w:cs="Arial" w:eastAsia="Arial" w:hAnsi="Arial"/>
                <w:sz w:val="17"/>
                <w:szCs w:val="17"/>
                <w:color w:val="auto"/>
              </w:rPr>
              <w:t>2.8</w:t>
            </w:r>
          </w:p>
        </w:tc>
        <w:tc>
          <w:tcPr>
            <w:tcW w:w="100" w:type="dxa"/>
            <w:vAlign w:val="bottom"/>
          </w:tcPr>
          <w:p>
            <w:pPr>
              <w:spacing w:after="0"/>
              <w:rPr>
                <w:sz w:val="19"/>
                <w:szCs w:val="19"/>
                <w:color w:val="auto"/>
              </w:rPr>
            </w:pPr>
          </w:p>
        </w:tc>
        <w:tc>
          <w:tcPr>
            <w:tcW w:w="1440" w:type="dxa"/>
            <w:vAlign w:val="bottom"/>
          </w:tcPr>
          <w:p>
            <w:pPr>
              <w:jc w:val="right"/>
              <w:ind w:right="134"/>
              <w:spacing w:after="0"/>
              <w:rPr>
                <w:sz w:val="20"/>
                <w:szCs w:val="20"/>
                <w:color w:val="auto"/>
              </w:rPr>
            </w:pPr>
            <w:r>
              <w:rPr>
                <w:rFonts w:ascii="Arial" w:cs="Arial" w:eastAsia="Arial" w:hAnsi="Arial"/>
                <w:sz w:val="17"/>
                <w:szCs w:val="17"/>
                <w:color w:val="auto"/>
              </w:rPr>
              <w:t>1.5</w:t>
            </w:r>
          </w:p>
        </w:tc>
        <w:tc>
          <w:tcPr>
            <w:tcW w:w="80" w:type="dxa"/>
            <w:vAlign w:val="bottom"/>
          </w:tcPr>
          <w:p>
            <w:pPr>
              <w:spacing w:after="0"/>
              <w:rPr>
                <w:sz w:val="19"/>
                <w:szCs w:val="19"/>
                <w:color w:val="auto"/>
              </w:rPr>
            </w:pPr>
          </w:p>
        </w:tc>
        <w:tc>
          <w:tcPr>
            <w:tcW w:w="1460" w:type="dxa"/>
            <w:vAlign w:val="bottom"/>
          </w:tcPr>
          <w:p>
            <w:pPr>
              <w:ind w:left="1040"/>
              <w:spacing w:after="0"/>
              <w:rPr>
                <w:sz w:val="20"/>
                <w:szCs w:val="20"/>
                <w:color w:val="auto"/>
              </w:rPr>
            </w:pPr>
            <w:r>
              <w:rPr>
                <w:rFonts w:ascii="Arial" w:cs="Arial" w:eastAsia="Arial" w:hAnsi="Arial"/>
                <w:sz w:val="17"/>
                <w:szCs w:val="17"/>
                <w:color w:val="auto"/>
              </w:rPr>
              <w:t>0.4</w:t>
            </w:r>
          </w:p>
        </w:tc>
        <w:tc>
          <w:tcPr>
            <w:tcW w:w="100" w:type="dxa"/>
            <w:vAlign w:val="bottom"/>
          </w:tcPr>
          <w:p>
            <w:pPr>
              <w:spacing w:after="0"/>
              <w:rPr>
                <w:sz w:val="19"/>
                <w:szCs w:val="19"/>
                <w:color w:val="auto"/>
              </w:rPr>
            </w:pPr>
          </w:p>
        </w:tc>
        <w:tc>
          <w:tcPr>
            <w:tcW w:w="1460" w:type="dxa"/>
            <w:vAlign w:val="bottom"/>
          </w:tcPr>
          <w:p>
            <w:pPr>
              <w:jc w:val="right"/>
              <w:ind w:right="114"/>
              <w:spacing w:after="0"/>
              <w:rPr>
                <w:sz w:val="20"/>
                <w:szCs w:val="20"/>
                <w:color w:val="auto"/>
              </w:rPr>
            </w:pPr>
            <w:r>
              <w:rPr>
                <w:rFonts w:ascii="Arial" w:cs="Arial" w:eastAsia="Arial" w:hAnsi="Arial"/>
                <w:sz w:val="17"/>
                <w:szCs w:val="17"/>
                <w:color w:val="auto"/>
              </w:rPr>
              <w:t>2.8</w:t>
            </w:r>
          </w:p>
        </w:tc>
        <w:tc>
          <w:tcPr>
            <w:tcW w:w="100" w:type="dxa"/>
            <w:vAlign w:val="bottom"/>
          </w:tcPr>
          <w:p>
            <w:pPr>
              <w:spacing w:after="0"/>
              <w:rPr>
                <w:sz w:val="19"/>
                <w:szCs w:val="19"/>
                <w:color w:val="auto"/>
              </w:rPr>
            </w:pPr>
          </w:p>
        </w:tc>
        <w:tc>
          <w:tcPr>
            <w:tcW w:w="1440" w:type="dxa"/>
            <w:vAlign w:val="bottom"/>
          </w:tcPr>
          <w:p>
            <w:pPr>
              <w:jc w:val="right"/>
              <w:ind w:right="114"/>
              <w:spacing w:after="0"/>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220"/>
        </w:trPr>
        <w:tc>
          <w:tcPr>
            <w:tcW w:w="20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90 days or more</w:t>
            </w:r>
          </w:p>
        </w:tc>
        <w:tc>
          <w:tcPr>
            <w:tcW w:w="1440" w:type="dxa"/>
            <w:vAlign w:val="bottom"/>
            <w:tcBorders>
              <w:bottom w:val="single" w:sz="8" w:color="auto"/>
            </w:tcBorders>
            <w:shd w:val="clear" w:color="auto" w:fill="CCEEFF"/>
          </w:tcPr>
          <w:p>
            <w:pPr>
              <w:ind w:left="1020"/>
              <w:spacing w:after="0"/>
              <w:rPr>
                <w:sz w:val="20"/>
                <w:szCs w:val="20"/>
                <w:color w:val="auto"/>
              </w:rPr>
            </w:pPr>
            <w:r>
              <w:rPr>
                <w:rFonts w:ascii="Arial" w:cs="Arial" w:eastAsia="Arial" w:hAnsi="Arial"/>
                <w:sz w:val="17"/>
                <w:szCs w:val="17"/>
                <w:color w:val="auto"/>
              </w:rPr>
              <w:t>1.2</w:t>
            </w:r>
          </w:p>
        </w:tc>
        <w:tc>
          <w:tcPr>
            <w:tcW w:w="80" w:type="dxa"/>
            <w:vAlign w:val="bottom"/>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8.4</w:t>
            </w: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4.6</w:t>
            </w:r>
          </w:p>
        </w:tc>
        <w:tc>
          <w:tcPr>
            <w:tcW w:w="80" w:type="dxa"/>
            <w:vAlign w:val="bottom"/>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ind w:left="1040"/>
              <w:spacing w:after="0"/>
              <w:rPr>
                <w:sz w:val="20"/>
                <w:szCs w:val="20"/>
                <w:color w:val="auto"/>
              </w:rPr>
            </w:pPr>
            <w:r>
              <w:rPr>
                <w:rFonts w:ascii="Arial" w:cs="Arial" w:eastAsia="Arial" w:hAnsi="Arial"/>
                <w:sz w:val="17"/>
                <w:szCs w:val="17"/>
                <w:color w:val="auto"/>
              </w:rPr>
              <w:t>1.9</w:t>
            </w:r>
          </w:p>
        </w:tc>
        <w:tc>
          <w:tcPr>
            <w:tcW w:w="100" w:type="dxa"/>
            <w:vAlign w:val="bottom"/>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8.0</w:t>
            </w: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4.8</w:t>
            </w:r>
          </w:p>
        </w:tc>
        <w:tc>
          <w:tcPr>
            <w:tcW w:w="0" w:type="dxa"/>
            <w:vAlign w:val="bottom"/>
          </w:tcPr>
          <w:p>
            <w:pPr>
              <w:spacing w:after="0"/>
              <w:rPr>
                <w:sz w:val="1"/>
                <w:szCs w:val="1"/>
                <w:color w:val="auto"/>
              </w:rPr>
            </w:pPr>
          </w:p>
        </w:tc>
      </w:tr>
      <w:tr>
        <w:trPr>
          <w:trHeight w:val="148"/>
        </w:trPr>
        <w:tc>
          <w:tcPr>
            <w:tcW w:w="2080" w:type="dxa"/>
            <w:vAlign w:val="bottom"/>
          </w:tcPr>
          <w:p>
            <w:pPr>
              <w:ind w:left="120"/>
              <w:spacing w:after="0" w:line="149" w:lineRule="exact"/>
              <w:rPr>
                <w:sz w:val="20"/>
                <w:szCs w:val="20"/>
                <w:color w:val="auto"/>
              </w:rPr>
            </w:pPr>
            <w:r>
              <w:rPr>
                <w:rFonts w:ascii="Arial" w:cs="Arial" w:eastAsia="Arial" w:hAnsi="Arial"/>
                <w:sz w:val="17"/>
                <w:szCs w:val="17"/>
                <w:color w:val="auto"/>
              </w:rPr>
              <w:t>Total 30-60-90 days or</w:t>
            </w:r>
          </w:p>
        </w:tc>
        <w:tc>
          <w:tcPr>
            <w:tcW w:w="1440" w:type="dxa"/>
            <w:vAlign w:val="bottom"/>
            <w:vMerge w:val="restart"/>
          </w:tcPr>
          <w:p>
            <w:pPr>
              <w:ind w:left="1020"/>
              <w:spacing w:after="0"/>
              <w:rPr>
                <w:sz w:val="20"/>
                <w:szCs w:val="20"/>
                <w:color w:val="auto"/>
              </w:rPr>
            </w:pPr>
            <w:r>
              <w:rPr>
                <w:rFonts w:ascii="Arial" w:cs="Arial" w:eastAsia="Arial" w:hAnsi="Arial"/>
                <w:sz w:val="17"/>
                <w:szCs w:val="17"/>
                <w:color w:val="auto"/>
                <w:w w:val="91"/>
              </w:rPr>
              <w:t>3.1 %</w:t>
            </w:r>
          </w:p>
        </w:tc>
        <w:tc>
          <w:tcPr>
            <w:tcW w:w="80" w:type="dxa"/>
            <w:vAlign w:val="bottom"/>
          </w:tcPr>
          <w:p>
            <w:pPr>
              <w:spacing w:after="0"/>
              <w:rPr>
                <w:sz w:val="12"/>
                <w:szCs w:val="12"/>
                <w:color w:val="auto"/>
              </w:rPr>
            </w:pPr>
          </w:p>
        </w:tc>
        <w:tc>
          <w:tcPr>
            <w:tcW w:w="1460" w:type="dxa"/>
            <w:vAlign w:val="bottom"/>
            <w:vMerge w:val="restart"/>
          </w:tcPr>
          <w:p>
            <w:pPr>
              <w:jc w:val="right"/>
              <w:spacing w:after="0"/>
              <w:rPr>
                <w:sz w:val="20"/>
                <w:szCs w:val="20"/>
                <w:color w:val="auto"/>
              </w:rPr>
            </w:pPr>
            <w:r>
              <w:rPr>
                <w:rFonts w:ascii="Arial" w:cs="Arial" w:eastAsia="Arial" w:hAnsi="Arial"/>
                <w:sz w:val="17"/>
                <w:szCs w:val="17"/>
                <w:color w:val="auto"/>
              </w:rPr>
              <w:t>18.5 %</w:t>
            </w:r>
          </w:p>
        </w:tc>
        <w:tc>
          <w:tcPr>
            <w:tcW w:w="100" w:type="dxa"/>
            <w:vAlign w:val="bottom"/>
          </w:tcPr>
          <w:p>
            <w:pPr>
              <w:spacing w:after="0"/>
              <w:rPr>
                <w:sz w:val="12"/>
                <w:szCs w:val="12"/>
                <w:color w:val="auto"/>
              </w:rPr>
            </w:pPr>
          </w:p>
        </w:tc>
        <w:tc>
          <w:tcPr>
            <w:tcW w:w="1440" w:type="dxa"/>
            <w:vAlign w:val="bottom"/>
            <w:vMerge w:val="restart"/>
          </w:tcPr>
          <w:p>
            <w:pPr>
              <w:jc w:val="right"/>
              <w:spacing w:after="0"/>
              <w:rPr>
                <w:sz w:val="20"/>
                <w:szCs w:val="20"/>
                <w:color w:val="auto"/>
              </w:rPr>
            </w:pPr>
            <w:r>
              <w:rPr>
                <w:rFonts w:ascii="Arial" w:cs="Arial" w:eastAsia="Arial" w:hAnsi="Arial"/>
                <w:sz w:val="17"/>
                <w:szCs w:val="17"/>
                <w:color w:val="auto"/>
              </w:rPr>
              <w:t>10.3 %</w:t>
            </w:r>
          </w:p>
        </w:tc>
        <w:tc>
          <w:tcPr>
            <w:tcW w:w="80" w:type="dxa"/>
            <w:vAlign w:val="bottom"/>
          </w:tcPr>
          <w:p>
            <w:pPr>
              <w:spacing w:after="0"/>
              <w:rPr>
                <w:sz w:val="12"/>
                <w:szCs w:val="12"/>
                <w:color w:val="auto"/>
              </w:rPr>
            </w:pPr>
          </w:p>
        </w:tc>
        <w:tc>
          <w:tcPr>
            <w:tcW w:w="1460" w:type="dxa"/>
            <w:vAlign w:val="bottom"/>
            <w:vMerge w:val="restart"/>
          </w:tcPr>
          <w:p>
            <w:pPr>
              <w:ind w:left="1040"/>
              <w:spacing w:after="0"/>
              <w:rPr>
                <w:sz w:val="20"/>
                <w:szCs w:val="20"/>
                <w:color w:val="auto"/>
              </w:rPr>
            </w:pPr>
            <w:r>
              <w:rPr>
                <w:rFonts w:ascii="Arial" w:cs="Arial" w:eastAsia="Arial" w:hAnsi="Arial"/>
                <w:sz w:val="17"/>
                <w:szCs w:val="17"/>
                <w:color w:val="auto"/>
                <w:w w:val="91"/>
              </w:rPr>
              <w:t>3.7 %</w:t>
            </w:r>
          </w:p>
        </w:tc>
        <w:tc>
          <w:tcPr>
            <w:tcW w:w="100" w:type="dxa"/>
            <w:vAlign w:val="bottom"/>
          </w:tcPr>
          <w:p>
            <w:pPr>
              <w:spacing w:after="0"/>
              <w:rPr>
                <w:sz w:val="12"/>
                <w:szCs w:val="12"/>
                <w:color w:val="auto"/>
              </w:rPr>
            </w:pPr>
          </w:p>
        </w:tc>
        <w:tc>
          <w:tcPr>
            <w:tcW w:w="1460" w:type="dxa"/>
            <w:vAlign w:val="bottom"/>
            <w:vMerge w:val="restart"/>
          </w:tcPr>
          <w:p>
            <w:pPr>
              <w:jc w:val="right"/>
              <w:spacing w:after="0"/>
              <w:rPr>
                <w:sz w:val="20"/>
                <w:szCs w:val="20"/>
                <w:color w:val="auto"/>
              </w:rPr>
            </w:pPr>
            <w:r>
              <w:rPr>
                <w:rFonts w:ascii="Arial" w:cs="Arial" w:eastAsia="Arial" w:hAnsi="Arial"/>
                <w:sz w:val="17"/>
                <w:szCs w:val="17"/>
                <w:color w:val="auto"/>
              </w:rPr>
              <w:t>18.0 %</w:t>
            </w:r>
          </w:p>
        </w:tc>
        <w:tc>
          <w:tcPr>
            <w:tcW w:w="100" w:type="dxa"/>
            <w:vAlign w:val="bottom"/>
          </w:tcPr>
          <w:p>
            <w:pPr>
              <w:spacing w:after="0"/>
              <w:rPr>
                <w:sz w:val="12"/>
                <w:szCs w:val="12"/>
                <w:color w:val="auto"/>
              </w:rPr>
            </w:pPr>
          </w:p>
        </w:tc>
        <w:tc>
          <w:tcPr>
            <w:tcW w:w="1440" w:type="dxa"/>
            <w:vAlign w:val="bottom"/>
            <w:vMerge w:val="restart"/>
          </w:tcPr>
          <w:p>
            <w:pPr>
              <w:jc w:val="right"/>
              <w:spacing w:after="0"/>
              <w:rPr>
                <w:sz w:val="20"/>
                <w:szCs w:val="20"/>
                <w:color w:val="auto"/>
              </w:rPr>
            </w:pPr>
            <w:r>
              <w:rPr>
                <w:rFonts w:ascii="Arial" w:cs="Arial" w:eastAsia="Arial" w:hAnsi="Arial"/>
                <w:sz w:val="17"/>
                <w:szCs w:val="17"/>
                <w:color w:val="auto"/>
              </w:rPr>
              <w:t>10.5 %</w:t>
            </w:r>
          </w:p>
        </w:tc>
        <w:tc>
          <w:tcPr>
            <w:tcW w:w="0" w:type="dxa"/>
            <w:vAlign w:val="bottom"/>
          </w:tcPr>
          <w:p>
            <w:pPr>
              <w:spacing w:after="0"/>
              <w:rPr>
                <w:sz w:val="1"/>
                <w:szCs w:val="1"/>
                <w:color w:val="auto"/>
              </w:rPr>
            </w:pPr>
          </w:p>
        </w:tc>
      </w:tr>
      <w:tr>
        <w:trPr>
          <w:trHeight w:val="198"/>
        </w:trPr>
        <w:tc>
          <w:tcPr>
            <w:tcW w:w="2080" w:type="dxa"/>
            <w:vAlign w:val="bottom"/>
          </w:tcPr>
          <w:p>
            <w:pPr>
              <w:ind w:left="280"/>
              <w:spacing w:after="0" w:line="194" w:lineRule="exact"/>
              <w:rPr>
                <w:sz w:val="20"/>
                <w:szCs w:val="20"/>
                <w:color w:val="auto"/>
              </w:rPr>
            </w:pPr>
            <w:r>
              <w:rPr>
                <w:rFonts w:ascii="Arial" w:cs="Arial" w:eastAsia="Arial" w:hAnsi="Arial"/>
                <w:sz w:val="17"/>
                <w:szCs w:val="17"/>
                <w:color w:val="auto"/>
              </w:rPr>
              <w:t>more</w:t>
            </w:r>
          </w:p>
        </w:tc>
        <w:tc>
          <w:tcPr>
            <w:tcW w:w="144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9"/>
        </w:trPr>
        <w:tc>
          <w:tcPr>
            <w:tcW w:w="20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jc w:val="right"/>
              <w:ind w:right="794"/>
              <w:spacing w:after="0"/>
              <w:rPr>
                <w:sz w:val="20"/>
                <w:szCs w:val="20"/>
                <w:color w:val="auto"/>
              </w:rPr>
            </w:pPr>
            <w:r>
              <w:rPr>
                <w:rFonts w:ascii="Arial" w:cs="Arial" w:eastAsia="Arial" w:hAnsi="Arial"/>
                <w:sz w:val="17"/>
                <w:szCs w:val="17"/>
                <w:color w:val="auto"/>
              </w:rPr>
              <w:t>24</w:t>
            </w: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2080" w:type="dxa"/>
            <w:vAlign w:val="bottom"/>
            <w:tcBorders>
              <w:bottom w:val="single" w:sz="8" w:color="9A9A9A"/>
            </w:tcBorders>
          </w:tcPr>
          <w:p>
            <w:pPr>
              <w:spacing w:after="0"/>
              <w:rPr>
                <w:sz w:val="9"/>
                <w:szCs w:val="9"/>
                <w:color w:val="auto"/>
              </w:rPr>
            </w:pPr>
          </w:p>
        </w:tc>
        <w:tc>
          <w:tcPr>
            <w:tcW w:w="14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4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4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9" w:right="3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25"/>
        </w:trPr>
        <w:tc>
          <w:tcPr>
            <w:tcW w:w="2480" w:type="dxa"/>
            <w:vAlign w:val="bottom"/>
          </w:tcPr>
          <w:p>
            <w:pPr>
              <w:spacing w:after="0"/>
              <w:rPr>
                <w:sz w:val="20"/>
                <w:szCs w:val="20"/>
                <w:color w:val="auto"/>
              </w:rPr>
            </w:pPr>
            <w:r>
              <w:rPr>
                <w:rFonts w:ascii="Arial" w:cs="Arial" w:eastAsia="Arial" w:hAnsi="Arial"/>
                <w:sz w:val="17"/>
                <w:szCs w:val="17"/>
                <w:b w:val="1"/>
                <w:bCs w:val="1"/>
                <w:color w:val="auto"/>
              </w:rPr>
              <w:t>MSR UPB and Fair Value</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97"/>
        </w:trPr>
        <w:tc>
          <w:tcPr>
            <w:tcW w:w="2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40" w:type="dxa"/>
            <w:vAlign w:val="bottom"/>
            <w:gridSpan w:val="4"/>
          </w:tcPr>
          <w:p>
            <w:pPr>
              <w:ind w:left="720"/>
              <w:spacing w:after="0"/>
              <w:rPr>
                <w:sz w:val="20"/>
                <w:szCs w:val="20"/>
                <w:color w:val="auto"/>
              </w:rPr>
            </w:pPr>
            <w:r>
              <w:rPr>
                <w:rFonts w:ascii="Arial" w:cs="Arial" w:eastAsia="Arial" w:hAnsi="Arial"/>
                <w:sz w:val="17"/>
                <w:szCs w:val="17"/>
                <w:b w:val="1"/>
                <w:bCs w:val="1"/>
                <w:color w:val="auto"/>
              </w:rPr>
              <w:t>June 30, 2022</w:t>
            </w:r>
          </w:p>
        </w:tc>
        <w:tc>
          <w:tcPr>
            <w:tcW w:w="200" w:type="dxa"/>
            <w:vAlign w:val="bottom"/>
          </w:tcPr>
          <w:p>
            <w:pPr>
              <w:spacing w:after="0"/>
              <w:rPr>
                <w:sz w:val="24"/>
                <w:szCs w:val="24"/>
                <w:color w:val="auto"/>
              </w:rPr>
            </w:pPr>
          </w:p>
        </w:tc>
        <w:tc>
          <w:tcPr>
            <w:tcW w:w="2740" w:type="dxa"/>
            <w:vAlign w:val="bottom"/>
            <w:gridSpan w:val="4"/>
          </w:tcPr>
          <w:p>
            <w:pPr>
              <w:ind w:left="520"/>
              <w:spacing w:after="0"/>
              <w:rPr>
                <w:sz w:val="20"/>
                <w:szCs w:val="20"/>
                <w:color w:val="auto"/>
              </w:rPr>
            </w:pPr>
            <w:r>
              <w:rPr>
                <w:rFonts w:ascii="Arial" w:cs="Arial" w:eastAsia="Arial" w:hAnsi="Arial"/>
                <w:sz w:val="17"/>
                <w:szCs w:val="17"/>
                <w:b w:val="1"/>
                <w:bCs w:val="1"/>
                <w:color w:val="auto"/>
              </w:rPr>
              <w:t>December 31, 2021</w:t>
            </w:r>
          </w:p>
        </w:tc>
        <w:tc>
          <w:tcPr>
            <w:tcW w:w="220" w:type="dxa"/>
            <w:vAlign w:val="bottom"/>
          </w:tcPr>
          <w:p>
            <w:pPr>
              <w:spacing w:after="0"/>
              <w:rPr>
                <w:sz w:val="24"/>
                <w:szCs w:val="24"/>
                <w:color w:val="auto"/>
              </w:rPr>
            </w:pPr>
          </w:p>
        </w:tc>
        <w:tc>
          <w:tcPr>
            <w:tcW w:w="1720" w:type="dxa"/>
            <w:vAlign w:val="bottom"/>
            <w:gridSpan w:val="2"/>
          </w:tcPr>
          <w:p>
            <w:pPr>
              <w:jc w:val="right"/>
              <w:spacing w:after="0"/>
              <w:rPr>
                <w:sz w:val="20"/>
                <w:szCs w:val="20"/>
                <w:color w:val="auto"/>
              </w:rPr>
            </w:pPr>
            <w:r>
              <w:rPr>
                <w:rFonts w:ascii="Arial" w:cs="Arial" w:eastAsia="Arial" w:hAnsi="Arial"/>
                <w:sz w:val="17"/>
                <w:szCs w:val="17"/>
                <w:b w:val="1"/>
                <w:bCs w:val="1"/>
                <w:color w:val="auto"/>
              </w:rPr>
              <w:t>June 30, 2021</w:t>
            </w:r>
          </w:p>
        </w:tc>
        <w:tc>
          <w:tcPr>
            <w:tcW w:w="920" w:type="dxa"/>
            <w:vAlign w:val="bottom"/>
          </w:tcPr>
          <w:p>
            <w:pPr>
              <w:spacing w:after="0"/>
              <w:rPr>
                <w:sz w:val="24"/>
                <w:szCs w:val="24"/>
                <w:color w:val="auto"/>
              </w:rPr>
            </w:pPr>
          </w:p>
        </w:tc>
      </w:tr>
      <w:tr>
        <w:trPr>
          <w:trHeight w:val="213"/>
        </w:trPr>
        <w:tc>
          <w:tcPr>
            <w:tcW w:w="24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214"/>
              <w:spacing w:after="0"/>
              <w:rPr>
                <w:sz w:val="20"/>
                <w:szCs w:val="20"/>
                <w:color w:val="auto"/>
              </w:rPr>
            </w:pPr>
            <w:r>
              <w:rPr>
                <w:rFonts w:ascii="Arial" w:cs="Arial" w:eastAsia="Arial" w:hAnsi="Arial"/>
                <w:sz w:val="17"/>
                <w:szCs w:val="17"/>
                <w:b w:val="1"/>
                <w:bCs w:val="1"/>
                <w:color w:val="auto"/>
              </w:rPr>
              <w:t>Fair Value</w:t>
            </w: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7"/>
                <w:szCs w:val="17"/>
                <w:b w:val="1"/>
                <w:bCs w:val="1"/>
                <w:color w:val="auto"/>
              </w:rPr>
              <w:t>UPB</w:t>
            </w: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214"/>
              <w:spacing w:after="0"/>
              <w:rPr>
                <w:sz w:val="20"/>
                <w:szCs w:val="20"/>
                <w:color w:val="auto"/>
              </w:rPr>
            </w:pPr>
            <w:r>
              <w:rPr>
                <w:rFonts w:ascii="Arial" w:cs="Arial" w:eastAsia="Arial" w:hAnsi="Arial"/>
                <w:sz w:val="17"/>
                <w:szCs w:val="17"/>
                <w:b w:val="1"/>
                <w:bCs w:val="1"/>
                <w:color w:val="auto"/>
              </w:rPr>
              <w:t>Fair Value</w:t>
            </w:r>
          </w:p>
        </w:tc>
        <w:tc>
          <w:tcPr>
            <w:tcW w:w="3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7"/>
                <w:szCs w:val="17"/>
                <w:b w:val="1"/>
                <w:bCs w:val="1"/>
                <w:color w:val="auto"/>
              </w:rPr>
              <w:t>UPB</w:t>
            </w:r>
          </w:p>
        </w:tc>
        <w:tc>
          <w:tcPr>
            <w:tcW w:w="1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214"/>
              <w:spacing w:after="0"/>
              <w:rPr>
                <w:sz w:val="20"/>
                <w:szCs w:val="20"/>
                <w:color w:val="auto"/>
              </w:rPr>
            </w:pPr>
            <w:r>
              <w:rPr>
                <w:rFonts w:ascii="Arial" w:cs="Arial" w:eastAsia="Arial" w:hAnsi="Arial"/>
                <w:sz w:val="17"/>
                <w:szCs w:val="17"/>
                <w:b w:val="1"/>
                <w:bCs w:val="1"/>
                <w:color w:val="auto"/>
              </w:rPr>
              <w:t>Fair Value</w:t>
            </w:r>
          </w:p>
        </w:tc>
        <w:tc>
          <w:tcPr>
            <w:tcW w:w="5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7"/>
                <w:szCs w:val="17"/>
                <w:b w:val="1"/>
                <w:bCs w:val="1"/>
                <w:color w:val="auto"/>
              </w:rPr>
              <w:t>UPB</w:t>
            </w:r>
          </w:p>
        </w:tc>
      </w:tr>
      <w:tr>
        <w:trPr>
          <w:trHeight w:val="213"/>
        </w:trPr>
        <w:tc>
          <w:tcPr>
            <w:tcW w:w="2480" w:type="dxa"/>
            <w:vAlign w:val="bottom"/>
            <w:shd w:val="clear" w:color="auto" w:fill="CCEEFF"/>
          </w:tcPr>
          <w:p>
            <w:pPr>
              <w:ind w:left="40"/>
              <w:spacing w:after="0"/>
              <w:rPr>
                <w:sz w:val="20"/>
                <w:szCs w:val="20"/>
                <w:color w:val="auto"/>
              </w:rPr>
            </w:pPr>
            <w:r>
              <w:rPr>
                <w:rFonts w:ascii="Arial" w:cs="Arial" w:eastAsia="Arial" w:hAnsi="Arial"/>
                <w:sz w:val="17"/>
                <w:szCs w:val="17"/>
                <w:color w:val="auto"/>
              </w:rPr>
              <w:t>Owned MSRs</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1,552,622</w:t>
            </w:r>
          </w:p>
        </w:tc>
        <w:tc>
          <w:tcPr>
            <w:tcW w:w="32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116,260,079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1,422,546</w:t>
            </w:r>
          </w:p>
        </w:tc>
        <w:tc>
          <w:tcPr>
            <w:tcW w:w="34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127,919,800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1,536,947</w:t>
            </w:r>
          </w:p>
        </w:tc>
        <w:tc>
          <w:tcPr>
            <w:tcW w:w="540" w:type="dxa"/>
            <w:vAlign w:val="bottom"/>
            <w:shd w:val="clear" w:color="auto" w:fill="CCEEFF"/>
          </w:tcPr>
          <w:p>
            <w:pPr>
              <w:jc w:val="right"/>
              <w:ind w:right="314"/>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148,882,743</w:t>
            </w:r>
          </w:p>
        </w:tc>
      </w:tr>
      <w:tr>
        <w:trPr>
          <w:trHeight w:val="220"/>
        </w:trPr>
        <w:tc>
          <w:tcPr>
            <w:tcW w:w="2480" w:type="dxa"/>
            <w:vAlign w:val="bottom"/>
          </w:tcPr>
          <w:p>
            <w:pPr>
              <w:ind w:left="40"/>
              <w:spacing w:after="0"/>
              <w:rPr>
                <w:sz w:val="20"/>
                <w:szCs w:val="20"/>
                <w:color w:val="auto"/>
              </w:rPr>
            </w:pPr>
            <w:r>
              <w:rPr>
                <w:rFonts w:ascii="Arial" w:cs="Arial" w:eastAsia="Arial" w:hAnsi="Arial"/>
                <w:sz w:val="17"/>
                <w:szCs w:val="17"/>
                <w:color w:val="auto"/>
              </w:rPr>
              <w:t>NRZ transferred MSRs (1) (2)</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550,808</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49,730,000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558,940</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53,652,843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535,571</w:t>
            </w: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w w:val="98"/>
              </w:rPr>
              <w:t>59,038,668</w:t>
            </w:r>
          </w:p>
        </w:tc>
      </w:tr>
      <w:tr>
        <w:trPr>
          <w:trHeight w:val="220"/>
        </w:trPr>
        <w:tc>
          <w:tcPr>
            <w:tcW w:w="2480" w:type="dxa"/>
            <w:vAlign w:val="bottom"/>
            <w:shd w:val="clear" w:color="auto" w:fill="CCEEFF"/>
          </w:tcPr>
          <w:p>
            <w:pPr>
              <w:ind w:left="40"/>
              <w:spacing w:after="0"/>
              <w:rPr>
                <w:sz w:val="20"/>
                <w:szCs w:val="20"/>
                <w:color w:val="auto"/>
              </w:rPr>
            </w:pPr>
            <w:r>
              <w:rPr>
                <w:rFonts w:ascii="Arial" w:cs="Arial" w:eastAsia="Arial" w:hAnsi="Arial"/>
                <w:sz w:val="17"/>
                <w:szCs w:val="17"/>
                <w:color w:val="auto"/>
              </w:rPr>
              <w:t>MAV transferred MSRs (1)</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382,249</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28,486,472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268,661</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24,018,904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3"/>
        </w:trPr>
        <w:tc>
          <w:tcPr>
            <w:tcW w:w="2480" w:type="dxa"/>
            <w:vAlign w:val="bottom"/>
          </w:tcPr>
          <w:p>
            <w:pPr>
              <w:ind w:left="140"/>
              <w:spacing w:after="0"/>
              <w:rPr>
                <w:sz w:val="20"/>
                <w:szCs w:val="20"/>
                <w:color w:val="auto"/>
              </w:rPr>
            </w:pPr>
            <w:r>
              <w:rPr>
                <w:rFonts w:ascii="Arial" w:cs="Arial" w:eastAsia="Arial" w:hAnsi="Arial"/>
                <w:sz w:val="17"/>
                <w:szCs w:val="17"/>
                <w:color w:val="auto"/>
              </w:rPr>
              <w:t>Total</w:t>
            </w:r>
          </w:p>
        </w:tc>
        <w:tc>
          <w:tcPr>
            <w:tcW w:w="2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2,485,679</w:t>
            </w:r>
          </w:p>
        </w:tc>
        <w:tc>
          <w:tcPr>
            <w:tcW w:w="32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194,476,551</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2,250,147</w:t>
            </w:r>
          </w:p>
        </w:tc>
        <w:tc>
          <w:tcPr>
            <w:tcW w:w="34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205,591,547</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2,072,518</w:t>
            </w:r>
          </w:p>
        </w:tc>
        <w:tc>
          <w:tcPr>
            <w:tcW w:w="54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8"/>
              </w:rPr>
              <w:t>207,921,411</w:t>
            </w:r>
          </w:p>
        </w:tc>
      </w:tr>
      <w:tr>
        <w:trPr>
          <w:trHeight w:val="20"/>
        </w:trPr>
        <w:tc>
          <w:tcPr>
            <w:tcW w:w="2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left="320" w:right="80" w:hanging="317"/>
        <w:spacing w:after="0" w:line="254" w:lineRule="auto"/>
        <w:tabs>
          <w:tab w:leader="none" w:pos="3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MSRs subject to sale agreements with NRZ and MAV that do not meet sale accounting criteria. During the six months ended June 30, 2022 , we transferred MSRs with a UPB of $5.9 billion to MAV. See Note 8 — MSR Transfers Not Qualifying for Sale Accounting.</w:t>
      </w:r>
    </w:p>
    <w:p>
      <w:pPr>
        <w:ind w:left="320" w:right="260" w:hanging="317"/>
        <w:spacing w:after="0" w:line="265" w:lineRule="auto"/>
        <w:tabs>
          <w:tab w:leader="none" w:pos="3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At June 30, 2022, the UPB of MSRs transferred to NRZ for which title is retained by Ocwen was $11.3 billion and the UPB of MSRs transferred to NRZ for which title has passed was $38.4 billion.</w:t>
      </w:r>
    </w:p>
    <w:p>
      <w:pPr>
        <w:spacing w:after="0" w:line="78" w:lineRule="exact"/>
        <w:rPr>
          <w:sz w:val="20"/>
          <w:szCs w:val="20"/>
          <w:color w:val="auto"/>
        </w:rPr>
      </w:pPr>
    </w:p>
    <w:p>
      <w:pPr>
        <w:spacing w:after="0"/>
        <w:rPr>
          <w:sz w:val="20"/>
          <w:szCs w:val="20"/>
          <w:color w:val="auto"/>
        </w:rPr>
      </w:pPr>
      <w:r>
        <w:rPr>
          <w:rFonts w:ascii="Arial" w:cs="Arial" w:eastAsia="Arial" w:hAnsi="Arial"/>
          <w:sz w:val="15"/>
          <w:szCs w:val="15"/>
          <w:color w:val="auto"/>
        </w:rPr>
        <w:t>We purchased MSRs with a UPB of $7.3 billion and $67.3 billion from unrelated third-parties during the six months ended June 30, 2022 and 2021, respectively.</w:t>
      </w:r>
    </w:p>
    <w:p>
      <w:pPr>
        <w:spacing w:after="0" w:line="47" w:lineRule="exact"/>
        <w:rPr>
          <w:sz w:val="20"/>
          <w:szCs w:val="20"/>
          <w:color w:val="auto"/>
        </w:rPr>
      </w:pPr>
    </w:p>
    <w:p>
      <w:pPr>
        <w:spacing w:after="0"/>
        <w:rPr>
          <w:sz w:val="20"/>
          <w:szCs w:val="20"/>
          <w:color w:val="auto"/>
        </w:rPr>
      </w:pPr>
      <w:r>
        <w:rPr>
          <w:rFonts w:ascii="Arial" w:cs="Arial" w:eastAsia="Arial" w:hAnsi="Arial"/>
          <w:sz w:val="16"/>
          <w:szCs w:val="16"/>
          <w:color w:val="auto"/>
        </w:rPr>
        <w:t>We sold MSRs with a UPB of $11.1 billion and $13.1 million during the six months ended June 30, 2022 and 2021, respectively, to unrelated third parties.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840" w:type="dxa"/>
            <w:vAlign w:val="bottom"/>
          </w:tcPr>
          <w:p>
            <w:pPr>
              <w:spacing w:after="0"/>
              <w:rPr>
                <w:sz w:val="20"/>
                <w:szCs w:val="20"/>
                <w:color w:val="auto"/>
              </w:rPr>
            </w:pPr>
            <w:r>
              <w:rPr>
                <w:rFonts w:ascii="Arial" w:cs="Arial" w:eastAsia="Arial" w:hAnsi="Arial"/>
                <w:sz w:val="17"/>
                <w:szCs w:val="17"/>
                <w:b w:val="1"/>
                <w:bCs w:val="1"/>
                <w:color w:val="auto"/>
              </w:rPr>
              <w:t>Servicing Revenue</w:t>
            </w: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349"/>
        </w:trPr>
        <w:tc>
          <w:tcPr>
            <w:tcW w:w="4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980" w:type="dxa"/>
            <w:vAlign w:val="bottom"/>
            <w:gridSpan w:val="5"/>
          </w:tcPr>
          <w:p>
            <w:pPr>
              <w:ind w:left="180"/>
              <w:spacing w:after="0"/>
              <w:rPr>
                <w:sz w:val="20"/>
                <w:szCs w:val="20"/>
                <w:color w:val="auto"/>
              </w:rPr>
            </w:pPr>
            <w:r>
              <w:rPr>
                <w:rFonts w:ascii="Arial" w:cs="Arial" w:eastAsia="Arial" w:hAnsi="Arial"/>
                <w:sz w:val="17"/>
                <w:szCs w:val="17"/>
                <w:b w:val="1"/>
                <w:bCs w:val="1"/>
                <w:color w:val="auto"/>
              </w:rPr>
              <w:t>Three Months Ended June 30,</w:t>
            </w:r>
          </w:p>
        </w:tc>
        <w:tc>
          <w:tcPr>
            <w:tcW w:w="320" w:type="dxa"/>
            <w:vAlign w:val="bottom"/>
          </w:tcPr>
          <w:p>
            <w:pPr>
              <w:spacing w:after="0"/>
              <w:rPr>
                <w:sz w:val="24"/>
                <w:szCs w:val="24"/>
                <w:color w:val="auto"/>
              </w:rPr>
            </w:pPr>
          </w:p>
        </w:tc>
        <w:tc>
          <w:tcPr>
            <w:tcW w:w="2820" w:type="dxa"/>
            <w:vAlign w:val="bottom"/>
            <w:gridSpan w:val="4"/>
          </w:tcPr>
          <w:p>
            <w:pPr>
              <w:jc w:val="right"/>
              <w:ind w:right="474"/>
              <w:spacing w:after="0"/>
              <w:rPr>
                <w:sz w:val="20"/>
                <w:szCs w:val="20"/>
                <w:color w:val="auto"/>
              </w:rPr>
            </w:pPr>
            <w:r>
              <w:rPr>
                <w:rFonts w:ascii="Arial" w:cs="Arial" w:eastAsia="Arial" w:hAnsi="Arial"/>
                <w:sz w:val="17"/>
                <w:szCs w:val="17"/>
                <w:b w:val="1"/>
                <w:bCs w:val="1"/>
                <w:color w:val="auto"/>
              </w:rPr>
              <w:t>Six Months Ended June 30,</w:t>
            </w:r>
          </w:p>
        </w:tc>
      </w:tr>
      <w:tr>
        <w:trPr>
          <w:trHeight w:val="225"/>
        </w:trPr>
        <w:tc>
          <w:tcPr>
            <w:tcW w:w="484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7"/>
                <w:szCs w:val="17"/>
                <w:b w:val="1"/>
                <w:bCs w:val="1"/>
                <w:color w:val="auto"/>
              </w:rPr>
              <w:t>2021</w:t>
            </w:r>
          </w:p>
        </w:tc>
        <w:tc>
          <w:tcPr>
            <w:tcW w:w="12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7"/>
                <w:szCs w:val="17"/>
                <w:b w:val="1"/>
                <w:bCs w:val="1"/>
                <w:color w:val="auto"/>
              </w:rPr>
              <w:t>2021</w:t>
            </w:r>
          </w:p>
        </w:tc>
      </w:tr>
      <w:tr>
        <w:trPr>
          <w:trHeight w:val="200"/>
        </w:trPr>
        <w:tc>
          <w:tcPr>
            <w:tcW w:w="4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Loan servicing and subservicing fees</w:t>
            </w: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20"/>
        </w:trPr>
        <w:tc>
          <w:tcPr>
            <w:tcW w:w="4840" w:type="dxa"/>
            <w:vAlign w:val="bottom"/>
          </w:tcPr>
          <w:p>
            <w:pPr>
              <w:ind w:left="140"/>
              <w:spacing w:after="0"/>
              <w:rPr>
                <w:sz w:val="20"/>
                <w:szCs w:val="20"/>
                <w:color w:val="auto"/>
              </w:rPr>
            </w:pPr>
            <w:r>
              <w:rPr>
                <w:rFonts w:ascii="Arial" w:cs="Arial" w:eastAsia="Arial" w:hAnsi="Arial"/>
                <w:sz w:val="17"/>
                <w:szCs w:val="17"/>
                <w:color w:val="auto"/>
              </w:rPr>
              <w:t>Servicing</w:t>
            </w: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80,889</w:t>
            </w:r>
          </w:p>
        </w:tc>
        <w:tc>
          <w:tcPr>
            <w:tcW w:w="100" w:type="dxa"/>
            <w:vAlign w:val="bottom"/>
          </w:tcPr>
          <w:p>
            <w:pPr>
              <w:spacing w:after="0"/>
              <w:rPr>
                <w:sz w:val="19"/>
                <w:szCs w:val="19"/>
                <w:color w:val="auto"/>
              </w:rPr>
            </w:pPr>
          </w:p>
        </w:tc>
        <w:tc>
          <w:tcPr>
            <w:tcW w:w="360" w:type="dxa"/>
            <w:vAlign w:val="bottom"/>
          </w:tcPr>
          <w:p>
            <w:pPr>
              <w:jc w:val="right"/>
              <w:ind w:right="174"/>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79,377</w:t>
            </w:r>
          </w:p>
        </w:tc>
        <w:tc>
          <w:tcPr>
            <w:tcW w:w="12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169,424</w:t>
            </w:r>
          </w:p>
        </w:tc>
        <w:tc>
          <w:tcPr>
            <w:tcW w:w="100" w:type="dxa"/>
            <w:vAlign w:val="bottom"/>
          </w:tcPr>
          <w:p>
            <w:pPr>
              <w:spacing w:after="0"/>
              <w:rPr>
                <w:sz w:val="19"/>
                <w:szCs w:val="19"/>
                <w:color w:val="auto"/>
              </w:rPr>
            </w:pP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143,269</w:t>
            </w:r>
          </w:p>
        </w:tc>
      </w:tr>
      <w:tr>
        <w:trPr>
          <w:trHeight w:val="220"/>
        </w:trPr>
        <w:tc>
          <w:tcPr>
            <w:tcW w:w="48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Subservicing</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20,353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2,617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35,032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6,104</w:t>
            </w:r>
          </w:p>
        </w:tc>
      </w:tr>
      <w:tr>
        <w:trPr>
          <w:trHeight w:val="220"/>
        </w:trPr>
        <w:tc>
          <w:tcPr>
            <w:tcW w:w="4840" w:type="dxa"/>
            <w:vAlign w:val="bottom"/>
          </w:tcPr>
          <w:p>
            <w:pPr>
              <w:ind w:left="140"/>
              <w:spacing w:after="0"/>
              <w:rPr>
                <w:sz w:val="20"/>
                <w:szCs w:val="20"/>
                <w:color w:val="auto"/>
              </w:rPr>
            </w:pPr>
            <w:r>
              <w:rPr>
                <w:rFonts w:ascii="Arial" w:cs="Arial" w:eastAsia="Arial" w:hAnsi="Arial"/>
                <w:sz w:val="17"/>
                <w:szCs w:val="17"/>
                <w:color w:val="auto"/>
              </w:rPr>
              <w:t>MAV (1)</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18,837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35,460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48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NRZ (1)</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64,729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77,716</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131,875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158,101</w:t>
            </w:r>
          </w:p>
        </w:tc>
      </w:tr>
      <w:tr>
        <w:trPr>
          <w:trHeight w:val="213"/>
        </w:trPr>
        <w:tc>
          <w:tcPr>
            <w:tcW w:w="48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184,809</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159,710</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371,791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307,474</w:t>
            </w:r>
          </w:p>
        </w:tc>
      </w:tr>
      <w:tr>
        <w:trPr>
          <w:trHeight w:val="200"/>
        </w:trPr>
        <w:tc>
          <w:tcPr>
            <w:tcW w:w="4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Ancillary income</w:t>
            </w: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20"/>
        </w:trPr>
        <w:tc>
          <w:tcPr>
            <w:tcW w:w="4840" w:type="dxa"/>
            <w:vAlign w:val="bottom"/>
          </w:tcPr>
          <w:p>
            <w:pPr>
              <w:ind w:left="120"/>
              <w:spacing w:after="0"/>
              <w:rPr>
                <w:sz w:val="20"/>
                <w:szCs w:val="20"/>
                <w:color w:val="auto"/>
              </w:rPr>
            </w:pPr>
            <w:r>
              <w:rPr>
                <w:rFonts w:ascii="Arial" w:cs="Arial" w:eastAsia="Arial" w:hAnsi="Arial"/>
                <w:sz w:val="17"/>
                <w:szCs w:val="17"/>
                <w:color w:val="auto"/>
              </w:rPr>
              <w:t>Late charges</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11,738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11,447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21,758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20,679</w:t>
            </w:r>
          </w:p>
        </w:tc>
      </w:tr>
      <w:tr>
        <w:trPr>
          <w:trHeight w:val="220"/>
        </w:trPr>
        <w:tc>
          <w:tcPr>
            <w:tcW w:w="48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Reverse subservicing ancillary fees</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6,257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9,390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4840" w:type="dxa"/>
            <w:vAlign w:val="bottom"/>
          </w:tcPr>
          <w:p>
            <w:pPr>
              <w:ind w:left="120"/>
              <w:spacing w:after="0"/>
              <w:rPr>
                <w:sz w:val="20"/>
                <w:szCs w:val="20"/>
                <w:color w:val="auto"/>
              </w:rPr>
            </w:pPr>
            <w:r>
              <w:rPr>
                <w:rFonts w:ascii="Arial" w:cs="Arial" w:eastAsia="Arial" w:hAnsi="Arial"/>
                <w:sz w:val="17"/>
                <w:szCs w:val="17"/>
                <w:color w:val="auto"/>
              </w:rPr>
              <w:t>Recording fees</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2,624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3,202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5,874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6,854</w:t>
            </w:r>
          </w:p>
        </w:tc>
      </w:tr>
      <w:tr>
        <w:trPr>
          <w:trHeight w:val="220"/>
        </w:trPr>
        <w:tc>
          <w:tcPr>
            <w:tcW w:w="48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Loan collection fees</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2,870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2,761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5,819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5,711</w:t>
            </w:r>
          </w:p>
        </w:tc>
      </w:tr>
      <w:tr>
        <w:trPr>
          <w:trHeight w:val="220"/>
        </w:trPr>
        <w:tc>
          <w:tcPr>
            <w:tcW w:w="4840" w:type="dxa"/>
            <w:vAlign w:val="bottom"/>
          </w:tcPr>
          <w:p>
            <w:pPr>
              <w:ind w:left="120"/>
              <w:spacing w:after="0"/>
              <w:rPr>
                <w:sz w:val="20"/>
                <w:szCs w:val="20"/>
                <w:color w:val="auto"/>
              </w:rPr>
            </w:pPr>
            <w:r>
              <w:rPr>
                <w:rFonts w:ascii="Arial" w:cs="Arial" w:eastAsia="Arial" w:hAnsi="Arial"/>
                <w:sz w:val="17"/>
                <w:szCs w:val="17"/>
                <w:color w:val="auto"/>
              </w:rPr>
              <w:t>Boarding and deboarding fees</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1,863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2,184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3,625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5,203</w:t>
            </w:r>
          </w:p>
        </w:tc>
      </w:tr>
      <w:tr>
        <w:trPr>
          <w:trHeight w:val="220"/>
        </w:trPr>
        <w:tc>
          <w:tcPr>
            <w:tcW w:w="48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Custodial accounts (float earnings)</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1,804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2,786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2,313</w:t>
            </w:r>
          </w:p>
        </w:tc>
      </w:tr>
      <w:tr>
        <w:trPr>
          <w:trHeight w:val="220"/>
        </w:trPr>
        <w:tc>
          <w:tcPr>
            <w:tcW w:w="4840" w:type="dxa"/>
            <w:vAlign w:val="bottom"/>
          </w:tcPr>
          <w:p>
            <w:pPr>
              <w:ind w:left="120"/>
              <w:spacing w:after="0"/>
              <w:rPr>
                <w:sz w:val="20"/>
                <w:szCs w:val="20"/>
                <w:color w:val="auto"/>
              </w:rPr>
            </w:pPr>
            <w:r>
              <w:rPr>
                <w:rFonts w:ascii="Arial" w:cs="Arial" w:eastAsia="Arial" w:hAnsi="Arial"/>
                <w:sz w:val="17"/>
                <w:szCs w:val="17"/>
                <w:color w:val="auto"/>
              </w:rPr>
              <w:t>GSE forbearance fees</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181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507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365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1,072</w:t>
            </w:r>
          </w:p>
        </w:tc>
      </w:tr>
      <w:tr>
        <w:trPr>
          <w:trHeight w:val="220"/>
        </w:trPr>
        <w:tc>
          <w:tcPr>
            <w:tcW w:w="48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Other, net</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2,985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3,325</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6,346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6,873</w:t>
            </w:r>
          </w:p>
        </w:tc>
      </w:tr>
      <w:tr>
        <w:trPr>
          <w:trHeight w:val="213"/>
        </w:trPr>
        <w:tc>
          <w:tcPr>
            <w:tcW w:w="48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30,322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24,731</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55,963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48,705</w:t>
            </w:r>
          </w:p>
        </w:tc>
      </w:tr>
      <w:tr>
        <w:trPr>
          <w:trHeight w:val="238"/>
        </w:trPr>
        <w:tc>
          <w:tcPr>
            <w:tcW w:w="48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215,131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184,441</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427,754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356,179</w:t>
            </w: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124" w:lineRule="exact"/>
        <w:rPr>
          <w:sz w:val="20"/>
          <w:szCs w:val="20"/>
          <w:color w:val="auto"/>
        </w:rPr>
      </w:pPr>
    </w:p>
    <w:p>
      <w:pPr>
        <w:spacing w:after="0"/>
        <w:tabs>
          <w:tab w:leader="none" w:pos="300"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4"/>
          <w:szCs w:val="14"/>
          <w:color w:val="auto"/>
        </w:rPr>
        <w:t>Includes servicing fees related to transferred MSRs and subservicing fees. See Note 8 — MSR Transfers Not Qualifying for Sale Accounting</w:t>
      </w:r>
      <w:r>
        <w:rPr>
          <w:rFonts w:ascii="Arial" w:cs="Arial" w:eastAsia="Arial" w:hAnsi="Arial"/>
          <w:sz w:val="15"/>
          <w:szCs w:val="15"/>
          <w:b w:val="1"/>
          <w:bCs w:val="1"/>
          <w:color w:val="auto"/>
        </w:rPr>
        <w:t>.</w:t>
      </w:r>
    </w:p>
    <w:p>
      <w:pPr>
        <w:spacing w:after="0" w:line="132"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Float balances (balances in custodial accounts, which represent collections of principal and interest that we receive from borrowers on behalf of investors) are held in escrow by unaffiliated banks and are excluded from our unaudited consolidated balance sheets. Float balances amounted to $1.8 billion, $2.1 billion and $2.1 billion at June 30, 2022, December 31, 2021 and June 30, 2021, respectively.</w:t>
      </w:r>
    </w:p>
    <w:p>
      <w:pPr>
        <w:spacing w:after="0" w:line="200" w:lineRule="exact"/>
        <w:rPr>
          <w:sz w:val="20"/>
          <w:szCs w:val="20"/>
          <w:color w:val="auto"/>
        </w:rPr>
      </w:pPr>
    </w:p>
    <w:p>
      <w:pPr>
        <w:spacing w:after="0" w:line="250"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Note 8 — MSR Transfers Not Qualifying for Sale Accounting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84455</wp:posOffset>
            </wp:positionV>
            <wp:extent cx="712152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94" w:lineRule="exact"/>
        <w:rPr>
          <w:sz w:val="20"/>
          <w:szCs w:val="20"/>
          <w:color w:val="auto"/>
        </w:rPr>
      </w:pPr>
    </w:p>
    <w:p>
      <w:pPr>
        <w:ind w:right="220"/>
        <w:spacing w:after="0" w:line="309" w:lineRule="auto"/>
        <w:rPr>
          <w:sz w:val="20"/>
          <w:szCs w:val="20"/>
          <w:color w:val="auto"/>
        </w:rPr>
      </w:pPr>
      <w:r>
        <w:rPr>
          <w:rFonts w:ascii="Arial" w:cs="Arial" w:eastAsia="Arial" w:hAnsi="Arial"/>
          <w:sz w:val="15"/>
          <w:szCs w:val="15"/>
          <w:color w:val="auto"/>
        </w:rPr>
        <w:t>MSRs transferred or sold in transactions which do not qualify for sale accounting treatment are accounted for as secured financings. Until such time as the transaction qualifies as a sale for accounting purposes, we continue to recognize the MSRs and related financing liability on our unaudited consolidated balance sheets, as well as the full amount of servicing fee collected as revenue and the servicing fee remitted as Pledged MSR liability expense in our unaudited consolidated statements of operations. In addition, changes in fair value of the transferred MSRs are recognized in MSR valuation adjustments, net in the</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1" w:right="339" w:bottom="1440" w:gutter="0" w:footer="0" w:header="0"/>
        </w:sectPr>
      </w:pPr>
    </w:p>
    <w:bookmarkStart w:id="27" w:name="page28"/>
    <w:bookmarkEnd w:id="27"/>
    <w:p>
      <w:pPr>
        <w:spacing w:after="0"/>
        <w:rPr>
          <w:sz w:val="20"/>
          <w:szCs w:val="20"/>
          <w:color w:val="auto"/>
        </w:rPr>
      </w:pPr>
      <w:r>
        <w:rPr>
          <w:rFonts w:ascii="Arial" w:cs="Arial" w:eastAsia="Arial" w:hAnsi="Arial"/>
          <w:sz w:val="15"/>
          <w:szCs w:val="15"/>
          <w:color w:val="auto"/>
        </w:rPr>
        <w:t>unaudited consolidated statements of operations, while changes in fair value of the related MSR financing liability are reported in Pledged MSR liability expense.</w:t>
      </w:r>
    </w:p>
    <w:p>
      <w:pPr>
        <w:spacing w:after="0" w:line="138" w:lineRule="exact"/>
        <w:rPr>
          <w:sz w:val="20"/>
          <w:szCs w:val="20"/>
          <w:color w:val="auto"/>
        </w:rPr>
      </w:pPr>
    </w:p>
    <w:p>
      <w:pPr>
        <w:ind w:right="20"/>
        <w:spacing w:after="0" w:line="263" w:lineRule="auto"/>
        <w:rPr>
          <w:sz w:val="20"/>
          <w:szCs w:val="20"/>
          <w:color w:val="auto"/>
        </w:rPr>
      </w:pPr>
      <w:r>
        <w:rPr>
          <w:rFonts w:ascii="Arial" w:cs="Arial" w:eastAsia="Arial" w:hAnsi="Arial"/>
          <w:sz w:val="17"/>
          <w:szCs w:val="17"/>
          <w:color w:val="auto"/>
        </w:rPr>
        <w:t>In 2021 and 2022, PMC entered into agreements to sell MSR portfolios to MAV on a bulk and flow basis. In each such agreement, PMC has been retained as subservicer for the sold portfolio in accordance with the terms of the subservicing agreement entered into on May 3, 2021. The transactions do not qualify for sale accounting treatment predominantly due to the termination restrictions of the subservicing agreement. See Note 10 - Investment in Equity Method Investee and Related Party Transactions.</w:t>
      </w:r>
    </w:p>
    <w:p>
      <w:pPr>
        <w:spacing w:after="0" w:line="73"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color w:val="auto"/>
        </w:rPr>
        <w:t>Starting in 2012, Ocwen entered into agreements to sell MSRs or Rights to MSRs and the related servicing advances to NRZ, and in all cases have been retained by NRZ as subservicer. In May 2022, Ocwen entered into amendments to the subservicing agreements to extend their terms to December 31, 2023 and establish a process for subsequent term extensions. In addition, the amendments provide for a modification of the sharing of some ancillary income between PMC and NRZ. Due to the length of the non-cancellable term of the subservicing agreements, the transactions do not qualify for sale accounting treatment which results in such transactions being accounted for as secured financings. In the case of Rights to MSRs transactions with NRZ, legal title was retained by Ocwen, causing the transactions to be accounted for as secured financings.</w:t>
      </w:r>
    </w:p>
    <w:p>
      <w:pPr>
        <w:spacing w:after="0" w:line="78" w:lineRule="exact"/>
        <w:rPr>
          <w:sz w:val="20"/>
          <w:szCs w:val="20"/>
          <w:color w:val="auto"/>
        </w:rPr>
      </w:pPr>
    </w:p>
    <w:p>
      <w:pPr>
        <w:ind w:right="140"/>
        <w:spacing w:after="0" w:line="283" w:lineRule="auto"/>
        <w:rPr>
          <w:sz w:val="20"/>
          <w:szCs w:val="20"/>
          <w:color w:val="auto"/>
        </w:rPr>
      </w:pPr>
      <w:r>
        <w:rPr>
          <w:rFonts w:ascii="Arial" w:cs="Arial" w:eastAsia="Arial" w:hAnsi="Arial"/>
          <w:sz w:val="17"/>
          <w:szCs w:val="17"/>
          <w:color w:val="auto"/>
        </w:rPr>
        <w:t>The following tables present the activity of the pledged MSR liability recorded in connection with the MSR transfer agreements with NRZ and MAV that do not qualify for sale accounting.</w:t>
      </w:r>
    </w:p>
    <w:p>
      <w:pPr>
        <w:spacing w:after="0" w:line="89" w:lineRule="exact"/>
        <w:rPr>
          <w:sz w:val="20"/>
          <w:szCs w:val="20"/>
          <w:color w:val="auto"/>
        </w:rPr>
      </w:pPr>
    </w:p>
    <w:tbl>
      <w:tblPr>
        <w:tblLayout w:type="fixed"/>
        <w:tblInd w:w="120" w:type="dxa"/>
        <w:tblCellMar>
          <w:top w:w="0" w:type="dxa"/>
          <w:left w:w="0" w:type="dxa"/>
          <w:bottom w:w="0" w:type="dxa"/>
          <w:right w:w="0" w:type="dxa"/>
        </w:tblCellMar>
      </w:tblPr>
      <w:tr>
        <w:trPr>
          <w:trHeight w:val="225"/>
        </w:trPr>
        <w:tc>
          <w:tcPr>
            <w:tcW w:w="47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900" w:type="dxa"/>
            <w:vAlign w:val="bottom"/>
            <w:tcBorders>
              <w:bottom w:val="single" w:sz="8" w:color="auto"/>
            </w:tcBorders>
            <w:gridSpan w:val="5"/>
          </w:tcPr>
          <w:p>
            <w:pPr>
              <w:jc w:val="center"/>
              <w:ind w:right="360"/>
              <w:spacing w:after="0"/>
              <w:rPr>
                <w:sz w:val="20"/>
                <w:szCs w:val="20"/>
                <w:color w:val="auto"/>
              </w:rPr>
            </w:pPr>
            <w:r>
              <w:rPr>
                <w:rFonts w:ascii="Arial" w:cs="Arial" w:eastAsia="Arial" w:hAnsi="Arial"/>
                <w:sz w:val="17"/>
                <w:szCs w:val="17"/>
                <w:b w:val="1"/>
                <w:bCs w:val="1"/>
                <w:color w:val="auto"/>
                <w:w w:val="92"/>
              </w:rPr>
              <w:t>Three Months Ended June 30,</w:t>
            </w: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7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174"/>
              <w:spacing w:after="0"/>
              <w:rPr>
                <w:sz w:val="20"/>
                <w:szCs w:val="20"/>
                <w:color w:val="auto"/>
              </w:rPr>
            </w:pPr>
            <w:r>
              <w:rPr>
                <w:rFonts w:ascii="Arial" w:cs="Arial" w:eastAsia="Arial" w:hAnsi="Arial"/>
                <w:sz w:val="17"/>
                <w:szCs w:val="17"/>
                <w:b w:val="1"/>
                <w:bCs w:val="1"/>
                <w:color w:val="auto"/>
                <w:w w:val="95"/>
              </w:rPr>
              <w:t>2022</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214"/>
              <w:spacing w:after="0"/>
              <w:rPr>
                <w:sz w:val="20"/>
                <w:szCs w:val="20"/>
                <w:color w:val="auto"/>
              </w:rPr>
            </w:pPr>
            <w:r>
              <w:rPr>
                <w:rFonts w:ascii="Arial" w:cs="Arial" w:eastAsia="Arial" w:hAnsi="Arial"/>
                <w:sz w:val="17"/>
                <w:szCs w:val="17"/>
                <w:b w:val="1"/>
                <w:bCs w:val="1"/>
                <w:color w:val="auto"/>
                <w:w w:val="95"/>
              </w:rPr>
              <w:t>2021</w:t>
            </w:r>
          </w:p>
        </w:tc>
        <w:tc>
          <w:tcPr>
            <w:tcW w:w="0" w:type="dxa"/>
            <w:vAlign w:val="bottom"/>
          </w:tcPr>
          <w:p>
            <w:pPr>
              <w:spacing w:after="0"/>
              <w:rPr>
                <w:sz w:val="1"/>
                <w:szCs w:val="1"/>
                <w:color w:val="auto"/>
              </w:rPr>
            </w:pPr>
          </w:p>
        </w:tc>
      </w:tr>
      <w:tr>
        <w:trPr>
          <w:trHeight w:val="161"/>
        </w:trPr>
        <w:tc>
          <w:tcPr>
            <w:tcW w:w="4740" w:type="dxa"/>
            <w:vAlign w:val="bottom"/>
          </w:tcPr>
          <w:p>
            <w:pPr>
              <w:spacing w:after="0"/>
              <w:rPr>
                <w:sz w:val="13"/>
                <w:szCs w:val="13"/>
                <w:color w:val="auto"/>
              </w:rPr>
            </w:pPr>
          </w:p>
        </w:tc>
        <w:tc>
          <w:tcPr>
            <w:tcW w:w="1600" w:type="dxa"/>
            <w:vAlign w:val="bottom"/>
            <w:gridSpan w:val="3"/>
          </w:tcPr>
          <w:p>
            <w:pPr>
              <w:jc w:val="center"/>
              <w:ind w:right="100"/>
              <w:spacing w:after="0" w:line="161" w:lineRule="exact"/>
              <w:rPr>
                <w:sz w:val="20"/>
                <w:szCs w:val="20"/>
                <w:color w:val="auto"/>
              </w:rPr>
            </w:pPr>
            <w:r>
              <w:rPr>
                <w:rFonts w:ascii="Arial" w:cs="Arial" w:eastAsia="Arial" w:hAnsi="Arial"/>
                <w:sz w:val="17"/>
                <w:szCs w:val="17"/>
                <w:b w:val="1"/>
                <w:bCs w:val="1"/>
                <w:color w:val="auto"/>
                <w:w w:val="93"/>
              </w:rPr>
              <w:t>Original Rights to</w:t>
            </w:r>
          </w:p>
        </w:tc>
        <w:tc>
          <w:tcPr>
            <w:tcW w:w="1580" w:type="dxa"/>
            <w:vAlign w:val="bottom"/>
            <w:gridSpan w:val="3"/>
            <w:vMerge w:val="restart"/>
          </w:tcPr>
          <w:p>
            <w:pPr>
              <w:ind w:left="80"/>
              <w:spacing w:after="0"/>
              <w:rPr>
                <w:sz w:val="20"/>
                <w:szCs w:val="20"/>
                <w:color w:val="auto"/>
              </w:rPr>
            </w:pPr>
            <w:r>
              <w:rPr>
                <w:rFonts w:ascii="Arial" w:cs="Arial" w:eastAsia="Arial" w:hAnsi="Arial"/>
                <w:sz w:val="17"/>
                <w:szCs w:val="17"/>
                <w:b w:val="1"/>
                <w:bCs w:val="1"/>
                <w:color w:val="auto"/>
              </w:rPr>
              <w:t>MAV Agreements</w:t>
            </w:r>
          </w:p>
        </w:tc>
        <w:tc>
          <w:tcPr>
            <w:tcW w:w="3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00" w:type="dxa"/>
            <w:vAlign w:val="bottom"/>
            <w:gridSpan w:val="2"/>
          </w:tcPr>
          <w:p>
            <w:pPr>
              <w:jc w:val="center"/>
              <w:spacing w:after="0" w:line="161" w:lineRule="exact"/>
              <w:rPr>
                <w:sz w:val="20"/>
                <w:szCs w:val="20"/>
                <w:color w:val="auto"/>
              </w:rPr>
            </w:pPr>
            <w:r>
              <w:rPr>
                <w:rFonts w:ascii="Arial" w:cs="Arial" w:eastAsia="Arial" w:hAnsi="Arial"/>
                <w:sz w:val="17"/>
                <w:szCs w:val="17"/>
                <w:b w:val="1"/>
                <w:bCs w:val="1"/>
                <w:color w:val="auto"/>
                <w:w w:val="92"/>
              </w:rPr>
              <w:t>Original Rights to</w:t>
            </w:r>
          </w:p>
        </w:tc>
        <w:tc>
          <w:tcPr>
            <w:tcW w:w="0" w:type="dxa"/>
            <w:vAlign w:val="bottom"/>
          </w:tcPr>
          <w:p>
            <w:pPr>
              <w:spacing w:after="0"/>
              <w:rPr>
                <w:sz w:val="1"/>
                <w:szCs w:val="1"/>
                <w:color w:val="auto"/>
              </w:rPr>
            </w:pPr>
          </w:p>
        </w:tc>
      </w:tr>
      <w:tr>
        <w:trPr>
          <w:trHeight w:val="168"/>
        </w:trPr>
        <w:tc>
          <w:tcPr>
            <w:tcW w:w="474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Pledged MSR Liability</w:t>
            </w:r>
          </w:p>
        </w:tc>
        <w:tc>
          <w:tcPr>
            <w:tcW w:w="1600" w:type="dxa"/>
            <w:vAlign w:val="bottom"/>
            <w:gridSpan w:val="3"/>
          </w:tcPr>
          <w:p>
            <w:pPr>
              <w:jc w:val="center"/>
              <w:ind w:right="100"/>
              <w:spacing w:after="0" w:line="168" w:lineRule="exact"/>
              <w:rPr>
                <w:sz w:val="20"/>
                <w:szCs w:val="20"/>
                <w:color w:val="auto"/>
              </w:rPr>
            </w:pPr>
            <w:r>
              <w:rPr>
                <w:rFonts w:ascii="Arial" w:cs="Arial" w:eastAsia="Arial" w:hAnsi="Arial"/>
                <w:sz w:val="17"/>
                <w:szCs w:val="17"/>
                <w:b w:val="1"/>
                <w:bCs w:val="1"/>
                <w:color w:val="auto"/>
                <w:w w:val="91"/>
              </w:rPr>
              <w:t>MSRs Agreements</w:t>
            </w:r>
          </w:p>
        </w:tc>
        <w:tc>
          <w:tcPr>
            <w:tcW w:w="1580" w:type="dxa"/>
            <w:vAlign w:val="bottom"/>
            <w:gridSpan w:val="3"/>
            <w:vMerge w:val="continue"/>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gridSpan w:val="2"/>
            <w:vMerge w:val="restart"/>
          </w:tcPr>
          <w:p>
            <w:pPr>
              <w:ind w:left="220"/>
              <w:spacing w:after="0"/>
              <w:rPr>
                <w:sz w:val="20"/>
                <w:szCs w:val="20"/>
                <w:color w:val="auto"/>
              </w:rPr>
            </w:pPr>
            <w:r>
              <w:rPr>
                <w:rFonts w:ascii="Arial" w:cs="Arial" w:eastAsia="Arial" w:hAnsi="Arial"/>
                <w:sz w:val="17"/>
                <w:szCs w:val="17"/>
                <w:b w:val="1"/>
                <w:bCs w:val="1"/>
                <w:color w:val="auto"/>
              </w:rPr>
              <w:t>Total</w:t>
            </w:r>
          </w:p>
        </w:tc>
        <w:tc>
          <w:tcPr>
            <w:tcW w:w="1500" w:type="dxa"/>
            <w:vAlign w:val="bottom"/>
            <w:gridSpan w:val="2"/>
          </w:tcPr>
          <w:p>
            <w:pPr>
              <w:jc w:val="center"/>
              <w:spacing w:after="0" w:line="168" w:lineRule="exact"/>
              <w:rPr>
                <w:sz w:val="20"/>
                <w:szCs w:val="20"/>
                <w:color w:val="auto"/>
              </w:rPr>
            </w:pPr>
            <w:r>
              <w:rPr>
                <w:rFonts w:ascii="Arial" w:cs="Arial" w:eastAsia="Arial" w:hAnsi="Arial"/>
                <w:sz w:val="17"/>
                <w:szCs w:val="17"/>
                <w:b w:val="1"/>
                <w:bCs w:val="1"/>
                <w:color w:val="auto"/>
                <w:w w:val="90"/>
              </w:rPr>
              <w:t>MSRs Agreements</w:t>
            </w:r>
          </w:p>
        </w:tc>
        <w:tc>
          <w:tcPr>
            <w:tcW w:w="0" w:type="dxa"/>
            <w:vAlign w:val="bottom"/>
          </w:tcPr>
          <w:p>
            <w:pPr>
              <w:spacing w:after="0"/>
              <w:rPr>
                <w:sz w:val="1"/>
                <w:szCs w:val="1"/>
                <w:color w:val="auto"/>
              </w:rPr>
            </w:pPr>
          </w:p>
        </w:tc>
      </w:tr>
      <w:tr>
        <w:trPr>
          <w:trHeight w:val="220"/>
        </w:trPr>
        <w:tc>
          <w:tcPr>
            <w:tcW w:w="47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rPr>
              <w:t>- NRZ</w:t>
            </w:r>
          </w:p>
        </w:tc>
        <w:tc>
          <w:tcPr>
            <w:tcW w:w="260" w:type="dxa"/>
            <w:vAlign w:val="bottom"/>
          </w:tcPr>
          <w:p>
            <w:pPr>
              <w:spacing w:after="0"/>
              <w:rPr>
                <w:sz w:val="19"/>
                <w:szCs w:val="19"/>
                <w:color w:val="auto"/>
              </w:rPr>
            </w:pPr>
          </w:p>
        </w:tc>
        <w:tc>
          <w:tcPr>
            <w:tcW w:w="1220" w:type="dxa"/>
            <w:vAlign w:val="bottom"/>
          </w:tcPr>
          <w:p>
            <w:pPr>
              <w:jc w:val="center"/>
              <w:ind w:right="174"/>
              <w:spacing w:after="0"/>
              <w:rPr>
                <w:sz w:val="20"/>
                <w:szCs w:val="20"/>
                <w:color w:val="auto"/>
              </w:rPr>
            </w:pPr>
            <w:r>
              <w:rPr>
                <w:rFonts w:ascii="Arial" w:cs="Arial" w:eastAsia="Arial" w:hAnsi="Arial"/>
                <w:sz w:val="17"/>
                <w:szCs w:val="17"/>
                <w:b w:val="1"/>
                <w:bCs w:val="1"/>
                <w:color w:val="auto"/>
                <w:w w:val="96"/>
              </w:rPr>
              <w:t>(2)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center"/>
              <w:ind w:right="214"/>
              <w:spacing w:after="0"/>
              <w:rPr>
                <w:sz w:val="20"/>
                <w:szCs w:val="20"/>
                <w:color w:val="auto"/>
              </w:rPr>
            </w:pPr>
            <w:r>
              <w:rPr>
                <w:rFonts w:ascii="Arial" w:cs="Arial" w:eastAsia="Arial" w:hAnsi="Arial"/>
                <w:sz w:val="17"/>
                <w:szCs w:val="17"/>
                <w:b w:val="1"/>
                <w:bCs w:val="1"/>
                <w:color w:val="auto"/>
              </w:rPr>
              <w:t>- NRZ</w:t>
            </w:r>
          </w:p>
        </w:tc>
        <w:tc>
          <w:tcPr>
            <w:tcW w:w="0" w:type="dxa"/>
            <w:vAlign w:val="bottom"/>
          </w:tcPr>
          <w:p>
            <w:pPr>
              <w:spacing w:after="0"/>
              <w:rPr>
                <w:sz w:val="1"/>
                <w:szCs w:val="1"/>
                <w:color w:val="auto"/>
              </w:rPr>
            </w:pPr>
          </w:p>
        </w:tc>
      </w:tr>
      <w:tr>
        <w:trPr>
          <w:trHeight w:val="213"/>
        </w:trPr>
        <w:tc>
          <w:tcPr>
            <w:tcW w:w="4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Beginning Balance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545,306</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319,009</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864,315</w:t>
            </w: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550,364</w:t>
            </w:r>
          </w:p>
        </w:tc>
        <w:tc>
          <w:tcPr>
            <w:tcW w:w="0" w:type="dxa"/>
            <w:vAlign w:val="bottom"/>
          </w:tcPr>
          <w:p>
            <w:pPr>
              <w:spacing w:after="0"/>
              <w:rPr>
                <w:sz w:val="1"/>
                <w:szCs w:val="1"/>
                <w:color w:val="auto"/>
              </w:rPr>
            </w:pPr>
          </w:p>
        </w:tc>
      </w:tr>
      <w:tr>
        <w:trPr>
          <w:trHeight w:val="220"/>
        </w:trPr>
        <w:tc>
          <w:tcPr>
            <w:tcW w:w="4740" w:type="dxa"/>
            <w:vAlign w:val="bottom"/>
          </w:tcPr>
          <w:p>
            <w:pPr>
              <w:ind w:left="140"/>
              <w:spacing w:after="0"/>
              <w:rPr>
                <w:sz w:val="20"/>
                <w:szCs w:val="20"/>
                <w:color w:val="auto"/>
              </w:rPr>
            </w:pPr>
            <w:r>
              <w:rPr>
                <w:rFonts w:ascii="Arial" w:cs="Arial" w:eastAsia="Arial" w:hAnsi="Arial"/>
                <w:sz w:val="17"/>
                <w:szCs w:val="17"/>
                <w:color w:val="auto"/>
              </w:rPr>
              <w:t>MSR transfers</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10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30,895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30,904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47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Changes in fair value</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24,736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15,136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39,872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8,393</w:t>
            </w:r>
          </w:p>
        </w:tc>
        <w:tc>
          <w:tcPr>
            <w:tcW w:w="0" w:type="dxa"/>
            <w:vAlign w:val="bottom"/>
          </w:tcPr>
          <w:p>
            <w:pPr>
              <w:spacing w:after="0"/>
              <w:rPr>
                <w:sz w:val="1"/>
                <w:szCs w:val="1"/>
                <w:color w:val="auto"/>
              </w:rPr>
            </w:pPr>
          </w:p>
        </w:tc>
      </w:tr>
      <w:tr>
        <w:trPr>
          <w:trHeight w:val="220"/>
        </w:trPr>
        <w:tc>
          <w:tcPr>
            <w:tcW w:w="4740" w:type="dxa"/>
            <w:vAlign w:val="bottom"/>
          </w:tcPr>
          <w:p>
            <w:pPr>
              <w:ind w:left="140"/>
              <w:spacing w:after="0"/>
              <w:rPr>
                <w:sz w:val="20"/>
                <w:szCs w:val="20"/>
                <w:color w:val="auto"/>
              </w:rPr>
            </w:pPr>
            <w:r>
              <w:rPr>
                <w:rFonts w:ascii="Arial" w:cs="Arial" w:eastAsia="Arial" w:hAnsi="Arial"/>
                <w:sz w:val="17"/>
                <w:szCs w:val="17"/>
                <w:color w:val="auto"/>
              </w:rPr>
              <w:t>Runoff and settlement</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(19,243)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(9,509)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(28,753)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(20,910)</w:t>
            </w:r>
          </w:p>
        </w:tc>
        <w:tc>
          <w:tcPr>
            <w:tcW w:w="0" w:type="dxa"/>
            <w:vAlign w:val="bottom"/>
          </w:tcPr>
          <w:p>
            <w:pPr>
              <w:spacing w:after="0"/>
              <w:rPr>
                <w:sz w:val="1"/>
                <w:szCs w:val="1"/>
                <w:color w:val="auto"/>
              </w:rPr>
            </w:pPr>
          </w:p>
        </w:tc>
      </w:tr>
      <w:tr>
        <w:trPr>
          <w:trHeight w:val="220"/>
        </w:trPr>
        <w:tc>
          <w:tcPr>
            <w:tcW w:w="47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Calls (1)</w:t>
            </w:r>
          </w:p>
        </w:tc>
        <w:tc>
          <w:tcPr>
            <w:tcW w:w="1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(2,276)</w:t>
            </w:r>
          </w:p>
        </w:tc>
        <w:tc>
          <w:tcPr>
            <w:tcW w:w="0" w:type="dxa"/>
            <w:vAlign w:val="bottom"/>
          </w:tcPr>
          <w:p>
            <w:pPr>
              <w:spacing w:after="0"/>
              <w:rPr>
                <w:sz w:val="1"/>
                <w:szCs w:val="1"/>
                <w:color w:val="auto"/>
              </w:rPr>
            </w:pPr>
          </w:p>
        </w:tc>
      </w:tr>
      <w:tr>
        <w:trPr>
          <w:trHeight w:val="213"/>
        </w:trPr>
        <w:tc>
          <w:tcPr>
            <w:tcW w:w="4740" w:type="dxa"/>
            <w:vAlign w:val="bottom"/>
          </w:tcPr>
          <w:p>
            <w:pPr>
              <w:ind w:left="20"/>
              <w:spacing w:after="0"/>
              <w:rPr>
                <w:sz w:val="20"/>
                <w:szCs w:val="20"/>
                <w:color w:val="auto"/>
              </w:rPr>
            </w:pPr>
            <w:r>
              <w:rPr>
                <w:rFonts w:ascii="Arial" w:cs="Arial" w:eastAsia="Arial" w:hAnsi="Arial"/>
                <w:sz w:val="17"/>
                <w:szCs w:val="17"/>
                <w:b w:val="1"/>
                <w:bCs w:val="1"/>
                <w:color w:val="auto"/>
              </w:rPr>
              <w:t>Ending Balance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550,808</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355,530</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4"/>
              <w:spacing w:after="0"/>
              <w:rPr>
                <w:sz w:val="20"/>
                <w:szCs w:val="20"/>
                <w:color w:val="auto"/>
              </w:rPr>
            </w:pPr>
            <w:r>
              <w:rPr>
                <w:rFonts w:ascii="Arial" w:cs="Arial" w:eastAsia="Arial" w:hAnsi="Arial"/>
                <w:sz w:val="17"/>
                <w:szCs w:val="17"/>
                <w:color w:val="auto"/>
                <w:w w:val="84"/>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906,338</w:t>
            </w:r>
          </w:p>
        </w:tc>
        <w:tc>
          <w:tcPr>
            <w:tcW w:w="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14"/>
              <w:spacing w:after="0"/>
              <w:rPr>
                <w:sz w:val="20"/>
                <w:szCs w:val="20"/>
                <w:color w:val="auto"/>
              </w:rPr>
            </w:pPr>
            <w:r>
              <w:rPr>
                <w:rFonts w:ascii="Arial" w:cs="Arial" w:eastAsia="Arial" w:hAnsi="Arial"/>
                <w:sz w:val="17"/>
                <w:szCs w:val="17"/>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535,571</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47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5"/>
          </w:tcPr>
          <w:p>
            <w:pPr>
              <w:jc w:val="center"/>
              <w:ind w:right="360"/>
              <w:spacing w:after="0"/>
              <w:rPr>
                <w:sz w:val="20"/>
                <w:szCs w:val="20"/>
                <w:color w:val="auto"/>
              </w:rPr>
            </w:pPr>
            <w:r>
              <w:rPr>
                <w:rFonts w:ascii="Arial" w:cs="Arial" w:eastAsia="Arial" w:hAnsi="Arial"/>
                <w:sz w:val="17"/>
                <w:szCs w:val="17"/>
                <w:b w:val="1"/>
                <w:bCs w:val="1"/>
                <w:color w:val="auto"/>
                <w:w w:val="91"/>
              </w:rPr>
              <w:t>Six Months Ended June 30,</w:t>
            </w:r>
          </w:p>
        </w:tc>
        <w:tc>
          <w:tcPr>
            <w:tcW w:w="3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47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174"/>
              <w:spacing w:after="0"/>
              <w:rPr>
                <w:sz w:val="20"/>
                <w:szCs w:val="20"/>
                <w:color w:val="auto"/>
              </w:rPr>
            </w:pPr>
            <w:r>
              <w:rPr>
                <w:rFonts w:ascii="Arial" w:cs="Arial" w:eastAsia="Arial" w:hAnsi="Arial"/>
                <w:sz w:val="17"/>
                <w:szCs w:val="17"/>
                <w:b w:val="1"/>
                <w:bCs w:val="1"/>
                <w:color w:val="auto"/>
                <w:w w:val="95"/>
              </w:rPr>
              <w:t>2022</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214"/>
              <w:spacing w:after="0"/>
              <w:rPr>
                <w:sz w:val="20"/>
                <w:szCs w:val="20"/>
                <w:color w:val="auto"/>
              </w:rPr>
            </w:pPr>
            <w:r>
              <w:rPr>
                <w:rFonts w:ascii="Arial" w:cs="Arial" w:eastAsia="Arial" w:hAnsi="Arial"/>
                <w:sz w:val="17"/>
                <w:szCs w:val="17"/>
                <w:b w:val="1"/>
                <w:bCs w:val="1"/>
                <w:color w:val="auto"/>
                <w:w w:val="95"/>
              </w:rPr>
              <w:t>2021</w:t>
            </w:r>
          </w:p>
        </w:tc>
        <w:tc>
          <w:tcPr>
            <w:tcW w:w="0" w:type="dxa"/>
            <w:vAlign w:val="bottom"/>
          </w:tcPr>
          <w:p>
            <w:pPr>
              <w:spacing w:after="0"/>
              <w:rPr>
                <w:sz w:val="1"/>
                <w:szCs w:val="1"/>
                <w:color w:val="auto"/>
              </w:rPr>
            </w:pPr>
          </w:p>
        </w:tc>
      </w:tr>
      <w:tr>
        <w:trPr>
          <w:trHeight w:val="161"/>
        </w:trPr>
        <w:tc>
          <w:tcPr>
            <w:tcW w:w="4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gridSpan w:val="2"/>
          </w:tcPr>
          <w:p>
            <w:pPr>
              <w:jc w:val="center"/>
              <w:ind w:right="160"/>
              <w:spacing w:after="0" w:line="161" w:lineRule="exact"/>
              <w:rPr>
                <w:sz w:val="20"/>
                <w:szCs w:val="20"/>
                <w:color w:val="auto"/>
              </w:rPr>
            </w:pPr>
            <w:r>
              <w:rPr>
                <w:rFonts w:ascii="Arial" w:cs="Arial" w:eastAsia="Arial" w:hAnsi="Arial"/>
                <w:sz w:val="17"/>
                <w:szCs w:val="17"/>
                <w:b w:val="1"/>
                <w:bCs w:val="1"/>
                <w:color w:val="auto"/>
                <w:w w:val="93"/>
              </w:rPr>
              <w:t>Original Rights to</w:t>
            </w:r>
          </w:p>
        </w:tc>
        <w:tc>
          <w:tcPr>
            <w:tcW w:w="1580" w:type="dxa"/>
            <w:vAlign w:val="bottom"/>
            <w:gridSpan w:val="3"/>
            <w:vMerge w:val="restart"/>
          </w:tcPr>
          <w:p>
            <w:pPr>
              <w:ind w:left="80"/>
              <w:spacing w:after="0"/>
              <w:rPr>
                <w:sz w:val="20"/>
                <w:szCs w:val="20"/>
                <w:color w:val="auto"/>
              </w:rPr>
            </w:pPr>
            <w:r>
              <w:rPr>
                <w:rFonts w:ascii="Arial" w:cs="Arial" w:eastAsia="Arial" w:hAnsi="Arial"/>
                <w:sz w:val="17"/>
                <w:szCs w:val="17"/>
                <w:b w:val="1"/>
                <w:bCs w:val="1"/>
                <w:color w:val="auto"/>
              </w:rPr>
              <w:t>MAV Agreements</w:t>
            </w:r>
          </w:p>
        </w:tc>
        <w:tc>
          <w:tcPr>
            <w:tcW w:w="3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00" w:type="dxa"/>
            <w:vAlign w:val="bottom"/>
            <w:gridSpan w:val="2"/>
          </w:tcPr>
          <w:p>
            <w:pPr>
              <w:jc w:val="center"/>
              <w:spacing w:after="0" w:line="161" w:lineRule="exact"/>
              <w:rPr>
                <w:sz w:val="20"/>
                <w:szCs w:val="20"/>
                <w:color w:val="auto"/>
              </w:rPr>
            </w:pPr>
            <w:r>
              <w:rPr>
                <w:rFonts w:ascii="Arial" w:cs="Arial" w:eastAsia="Arial" w:hAnsi="Arial"/>
                <w:sz w:val="17"/>
                <w:szCs w:val="17"/>
                <w:b w:val="1"/>
                <w:bCs w:val="1"/>
                <w:color w:val="auto"/>
                <w:w w:val="92"/>
              </w:rPr>
              <w:t>Original Rights to</w:t>
            </w:r>
          </w:p>
        </w:tc>
        <w:tc>
          <w:tcPr>
            <w:tcW w:w="0" w:type="dxa"/>
            <w:vAlign w:val="bottom"/>
          </w:tcPr>
          <w:p>
            <w:pPr>
              <w:spacing w:after="0"/>
              <w:rPr>
                <w:sz w:val="1"/>
                <w:szCs w:val="1"/>
                <w:color w:val="auto"/>
              </w:rPr>
            </w:pPr>
          </w:p>
        </w:tc>
      </w:tr>
      <w:tr>
        <w:trPr>
          <w:trHeight w:val="168"/>
        </w:trPr>
        <w:tc>
          <w:tcPr>
            <w:tcW w:w="474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Pledged MSR Liability</w:t>
            </w:r>
          </w:p>
        </w:tc>
        <w:tc>
          <w:tcPr>
            <w:tcW w:w="1600" w:type="dxa"/>
            <w:vAlign w:val="bottom"/>
            <w:gridSpan w:val="3"/>
          </w:tcPr>
          <w:p>
            <w:pPr>
              <w:jc w:val="center"/>
              <w:ind w:right="100"/>
              <w:spacing w:after="0" w:line="168" w:lineRule="exact"/>
              <w:rPr>
                <w:sz w:val="20"/>
                <w:szCs w:val="20"/>
                <w:color w:val="auto"/>
              </w:rPr>
            </w:pPr>
            <w:r>
              <w:rPr>
                <w:rFonts w:ascii="Arial" w:cs="Arial" w:eastAsia="Arial" w:hAnsi="Arial"/>
                <w:sz w:val="17"/>
                <w:szCs w:val="17"/>
                <w:b w:val="1"/>
                <w:bCs w:val="1"/>
                <w:color w:val="auto"/>
                <w:w w:val="91"/>
              </w:rPr>
              <w:t>MSRs Agreements</w:t>
            </w:r>
          </w:p>
        </w:tc>
        <w:tc>
          <w:tcPr>
            <w:tcW w:w="1580" w:type="dxa"/>
            <w:vAlign w:val="bottom"/>
            <w:gridSpan w:val="3"/>
            <w:vMerge w:val="continue"/>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gridSpan w:val="2"/>
            <w:vMerge w:val="restart"/>
          </w:tcPr>
          <w:p>
            <w:pPr>
              <w:ind w:left="220"/>
              <w:spacing w:after="0"/>
              <w:rPr>
                <w:sz w:val="20"/>
                <w:szCs w:val="20"/>
                <w:color w:val="auto"/>
              </w:rPr>
            </w:pPr>
            <w:r>
              <w:rPr>
                <w:rFonts w:ascii="Arial" w:cs="Arial" w:eastAsia="Arial" w:hAnsi="Arial"/>
                <w:sz w:val="17"/>
                <w:szCs w:val="17"/>
                <w:b w:val="1"/>
                <w:bCs w:val="1"/>
                <w:color w:val="auto"/>
              </w:rPr>
              <w:t>Total</w:t>
            </w:r>
          </w:p>
        </w:tc>
        <w:tc>
          <w:tcPr>
            <w:tcW w:w="1500" w:type="dxa"/>
            <w:vAlign w:val="bottom"/>
            <w:gridSpan w:val="2"/>
          </w:tcPr>
          <w:p>
            <w:pPr>
              <w:jc w:val="center"/>
              <w:spacing w:after="0" w:line="168" w:lineRule="exact"/>
              <w:rPr>
                <w:sz w:val="20"/>
                <w:szCs w:val="20"/>
                <w:color w:val="auto"/>
              </w:rPr>
            </w:pPr>
            <w:r>
              <w:rPr>
                <w:rFonts w:ascii="Arial" w:cs="Arial" w:eastAsia="Arial" w:hAnsi="Arial"/>
                <w:sz w:val="17"/>
                <w:szCs w:val="17"/>
                <w:b w:val="1"/>
                <w:bCs w:val="1"/>
                <w:color w:val="auto"/>
                <w:w w:val="90"/>
              </w:rPr>
              <w:t>MSRs Agreements</w:t>
            </w:r>
          </w:p>
        </w:tc>
        <w:tc>
          <w:tcPr>
            <w:tcW w:w="0" w:type="dxa"/>
            <w:vAlign w:val="bottom"/>
          </w:tcPr>
          <w:p>
            <w:pPr>
              <w:spacing w:after="0"/>
              <w:rPr>
                <w:sz w:val="1"/>
                <w:szCs w:val="1"/>
                <w:color w:val="auto"/>
              </w:rPr>
            </w:pPr>
          </w:p>
        </w:tc>
      </w:tr>
      <w:tr>
        <w:trPr>
          <w:trHeight w:val="220"/>
        </w:trPr>
        <w:tc>
          <w:tcPr>
            <w:tcW w:w="47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rPr>
              <w:t>- NRZ</w:t>
            </w:r>
          </w:p>
        </w:tc>
        <w:tc>
          <w:tcPr>
            <w:tcW w:w="260" w:type="dxa"/>
            <w:vAlign w:val="bottom"/>
          </w:tcPr>
          <w:p>
            <w:pPr>
              <w:spacing w:after="0"/>
              <w:rPr>
                <w:sz w:val="19"/>
                <w:szCs w:val="19"/>
                <w:color w:val="auto"/>
              </w:rPr>
            </w:pPr>
          </w:p>
        </w:tc>
        <w:tc>
          <w:tcPr>
            <w:tcW w:w="1220" w:type="dxa"/>
            <w:vAlign w:val="bottom"/>
          </w:tcPr>
          <w:p>
            <w:pPr>
              <w:jc w:val="center"/>
              <w:ind w:right="174"/>
              <w:spacing w:after="0"/>
              <w:rPr>
                <w:sz w:val="20"/>
                <w:szCs w:val="20"/>
                <w:color w:val="auto"/>
              </w:rPr>
            </w:pPr>
            <w:r>
              <w:rPr>
                <w:rFonts w:ascii="Arial" w:cs="Arial" w:eastAsia="Arial" w:hAnsi="Arial"/>
                <w:sz w:val="17"/>
                <w:szCs w:val="17"/>
                <w:b w:val="1"/>
                <w:bCs w:val="1"/>
                <w:color w:val="auto"/>
                <w:w w:val="96"/>
              </w:rPr>
              <w:t>(2)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center"/>
              <w:ind w:right="214"/>
              <w:spacing w:after="0"/>
              <w:rPr>
                <w:sz w:val="20"/>
                <w:szCs w:val="20"/>
                <w:color w:val="auto"/>
              </w:rPr>
            </w:pPr>
            <w:r>
              <w:rPr>
                <w:rFonts w:ascii="Arial" w:cs="Arial" w:eastAsia="Arial" w:hAnsi="Arial"/>
                <w:sz w:val="17"/>
                <w:szCs w:val="17"/>
                <w:b w:val="1"/>
                <w:bCs w:val="1"/>
                <w:color w:val="auto"/>
              </w:rPr>
              <w:t>- NRZ</w:t>
            </w:r>
          </w:p>
        </w:tc>
        <w:tc>
          <w:tcPr>
            <w:tcW w:w="0" w:type="dxa"/>
            <w:vAlign w:val="bottom"/>
          </w:tcPr>
          <w:p>
            <w:pPr>
              <w:spacing w:after="0"/>
              <w:rPr>
                <w:sz w:val="1"/>
                <w:szCs w:val="1"/>
                <w:color w:val="auto"/>
              </w:rPr>
            </w:pPr>
          </w:p>
        </w:tc>
      </w:tr>
      <w:tr>
        <w:trPr>
          <w:trHeight w:val="213"/>
        </w:trPr>
        <w:tc>
          <w:tcPr>
            <w:tcW w:w="4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Beginning Balance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558,940</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238,144</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797,085</w:t>
            </w: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566,952</w:t>
            </w:r>
          </w:p>
        </w:tc>
        <w:tc>
          <w:tcPr>
            <w:tcW w:w="0" w:type="dxa"/>
            <w:vAlign w:val="bottom"/>
          </w:tcPr>
          <w:p>
            <w:pPr>
              <w:spacing w:after="0"/>
              <w:rPr>
                <w:sz w:val="1"/>
                <w:szCs w:val="1"/>
                <w:color w:val="auto"/>
              </w:rPr>
            </w:pPr>
          </w:p>
        </w:tc>
      </w:tr>
      <w:tr>
        <w:trPr>
          <w:trHeight w:val="220"/>
        </w:trPr>
        <w:tc>
          <w:tcPr>
            <w:tcW w:w="4740" w:type="dxa"/>
            <w:vAlign w:val="bottom"/>
          </w:tcPr>
          <w:p>
            <w:pPr>
              <w:ind w:left="140"/>
              <w:spacing w:after="0"/>
              <w:rPr>
                <w:sz w:val="20"/>
                <w:szCs w:val="20"/>
                <w:color w:val="auto"/>
              </w:rPr>
            </w:pPr>
            <w:r>
              <w:rPr>
                <w:rFonts w:ascii="Arial" w:cs="Arial" w:eastAsia="Arial" w:hAnsi="Arial"/>
                <w:sz w:val="17"/>
                <w:szCs w:val="17"/>
                <w:color w:val="auto"/>
              </w:rPr>
              <w:t>MSR transfers</w:t>
            </w:r>
          </w:p>
        </w:tc>
        <w:tc>
          <w:tcPr>
            <w:tcW w:w="100" w:type="dxa"/>
            <w:vAlign w:val="bottom"/>
          </w:tcPr>
          <w:p>
            <w:pPr>
              <w:spacing w:after="0"/>
              <w:rPr>
                <w:sz w:val="19"/>
                <w:szCs w:val="19"/>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71,501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71,501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47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Changes in fair value (3)</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31,534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63,796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95,330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9,944</w:t>
            </w:r>
          </w:p>
        </w:tc>
        <w:tc>
          <w:tcPr>
            <w:tcW w:w="0" w:type="dxa"/>
            <w:vAlign w:val="bottom"/>
          </w:tcPr>
          <w:p>
            <w:pPr>
              <w:spacing w:after="0"/>
              <w:rPr>
                <w:sz w:val="1"/>
                <w:szCs w:val="1"/>
                <w:color w:val="auto"/>
              </w:rPr>
            </w:pPr>
          </w:p>
        </w:tc>
      </w:tr>
      <w:tr>
        <w:trPr>
          <w:trHeight w:val="220"/>
        </w:trPr>
        <w:tc>
          <w:tcPr>
            <w:tcW w:w="4740" w:type="dxa"/>
            <w:vAlign w:val="bottom"/>
          </w:tcPr>
          <w:p>
            <w:pPr>
              <w:ind w:left="140"/>
              <w:spacing w:after="0"/>
              <w:rPr>
                <w:sz w:val="20"/>
                <w:szCs w:val="20"/>
                <w:color w:val="auto"/>
              </w:rPr>
            </w:pPr>
            <w:r>
              <w:rPr>
                <w:rFonts w:ascii="Arial" w:cs="Arial" w:eastAsia="Arial" w:hAnsi="Arial"/>
                <w:sz w:val="17"/>
                <w:szCs w:val="17"/>
                <w:color w:val="auto"/>
              </w:rPr>
              <w:t>Runoff and settlement</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(39,106)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(17,912)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(57,018)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(38,526)</w:t>
            </w:r>
          </w:p>
        </w:tc>
        <w:tc>
          <w:tcPr>
            <w:tcW w:w="0" w:type="dxa"/>
            <w:vAlign w:val="bottom"/>
          </w:tcPr>
          <w:p>
            <w:pPr>
              <w:spacing w:after="0"/>
              <w:rPr>
                <w:sz w:val="1"/>
                <w:szCs w:val="1"/>
                <w:color w:val="auto"/>
              </w:rPr>
            </w:pPr>
          </w:p>
        </w:tc>
      </w:tr>
      <w:tr>
        <w:trPr>
          <w:trHeight w:val="220"/>
        </w:trPr>
        <w:tc>
          <w:tcPr>
            <w:tcW w:w="47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Calls (1)</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(2,799)</w:t>
            </w:r>
          </w:p>
        </w:tc>
        <w:tc>
          <w:tcPr>
            <w:tcW w:w="0" w:type="dxa"/>
            <w:vAlign w:val="bottom"/>
          </w:tcPr>
          <w:p>
            <w:pPr>
              <w:spacing w:after="0"/>
              <w:rPr>
                <w:sz w:val="1"/>
                <w:szCs w:val="1"/>
                <w:color w:val="auto"/>
              </w:rPr>
            </w:pPr>
          </w:p>
        </w:tc>
      </w:tr>
      <w:tr>
        <w:trPr>
          <w:trHeight w:val="213"/>
        </w:trPr>
        <w:tc>
          <w:tcPr>
            <w:tcW w:w="4740" w:type="dxa"/>
            <w:vAlign w:val="bottom"/>
          </w:tcPr>
          <w:p>
            <w:pPr>
              <w:ind w:left="20"/>
              <w:spacing w:after="0"/>
              <w:rPr>
                <w:sz w:val="20"/>
                <w:szCs w:val="20"/>
                <w:color w:val="auto"/>
              </w:rPr>
            </w:pPr>
            <w:r>
              <w:rPr>
                <w:rFonts w:ascii="Arial" w:cs="Arial" w:eastAsia="Arial" w:hAnsi="Arial"/>
                <w:sz w:val="17"/>
                <w:szCs w:val="17"/>
                <w:b w:val="1"/>
                <w:bCs w:val="1"/>
                <w:color w:val="auto"/>
              </w:rPr>
              <w:t>Ending Balance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550,808</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355,530</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4"/>
              <w:spacing w:after="0"/>
              <w:rPr>
                <w:sz w:val="20"/>
                <w:szCs w:val="20"/>
                <w:color w:val="auto"/>
              </w:rPr>
            </w:pPr>
            <w:r>
              <w:rPr>
                <w:rFonts w:ascii="Arial" w:cs="Arial" w:eastAsia="Arial" w:hAnsi="Arial"/>
                <w:sz w:val="17"/>
                <w:szCs w:val="17"/>
                <w:color w:val="auto"/>
                <w:w w:val="84"/>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906,338</w:t>
            </w:r>
          </w:p>
        </w:tc>
        <w:tc>
          <w:tcPr>
            <w:tcW w:w="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14"/>
              <w:spacing w:after="0"/>
              <w:rPr>
                <w:sz w:val="20"/>
                <w:szCs w:val="20"/>
                <w:color w:val="auto"/>
              </w:rPr>
            </w:pPr>
            <w:r>
              <w:rPr>
                <w:rFonts w:ascii="Arial" w:cs="Arial" w:eastAsia="Arial" w:hAnsi="Arial"/>
                <w:sz w:val="17"/>
                <w:szCs w:val="17"/>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535,571</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5" w:lineRule="exact"/>
        <w:rPr>
          <w:sz w:val="20"/>
          <w:szCs w:val="20"/>
          <w:color w:val="auto"/>
        </w:rPr>
      </w:pPr>
    </w:p>
    <w:p>
      <w:pPr>
        <w:ind w:left="320" w:right="400" w:hanging="317"/>
        <w:spacing w:after="0" w:line="251" w:lineRule="auto"/>
        <w:tabs>
          <w:tab w:leader="none" w:pos="3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Represents the carrying value of MSRs in connection with call rights exercised by NRZ, or by Ocwen at NRZ’s direction. Ocwen derecognizes the MSRs and the related financing liability upon collapse of the securitization.</w:t>
      </w:r>
    </w:p>
    <w:p>
      <w:pPr>
        <w:spacing w:after="0" w:line="28" w:lineRule="exact"/>
        <w:rPr>
          <w:rFonts w:ascii="Arial" w:cs="Arial" w:eastAsia="Arial" w:hAnsi="Arial"/>
          <w:sz w:val="16"/>
          <w:szCs w:val="16"/>
          <w:color w:val="auto"/>
        </w:rPr>
      </w:pPr>
    </w:p>
    <w:p>
      <w:pPr>
        <w:ind w:left="320" w:right="80" w:hanging="317"/>
        <w:spacing w:after="0" w:line="274" w:lineRule="auto"/>
        <w:tabs>
          <w:tab w:leader="none" w:pos="3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fair value of the Pledged MSR liability differs from the fair value of the associated transferred MSR asset mostly due to the portion of ancillary income that is retained by PMC (shared between PMC and MAV) and other contractual cash flows under the terms of the subservicing agreement. As the MSR sales to MAV do not achieve sale accounting, the MSR asset transferred remains on the consolidated balance sheet and the proceeds from the sale are initially recognized as a financing liability (Pledged MSR liability), which is recorded at fair value with changes in fair value reported in Pledged MSR liability expense.</w:t>
      </w:r>
    </w:p>
    <w:p>
      <w:pPr>
        <w:ind w:left="320" w:hanging="317"/>
        <w:spacing w:after="0" w:line="304" w:lineRule="auto"/>
        <w:tabs>
          <w:tab w:leader="none" w:pos="3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changes in fair value of the MAV Pledged MSR Liability include a $14.1 million loss associated with the amendment to the MAV Subservicing Agreement in March 2022, resulting in lower contractually retained ancillary income by PMC. See Note 10 - Investment in Equity Method Investee and Related Party Transactions.</w:t>
      </w:r>
    </w:p>
    <w:p>
      <w:pPr>
        <w:spacing w:after="0" w:line="200" w:lineRule="exact"/>
        <w:rPr>
          <w:sz w:val="20"/>
          <w:szCs w:val="20"/>
          <w:color w:val="auto"/>
        </w:rPr>
      </w:pPr>
    </w:p>
    <w:p>
      <w:pPr>
        <w:spacing w:after="0" w:line="37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967" w:right="379" w:bottom="1440" w:gutter="0" w:footer="0" w:header="0"/>
        </w:sectPr>
      </w:pPr>
    </w:p>
    <w:bookmarkStart w:id="28" w:name="page29"/>
    <w:bookmarkEnd w:id="28"/>
    <w:p>
      <w:pPr>
        <w:ind w:right="80"/>
        <w:spacing w:after="0" w:line="268" w:lineRule="auto"/>
        <w:rPr>
          <w:sz w:val="20"/>
          <w:szCs w:val="20"/>
          <w:color w:val="auto"/>
        </w:rPr>
      </w:pPr>
      <w:r>
        <w:rPr>
          <w:rFonts w:ascii="Arial" w:cs="Arial" w:eastAsia="Arial" w:hAnsi="Arial"/>
          <w:sz w:val="17"/>
          <w:szCs w:val="17"/>
          <w:color w:val="auto"/>
        </w:rPr>
        <w:t>The following table presents selected assets and liabilities recorded on our unaudited consolidated balance sheets in connection with the MSR transfer agreements with NRZ that do not qualify for sale accounting (refer to Note 9 – Receivables and Note 14 – Other Liabilities for receivables and other liabilities, respectively, related to MAV):</w:t>
      </w:r>
    </w:p>
    <w:p>
      <w:pPr>
        <w:spacing w:after="0" w:line="102" w:lineRule="exact"/>
        <w:rPr>
          <w:sz w:val="20"/>
          <w:szCs w:val="20"/>
          <w:color w:val="auto"/>
        </w:rPr>
      </w:pPr>
    </w:p>
    <w:tbl>
      <w:tblPr>
        <w:tblLayout w:type="fixed"/>
        <w:tblInd w:w="20" w:type="dxa"/>
        <w:tblCellMar>
          <w:top w:w="0" w:type="dxa"/>
          <w:left w:w="0" w:type="dxa"/>
          <w:bottom w:w="0" w:type="dxa"/>
          <w:right w:w="0" w:type="dxa"/>
        </w:tblCellMar>
      </w:tblPr>
      <w:tr>
        <w:trPr>
          <w:trHeight w:val="225"/>
        </w:trPr>
        <w:tc>
          <w:tcPr>
            <w:tcW w:w="8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gridSpan w:val="2"/>
          </w:tcPr>
          <w:p>
            <w:pPr>
              <w:ind w:left="80"/>
              <w:spacing w:after="0"/>
              <w:rPr>
                <w:sz w:val="20"/>
                <w:szCs w:val="20"/>
                <w:color w:val="auto"/>
              </w:rPr>
            </w:pPr>
            <w:r>
              <w:rPr>
                <w:rFonts w:ascii="Arial" w:cs="Arial" w:eastAsia="Arial" w:hAnsi="Arial"/>
                <w:sz w:val="17"/>
                <w:szCs w:val="17"/>
                <w:b w:val="1"/>
                <w:bCs w:val="1"/>
                <w:color w:val="auto"/>
              </w:rPr>
              <w:t>June 30, 2022</w:t>
            </w:r>
          </w:p>
        </w:tc>
        <w:tc>
          <w:tcPr>
            <w:tcW w:w="1540" w:type="dxa"/>
            <w:vAlign w:val="bottom"/>
            <w:gridSpan w:val="2"/>
          </w:tcPr>
          <w:p>
            <w:pPr>
              <w:jc w:val="right"/>
              <w:spacing w:after="0"/>
              <w:rPr>
                <w:sz w:val="20"/>
                <w:szCs w:val="20"/>
                <w:color w:val="auto"/>
              </w:rPr>
            </w:pPr>
            <w:r>
              <w:rPr>
                <w:rFonts w:ascii="Arial" w:cs="Arial" w:eastAsia="Arial" w:hAnsi="Arial"/>
                <w:sz w:val="17"/>
                <w:szCs w:val="17"/>
                <w:b w:val="1"/>
                <w:bCs w:val="1"/>
                <w:color w:val="auto"/>
                <w:w w:val="94"/>
              </w:rPr>
              <w:t>December 31, 2021</w:t>
            </w:r>
          </w:p>
        </w:tc>
      </w:tr>
      <w:tr>
        <w:trPr>
          <w:trHeight w:val="200"/>
        </w:trPr>
        <w:tc>
          <w:tcPr>
            <w:tcW w:w="8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Balance Sheet</w:t>
            </w:r>
          </w:p>
        </w:tc>
        <w:tc>
          <w:tcPr>
            <w:tcW w:w="18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r>
      <w:tr>
        <w:trPr>
          <w:trHeight w:val="220"/>
        </w:trPr>
        <w:tc>
          <w:tcPr>
            <w:tcW w:w="8060" w:type="dxa"/>
            <w:vAlign w:val="bottom"/>
          </w:tcPr>
          <w:p>
            <w:pPr>
              <w:ind w:left="40"/>
              <w:spacing w:after="0"/>
              <w:rPr>
                <w:sz w:val="20"/>
                <w:szCs w:val="20"/>
                <w:color w:val="auto"/>
              </w:rPr>
            </w:pPr>
            <w:r>
              <w:rPr>
                <w:rFonts w:ascii="Arial" w:cs="Arial" w:eastAsia="Arial" w:hAnsi="Arial"/>
                <w:sz w:val="17"/>
                <w:szCs w:val="17"/>
                <w:color w:val="auto"/>
              </w:rPr>
              <w:t>NRZ - Transferred MSRs, at fair value</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550,808</w:t>
            </w:r>
          </w:p>
        </w:tc>
        <w:tc>
          <w:tcPr>
            <w:tcW w:w="100" w:type="dxa"/>
            <w:vAlign w:val="bottom"/>
          </w:tcPr>
          <w:p>
            <w:pPr>
              <w:spacing w:after="0"/>
              <w:rPr>
                <w:sz w:val="19"/>
                <w:szCs w:val="19"/>
                <w:color w:val="auto"/>
              </w:rPr>
            </w:pPr>
          </w:p>
        </w:tc>
        <w:tc>
          <w:tcPr>
            <w:tcW w:w="500" w:type="dxa"/>
            <w:vAlign w:val="bottom"/>
          </w:tcPr>
          <w:p>
            <w:pPr>
              <w:jc w:val="right"/>
              <w:ind w:right="314"/>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558,940</w:t>
            </w:r>
          </w:p>
        </w:tc>
      </w:tr>
      <w:tr>
        <w:trPr>
          <w:trHeight w:val="155"/>
        </w:trPr>
        <w:tc>
          <w:tcPr>
            <w:tcW w:w="80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r>
      <w:tr>
        <w:trPr>
          <w:trHeight w:val="220"/>
        </w:trPr>
        <w:tc>
          <w:tcPr>
            <w:tcW w:w="8060" w:type="dxa"/>
            <w:vAlign w:val="bottom"/>
          </w:tcPr>
          <w:p>
            <w:pPr>
              <w:ind w:left="20"/>
              <w:spacing w:after="0"/>
              <w:rPr>
                <w:sz w:val="20"/>
                <w:szCs w:val="20"/>
                <w:color w:val="auto"/>
              </w:rPr>
            </w:pPr>
            <w:r>
              <w:rPr>
                <w:rFonts w:ascii="Arial" w:cs="Arial" w:eastAsia="Arial" w:hAnsi="Arial"/>
                <w:sz w:val="17"/>
                <w:szCs w:val="17"/>
                <w:color w:val="auto"/>
              </w:rPr>
              <w:t>Other financing liability - Pledged MSR liability, at fair value</w:t>
            </w: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0"/>
        </w:trPr>
        <w:tc>
          <w:tcPr>
            <w:tcW w:w="80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NRZ - Original Rights to MSRs Agreements</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550,808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558,940</w:t>
            </w:r>
          </w:p>
        </w:tc>
      </w:tr>
      <w:tr>
        <w:trPr>
          <w:trHeight w:val="155"/>
        </w:trPr>
        <w:tc>
          <w:tcPr>
            <w:tcW w:w="8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220"/>
        </w:trPr>
        <w:tc>
          <w:tcPr>
            <w:tcW w:w="8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Due from NRZ (Receivables) - Advance funding, subservicing fees and reimbursable expenses</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1,932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3,781</w:t>
            </w:r>
          </w:p>
        </w:tc>
      </w:tr>
      <w:tr>
        <w:trPr>
          <w:trHeight w:val="155"/>
        </w:trPr>
        <w:tc>
          <w:tcPr>
            <w:tcW w:w="8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220"/>
        </w:trPr>
        <w:tc>
          <w:tcPr>
            <w:tcW w:w="8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Due to NRZ (Other liabilities)</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63,398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4"/>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76,590</w:t>
            </w:r>
          </w:p>
        </w:tc>
      </w:tr>
    </w:tbl>
    <w:p>
      <w:pPr>
        <w:spacing w:after="0" w:line="181" w:lineRule="exact"/>
        <w:rPr>
          <w:sz w:val="20"/>
          <w:szCs w:val="20"/>
          <w:color w:val="auto"/>
        </w:rPr>
      </w:pPr>
    </w:p>
    <w:p>
      <w:pPr>
        <w:ind w:right="40"/>
        <w:spacing w:after="0" w:line="283" w:lineRule="auto"/>
        <w:rPr>
          <w:sz w:val="20"/>
          <w:szCs w:val="20"/>
          <w:color w:val="auto"/>
        </w:rPr>
      </w:pPr>
      <w:r>
        <w:rPr>
          <w:rFonts w:ascii="Arial" w:cs="Arial" w:eastAsia="Arial" w:hAnsi="Arial"/>
          <w:sz w:val="17"/>
          <w:szCs w:val="17"/>
          <w:color w:val="auto"/>
        </w:rPr>
        <w:t>The following tables present selected items in our unaudited consolidated statements of operations in connection with the MSR transfer agreements with NRZ and MAV that do not qualify for sale accounting.</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20" w:type="dxa"/>
            <w:vAlign w:val="bottom"/>
          </w:tcPr>
          <w:p>
            <w:pPr>
              <w:spacing w:after="0"/>
              <w:rPr>
                <w:sz w:val="19"/>
                <w:szCs w:val="19"/>
                <w:color w:val="auto"/>
              </w:rPr>
            </w:pPr>
          </w:p>
        </w:tc>
        <w:tc>
          <w:tcPr>
            <w:tcW w:w="4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900" w:type="dxa"/>
            <w:vAlign w:val="bottom"/>
            <w:gridSpan w:val="5"/>
          </w:tcPr>
          <w:p>
            <w:pPr>
              <w:ind w:left="160"/>
              <w:spacing w:after="0"/>
              <w:rPr>
                <w:sz w:val="20"/>
                <w:szCs w:val="20"/>
                <w:color w:val="auto"/>
              </w:rPr>
            </w:pPr>
            <w:r>
              <w:rPr>
                <w:rFonts w:ascii="Arial" w:cs="Arial" w:eastAsia="Arial" w:hAnsi="Arial"/>
                <w:sz w:val="17"/>
                <w:szCs w:val="17"/>
                <w:b w:val="1"/>
                <w:bCs w:val="1"/>
                <w:color w:val="auto"/>
              </w:rPr>
              <w:t>Three Months Ended June 30,</w:t>
            </w:r>
          </w:p>
        </w:tc>
        <w:tc>
          <w:tcPr>
            <w:tcW w:w="320" w:type="dxa"/>
            <w:vAlign w:val="bottom"/>
          </w:tcPr>
          <w:p>
            <w:pPr>
              <w:spacing w:after="0"/>
              <w:rPr>
                <w:sz w:val="19"/>
                <w:szCs w:val="19"/>
                <w:color w:val="auto"/>
              </w:rPr>
            </w:pPr>
          </w:p>
        </w:tc>
        <w:tc>
          <w:tcPr>
            <w:tcW w:w="2880" w:type="dxa"/>
            <w:vAlign w:val="bottom"/>
            <w:gridSpan w:val="5"/>
          </w:tcPr>
          <w:p>
            <w:pPr>
              <w:ind w:left="220"/>
              <w:spacing w:after="0"/>
              <w:rPr>
                <w:sz w:val="20"/>
                <w:szCs w:val="20"/>
                <w:color w:val="auto"/>
              </w:rPr>
            </w:pPr>
            <w:r>
              <w:rPr>
                <w:rFonts w:ascii="Arial" w:cs="Arial" w:eastAsia="Arial" w:hAnsi="Arial"/>
                <w:sz w:val="17"/>
                <w:szCs w:val="17"/>
                <w:b w:val="1"/>
                <w:bCs w:val="1"/>
                <w:color w:val="auto"/>
              </w:rPr>
              <w:t>Six Months Ended June 30,</w:t>
            </w:r>
          </w:p>
        </w:tc>
      </w:tr>
      <w:tr>
        <w:trPr>
          <w:trHeight w:val="213"/>
        </w:trPr>
        <w:tc>
          <w:tcPr>
            <w:tcW w:w="120" w:type="dxa"/>
            <w:vAlign w:val="bottom"/>
          </w:tcPr>
          <w:p>
            <w:pPr>
              <w:spacing w:after="0"/>
              <w:rPr>
                <w:sz w:val="18"/>
                <w:szCs w:val="18"/>
                <w:color w:val="auto"/>
              </w:rPr>
            </w:pPr>
          </w:p>
        </w:tc>
        <w:tc>
          <w:tcPr>
            <w:tcW w:w="476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7"/>
                <w:szCs w:val="17"/>
                <w:b w:val="1"/>
                <w:bCs w:val="1"/>
                <w:color w:val="auto"/>
              </w:rPr>
              <w:t>2022</w:t>
            </w:r>
          </w:p>
        </w:tc>
        <w:tc>
          <w:tcPr>
            <w:tcW w:w="8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7"/>
                <w:szCs w:val="17"/>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7"/>
                <w:szCs w:val="17"/>
                <w:b w:val="1"/>
                <w:bCs w:val="1"/>
                <w:color w:val="auto"/>
              </w:rPr>
              <w:t>2022</w:t>
            </w:r>
          </w:p>
        </w:tc>
        <w:tc>
          <w:tcPr>
            <w:tcW w:w="8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7"/>
                <w:szCs w:val="17"/>
                <w:b w:val="1"/>
                <w:bCs w:val="1"/>
                <w:color w:val="auto"/>
              </w:rPr>
              <w:t>2021</w:t>
            </w:r>
          </w:p>
        </w:tc>
        <w:tc>
          <w:tcPr>
            <w:tcW w:w="120" w:type="dxa"/>
            <w:vAlign w:val="bottom"/>
          </w:tcPr>
          <w:p>
            <w:pPr>
              <w:spacing w:after="0"/>
              <w:rPr>
                <w:sz w:val="18"/>
                <w:szCs w:val="18"/>
                <w:color w:val="auto"/>
              </w:rPr>
            </w:pPr>
          </w:p>
        </w:tc>
      </w:tr>
      <w:tr>
        <w:trPr>
          <w:trHeight w:val="200"/>
        </w:trPr>
        <w:tc>
          <w:tcPr>
            <w:tcW w:w="120" w:type="dxa"/>
            <w:vAlign w:val="bottom"/>
          </w:tcPr>
          <w:p>
            <w:pPr>
              <w:spacing w:after="0"/>
              <w:rPr>
                <w:sz w:val="17"/>
                <w:szCs w:val="17"/>
                <w:color w:val="auto"/>
              </w:rPr>
            </w:pPr>
          </w:p>
        </w:tc>
        <w:tc>
          <w:tcPr>
            <w:tcW w:w="47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Statements of Operations</w:t>
            </w: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tcPr>
          <w:p>
            <w:pPr>
              <w:spacing w:after="0"/>
              <w:rPr>
                <w:sz w:val="17"/>
                <w:szCs w:val="17"/>
                <w:color w:val="auto"/>
              </w:rPr>
            </w:pPr>
          </w:p>
        </w:tc>
      </w:tr>
      <w:tr>
        <w:trPr>
          <w:trHeight w:val="220"/>
        </w:trPr>
        <w:tc>
          <w:tcPr>
            <w:tcW w:w="120" w:type="dxa"/>
            <w:vAlign w:val="bottom"/>
          </w:tcPr>
          <w:p>
            <w:pPr>
              <w:spacing w:after="0"/>
              <w:rPr>
                <w:sz w:val="19"/>
                <w:szCs w:val="19"/>
                <w:color w:val="auto"/>
              </w:rPr>
            </w:pPr>
          </w:p>
        </w:tc>
        <w:tc>
          <w:tcPr>
            <w:tcW w:w="4760" w:type="dxa"/>
            <w:vAlign w:val="bottom"/>
          </w:tcPr>
          <w:p>
            <w:pPr>
              <w:ind w:left="120"/>
              <w:spacing w:after="0"/>
              <w:rPr>
                <w:sz w:val="20"/>
                <w:szCs w:val="20"/>
                <w:color w:val="auto"/>
              </w:rPr>
            </w:pPr>
            <w:r>
              <w:rPr>
                <w:rFonts w:ascii="Arial" w:cs="Arial" w:eastAsia="Arial" w:hAnsi="Arial"/>
                <w:sz w:val="17"/>
                <w:szCs w:val="17"/>
                <w:color w:val="auto"/>
              </w:rPr>
              <w:t>Servicing fees</w:t>
            </w: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0"/>
        </w:trPr>
        <w:tc>
          <w:tcPr>
            <w:tcW w:w="120" w:type="dxa"/>
            <w:vAlign w:val="bottom"/>
          </w:tcPr>
          <w:p>
            <w:pPr>
              <w:spacing w:after="0"/>
              <w:rPr>
                <w:sz w:val="19"/>
                <w:szCs w:val="19"/>
                <w:color w:val="auto"/>
              </w:rPr>
            </w:pPr>
          </w:p>
        </w:tc>
        <w:tc>
          <w:tcPr>
            <w:tcW w:w="47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Servicing fees collected on behalf of NRZ</w:t>
            </w:r>
          </w:p>
        </w:tc>
        <w:tc>
          <w:tcPr>
            <w:tcW w:w="26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64,729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77,716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131,875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158,101</w:t>
            </w:r>
          </w:p>
        </w:tc>
        <w:tc>
          <w:tcPr>
            <w:tcW w:w="120" w:type="dxa"/>
            <w:vAlign w:val="bottom"/>
          </w:tcPr>
          <w:p>
            <w:pPr>
              <w:spacing w:after="0"/>
              <w:rPr>
                <w:sz w:val="19"/>
                <w:szCs w:val="19"/>
                <w:color w:val="auto"/>
              </w:rPr>
            </w:pPr>
          </w:p>
        </w:tc>
      </w:tr>
      <w:tr>
        <w:trPr>
          <w:trHeight w:val="220"/>
        </w:trPr>
        <w:tc>
          <w:tcPr>
            <w:tcW w:w="120" w:type="dxa"/>
            <w:vAlign w:val="bottom"/>
          </w:tcPr>
          <w:p>
            <w:pPr>
              <w:spacing w:after="0"/>
              <w:rPr>
                <w:sz w:val="19"/>
                <w:szCs w:val="19"/>
                <w:color w:val="auto"/>
              </w:rPr>
            </w:pPr>
          </w:p>
        </w:tc>
        <w:tc>
          <w:tcPr>
            <w:tcW w:w="4760" w:type="dxa"/>
            <w:vAlign w:val="bottom"/>
          </w:tcPr>
          <w:p>
            <w:pPr>
              <w:ind w:left="220"/>
              <w:spacing w:after="0"/>
              <w:rPr>
                <w:sz w:val="20"/>
                <w:szCs w:val="20"/>
                <w:color w:val="auto"/>
              </w:rPr>
            </w:pPr>
            <w:r>
              <w:rPr>
                <w:rFonts w:ascii="Arial" w:cs="Arial" w:eastAsia="Arial" w:hAnsi="Arial"/>
                <w:sz w:val="17"/>
                <w:szCs w:val="17"/>
                <w:color w:val="auto"/>
              </w:rPr>
              <w:t>Servicing fees collected on behalf of MAV</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17,471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33,204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r>
      <w:tr>
        <w:trPr>
          <w:trHeight w:val="238"/>
        </w:trPr>
        <w:tc>
          <w:tcPr>
            <w:tcW w:w="120" w:type="dxa"/>
            <w:vAlign w:val="bottom"/>
          </w:tcPr>
          <w:p>
            <w:pPr>
              <w:spacing w:after="0"/>
              <w:rPr>
                <w:sz w:val="20"/>
                <w:szCs w:val="20"/>
                <w:color w:val="auto"/>
              </w:rPr>
            </w:pPr>
          </w:p>
        </w:tc>
        <w:tc>
          <w:tcPr>
            <w:tcW w:w="476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82,200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77,716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165,079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158,101</w:t>
            </w:r>
          </w:p>
        </w:tc>
        <w:tc>
          <w:tcPr>
            <w:tcW w:w="120" w:type="dxa"/>
            <w:vAlign w:val="bottom"/>
          </w:tcPr>
          <w:p>
            <w:pPr>
              <w:spacing w:after="0"/>
              <w:rPr>
                <w:sz w:val="20"/>
                <w:szCs w:val="20"/>
                <w:color w:val="auto"/>
              </w:rPr>
            </w:pPr>
          </w:p>
        </w:tc>
      </w:tr>
      <w:tr>
        <w:trPr>
          <w:trHeight w:val="20"/>
        </w:trPr>
        <w:tc>
          <w:tcPr>
            <w:tcW w:w="120" w:type="dxa"/>
            <w:vAlign w:val="bottom"/>
          </w:tcPr>
          <w:p>
            <w:pPr>
              <w:spacing w:after="0" w:line="20" w:lineRule="exact"/>
              <w:rPr>
                <w:sz w:val="1"/>
                <w:szCs w:val="1"/>
                <w:color w:val="auto"/>
              </w:rPr>
            </w:pPr>
          </w:p>
        </w:tc>
        <w:tc>
          <w:tcPr>
            <w:tcW w:w="47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4"/>
        </w:trPr>
        <w:tc>
          <w:tcPr>
            <w:tcW w:w="120" w:type="dxa"/>
            <w:vAlign w:val="bottom"/>
          </w:tcPr>
          <w:p>
            <w:pPr>
              <w:spacing w:after="0"/>
              <w:rPr>
                <w:sz w:val="17"/>
                <w:szCs w:val="17"/>
                <w:color w:val="auto"/>
              </w:rPr>
            </w:pPr>
          </w:p>
        </w:tc>
        <w:tc>
          <w:tcPr>
            <w:tcW w:w="4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20"/>
        </w:trPr>
        <w:tc>
          <w:tcPr>
            <w:tcW w:w="120" w:type="dxa"/>
            <w:vAlign w:val="bottom"/>
          </w:tcPr>
          <w:p>
            <w:pPr>
              <w:spacing w:after="0"/>
              <w:rPr>
                <w:sz w:val="19"/>
                <w:szCs w:val="19"/>
                <w:color w:val="auto"/>
              </w:rPr>
            </w:pPr>
          </w:p>
        </w:tc>
        <w:tc>
          <w:tcPr>
            <w:tcW w:w="47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Pledged MSR liability expense</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tcPr>
          <w:p>
            <w:pPr>
              <w:spacing w:after="0"/>
              <w:rPr>
                <w:sz w:val="19"/>
                <w:szCs w:val="19"/>
                <w:color w:val="auto"/>
              </w:rPr>
            </w:pPr>
          </w:p>
        </w:tc>
      </w:tr>
      <w:tr>
        <w:trPr>
          <w:trHeight w:val="220"/>
        </w:trPr>
        <w:tc>
          <w:tcPr>
            <w:tcW w:w="120" w:type="dxa"/>
            <w:vAlign w:val="bottom"/>
          </w:tcPr>
          <w:p>
            <w:pPr>
              <w:spacing w:after="0"/>
              <w:rPr>
                <w:sz w:val="19"/>
                <w:szCs w:val="19"/>
                <w:color w:val="auto"/>
              </w:rPr>
            </w:pPr>
          </w:p>
        </w:tc>
        <w:tc>
          <w:tcPr>
            <w:tcW w:w="4760" w:type="dxa"/>
            <w:vAlign w:val="bottom"/>
          </w:tcPr>
          <w:p>
            <w:pPr>
              <w:ind w:left="220"/>
              <w:spacing w:after="0"/>
              <w:rPr>
                <w:sz w:val="20"/>
                <w:szCs w:val="20"/>
                <w:color w:val="auto"/>
              </w:rPr>
            </w:pPr>
            <w:r>
              <w:rPr>
                <w:rFonts w:ascii="Arial" w:cs="Arial" w:eastAsia="Arial" w:hAnsi="Arial"/>
                <w:sz w:val="17"/>
                <w:szCs w:val="17"/>
                <w:color w:val="auto"/>
              </w:rPr>
              <w:t>NRZ (see further details below)</w:t>
            </w:r>
          </w:p>
        </w:tc>
        <w:tc>
          <w:tcPr>
            <w:tcW w:w="260" w:type="dxa"/>
            <w:vAlign w:val="bottom"/>
          </w:tcPr>
          <w:p>
            <w:pPr>
              <w:jc w:val="right"/>
              <w:ind w:right="54"/>
              <w:spacing w:after="0"/>
              <w:rPr>
                <w:sz w:val="20"/>
                <w:szCs w:val="20"/>
                <w:color w:val="auto"/>
              </w:rPr>
            </w:pPr>
            <w:r>
              <w:rPr>
                <w:rFonts w:ascii="Arial" w:cs="Arial" w:eastAsia="Arial" w:hAnsi="Arial"/>
                <w:sz w:val="17"/>
                <w:szCs w:val="17"/>
                <w:color w:val="auto"/>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53,239</w:t>
            </w:r>
          </w:p>
        </w:tc>
        <w:tc>
          <w:tcPr>
            <w:tcW w:w="80" w:type="dxa"/>
            <w:vAlign w:val="bottom"/>
          </w:tcPr>
          <w:p>
            <w:pPr>
              <w:spacing w:after="0"/>
              <w:rPr>
                <w:sz w:val="19"/>
                <w:szCs w:val="19"/>
                <w:color w:val="auto"/>
              </w:rPr>
            </w:pP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39,810</w:t>
            </w:r>
          </w:p>
        </w:tc>
        <w:tc>
          <w:tcPr>
            <w:tcW w:w="10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85,623</w:t>
            </w:r>
          </w:p>
        </w:tc>
        <w:tc>
          <w:tcPr>
            <w:tcW w:w="80" w:type="dxa"/>
            <w:vAlign w:val="bottom"/>
          </w:tcPr>
          <w:p>
            <w:pPr>
              <w:spacing w:after="0"/>
              <w:rPr>
                <w:sz w:val="19"/>
                <w:szCs w:val="19"/>
                <w:color w:val="auto"/>
              </w:rPr>
            </w:pPr>
          </w:p>
        </w:tc>
        <w:tc>
          <w:tcPr>
            <w:tcW w:w="3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77,660</w:t>
            </w:r>
          </w:p>
        </w:tc>
        <w:tc>
          <w:tcPr>
            <w:tcW w:w="120" w:type="dxa"/>
            <w:vAlign w:val="bottom"/>
          </w:tcPr>
          <w:p>
            <w:pPr>
              <w:spacing w:after="0"/>
              <w:rPr>
                <w:sz w:val="19"/>
                <w:szCs w:val="19"/>
                <w:color w:val="auto"/>
              </w:rPr>
            </w:pPr>
          </w:p>
        </w:tc>
      </w:tr>
      <w:tr>
        <w:trPr>
          <w:trHeight w:val="220"/>
        </w:trPr>
        <w:tc>
          <w:tcPr>
            <w:tcW w:w="120" w:type="dxa"/>
            <w:vAlign w:val="bottom"/>
          </w:tcPr>
          <w:p>
            <w:pPr>
              <w:spacing w:after="0"/>
              <w:rPr>
                <w:sz w:val="19"/>
                <w:szCs w:val="19"/>
                <w:color w:val="auto"/>
              </w:rPr>
            </w:pPr>
          </w:p>
        </w:tc>
        <w:tc>
          <w:tcPr>
            <w:tcW w:w="47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MAV (see further details below)</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20,843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75,357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r>
      <w:tr>
        <w:trPr>
          <w:trHeight w:val="213"/>
        </w:trPr>
        <w:tc>
          <w:tcPr>
            <w:tcW w:w="12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7"/>
                <w:szCs w:val="17"/>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74,083</w:t>
            </w:r>
          </w:p>
        </w:tc>
        <w:tc>
          <w:tcPr>
            <w:tcW w:w="8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4"/>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39,810</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4"/>
              <w:spacing w:after="0"/>
              <w:rPr>
                <w:sz w:val="20"/>
                <w:szCs w:val="20"/>
                <w:color w:val="auto"/>
              </w:rPr>
            </w:pPr>
            <w:r>
              <w:rPr>
                <w:rFonts w:ascii="Arial" w:cs="Arial" w:eastAsia="Arial" w:hAnsi="Arial"/>
                <w:sz w:val="17"/>
                <w:szCs w:val="17"/>
                <w:color w:val="auto"/>
                <w:w w:val="84"/>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160,980</w:t>
            </w:r>
          </w:p>
        </w:tc>
        <w:tc>
          <w:tcPr>
            <w:tcW w:w="8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77,660</w:t>
            </w:r>
          </w:p>
        </w:tc>
        <w:tc>
          <w:tcPr>
            <w:tcW w:w="120" w:type="dxa"/>
            <w:vAlign w:val="bottom"/>
          </w:tcPr>
          <w:p>
            <w:pPr>
              <w:spacing w:after="0"/>
              <w:rPr>
                <w:sz w:val="18"/>
                <w:szCs w:val="18"/>
                <w:color w:val="auto"/>
              </w:rPr>
            </w:pPr>
          </w:p>
        </w:tc>
      </w:tr>
      <w:tr>
        <w:trPr>
          <w:trHeight w:val="20"/>
        </w:trPr>
        <w:tc>
          <w:tcPr>
            <w:tcW w:w="1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806"/>
        </w:trPr>
        <w:tc>
          <w:tcPr>
            <w:tcW w:w="12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jc w:val="right"/>
              <w:ind w:right="574"/>
              <w:spacing w:after="0"/>
              <w:rPr>
                <w:sz w:val="20"/>
                <w:szCs w:val="20"/>
                <w:color w:val="auto"/>
              </w:rPr>
            </w:pPr>
            <w:r>
              <w:rPr>
                <w:rFonts w:ascii="Arial" w:cs="Arial" w:eastAsia="Arial" w:hAnsi="Arial"/>
                <w:sz w:val="17"/>
                <w:szCs w:val="17"/>
                <w:color w:val="auto"/>
              </w:rPr>
              <w:t>27</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09"/>
        </w:trPr>
        <w:tc>
          <w:tcPr>
            <w:tcW w:w="120" w:type="dxa"/>
            <w:vAlign w:val="bottom"/>
            <w:tcBorders>
              <w:bottom w:val="single" w:sz="8" w:color="9A9A9A"/>
            </w:tcBorders>
          </w:tcPr>
          <w:p>
            <w:pPr>
              <w:spacing w:after="0"/>
              <w:rPr>
                <w:sz w:val="9"/>
                <w:szCs w:val="9"/>
                <w:color w:val="auto"/>
              </w:rPr>
            </w:pPr>
          </w:p>
        </w:tc>
        <w:tc>
          <w:tcPr>
            <w:tcW w:w="476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67" w:right="339" w:bottom="1440" w:gutter="0" w:footer="0" w:header="0"/>
        </w:sectPr>
      </w:pPr>
    </w:p>
    <w:bookmarkStart w:id="29" w:name="page30"/>
    <w:bookmarkEnd w:id="29"/>
    <w:tbl>
      <w:tblPr>
        <w:tblLayout w:type="fixed"/>
        <w:tblInd w:w="100" w:type="dxa"/>
        <w:tblCellMar>
          <w:top w:w="0" w:type="dxa"/>
          <w:left w:w="0" w:type="dxa"/>
          <w:bottom w:w="0" w:type="dxa"/>
          <w:right w:w="0" w:type="dxa"/>
        </w:tblCellMar>
      </w:tblPr>
      <w:tr>
        <w:trPr>
          <w:trHeight w:val="225"/>
        </w:trPr>
        <w:tc>
          <w:tcPr>
            <w:tcW w:w="4840" w:type="dxa"/>
            <w:vAlign w:val="bottom"/>
          </w:tcPr>
          <w:p>
            <w:pPr>
              <w:ind w:left="20"/>
              <w:spacing w:after="0"/>
              <w:rPr>
                <w:sz w:val="20"/>
                <w:szCs w:val="20"/>
                <w:color w:val="auto"/>
              </w:rPr>
            </w:pPr>
            <w:r>
              <w:rPr>
                <w:rFonts w:ascii="Arial" w:cs="Arial" w:eastAsia="Arial" w:hAnsi="Arial"/>
                <w:sz w:val="17"/>
                <w:szCs w:val="17"/>
                <w:b w:val="1"/>
                <w:bCs w:val="1"/>
                <w:i w:val="1"/>
                <w:iCs w:val="1"/>
                <w:color w:val="auto"/>
              </w:rPr>
              <w:t>NRZ Pledged MSR liability expense:</w:t>
            </w:r>
          </w:p>
        </w:tc>
        <w:tc>
          <w:tcPr>
            <w:tcW w:w="280" w:type="dxa"/>
            <w:vAlign w:val="bottom"/>
          </w:tcPr>
          <w:p>
            <w:pPr>
              <w:spacing w:after="0"/>
              <w:rPr>
                <w:sz w:val="19"/>
                <w:szCs w:val="19"/>
                <w:color w:val="auto"/>
              </w:rPr>
            </w:pPr>
          </w:p>
        </w:tc>
        <w:tc>
          <w:tcPr>
            <w:tcW w:w="2980" w:type="dxa"/>
            <w:vAlign w:val="bottom"/>
            <w:gridSpan w:val="5"/>
          </w:tcPr>
          <w:p>
            <w:pPr>
              <w:ind w:left="180"/>
              <w:spacing w:after="0"/>
              <w:rPr>
                <w:sz w:val="20"/>
                <w:szCs w:val="20"/>
                <w:color w:val="auto"/>
              </w:rPr>
            </w:pPr>
            <w:r>
              <w:rPr>
                <w:rFonts w:ascii="Arial" w:cs="Arial" w:eastAsia="Arial" w:hAnsi="Arial"/>
                <w:sz w:val="17"/>
                <w:szCs w:val="17"/>
                <w:b w:val="1"/>
                <w:bCs w:val="1"/>
                <w:color w:val="auto"/>
              </w:rPr>
              <w:t>Three Months Ended June 30,</w:t>
            </w:r>
          </w:p>
        </w:tc>
        <w:tc>
          <w:tcPr>
            <w:tcW w:w="320" w:type="dxa"/>
            <w:vAlign w:val="bottom"/>
          </w:tcPr>
          <w:p>
            <w:pPr>
              <w:spacing w:after="0"/>
              <w:rPr>
                <w:sz w:val="19"/>
                <w:szCs w:val="19"/>
                <w:color w:val="auto"/>
              </w:rPr>
            </w:pPr>
          </w:p>
        </w:tc>
        <w:tc>
          <w:tcPr>
            <w:tcW w:w="2820" w:type="dxa"/>
            <w:vAlign w:val="bottom"/>
            <w:gridSpan w:val="4"/>
          </w:tcPr>
          <w:p>
            <w:pPr>
              <w:jc w:val="right"/>
              <w:ind w:right="474"/>
              <w:spacing w:after="0"/>
              <w:rPr>
                <w:sz w:val="20"/>
                <w:szCs w:val="20"/>
                <w:color w:val="auto"/>
              </w:rPr>
            </w:pPr>
            <w:r>
              <w:rPr>
                <w:rFonts w:ascii="Arial" w:cs="Arial" w:eastAsia="Arial" w:hAnsi="Arial"/>
                <w:sz w:val="17"/>
                <w:szCs w:val="17"/>
                <w:b w:val="1"/>
                <w:bCs w:val="1"/>
                <w:color w:val="auto"/>
              </w:rPr>
              <w:t>Six Months Ended June 30,</w:t>
            </w:r>
          </w:p>
        </w:tc>
        <w:tc>
          <w:tcPr>
            <w:tcW w:w="0" w:type="dxa"/>
            <w:vAlign w:val="bottom"/>
          </w:tcPr>
          <w:p>
            <w:pPr>
              <w:spacing w:after="0"/>
              <w:rPr>
                <w:sz w:val="1"/>
                <w:szCs w:val="1"/>
                <w:color w:val="auto"/>
              </w:rPr>
            </w:pPr>
          </w:p>
        </w:tc>
      </w:tr>
      <w:tr>
        <w:trPr>
          <w:trHeight w:val="213"/>
        </w:trPr>
        <w:tc>
          <w:tcPr>
            <w:tcW w:w="484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7"/>
                <w:szCs w:val="17"/>
                <w:b w:val="1"/>
                <w:bCs w:val="1"/>
                <w:color w:val="auto"/>
              </w:rPr>
              <w:t>2021</w:t>
            </w:r>
          </w:p>
        </w:tc>
        <w:tc>
          <w:tcPr>
            <w:tcW w:w="12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7"/>
                <w:szCs w:val="17"/>
                <w:b w:val="1"/>
                <w:bCs w:val="1"/>
                <w:color w:val="auto"/>
              </w:rPr>
              <w:t>2021</w:t>
            </w:r>
          </w:p>
        </w:tc>
        <w:tc>
          <w:tcPr>
            <w:tcW w:w="0" w:type="dxa"/>
            <w:vAlign w:val="bottom"/>
          </w:tcPr>
          <w:p>
            <w:pPr>
              <w:spacing w:after="0"/>
              <w:rPr>
                <w:sz w:val="1"/>
                <w:szCs w:val="1"/>
                <w:color w:val="auto"/>
              </w:rPr>
            </w:pPr>
          </w:p>
        </w:tc>
      </w:tr>
      <w:tr>
        <w:trPr>
          <w:trHeight w:val="213"/>
        </w:trPr>
        <w:tc>
          <w:tcPr>
            <w:tcW w:w="4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Servicing fees collected on behalf of NRZ</w:t>
            </w: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64,729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77,716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131,875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158,101</w:t>
            </w:r>
          </w:p>
        </w:tc>
        <w:tc>
          <w:tcPr>
            <w:tcW w:w="0" w:type="dxa"/>
            <w:vAlign w:val="bottom"/>
          </w:tcPr>
          <w:p>
            <w:pPr>
              <w:spacing w:after="0"/>
              <w:rPr>
                <w:sz w:val="1"/>
                <w:szCs w:val="1"/>
                <w:color w:val="auto"/>
              </w:rPr>
            </w:pPr>
          </w:p>
        </w:tc>
      </w:tr>
      <w:tr>
        <w:trPr>
          <w:trHeight w:val="220"/>
        </w:trPr>
        <w:tc>
          <w:tcPr>
            <w:tcW w:w="48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Less: Subservicing fee retained by Ocwen</w:t>
            </w: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18,771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22,521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38,137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46,512</w:t>
            </w:r>
          </w:p>
        </w:tc>
        <w:tc>
          <w:tcPr>
            <w:tcW w:w="0" w:type="dxa"/>
            <w:vAlign w:val="bottom"/>
          </w:tcPr>
          <w:p>
            <w:pPr>
              <w:spacing w:after="0"/>
              <w:rPr>
                <w:sz w:val="1"/>
                <w:szCs w:val="1"/>
                <w:color w:val="auto"/>
              </w:rPr>
            </w:pPr>
          </w:p>
        </w:tc>
      </w:tr>
      <w:tr>
        <w:trPr>
          <w:trHeight w:val="213"/>
        </w:trPr>
        <w:tc>
          <w:tcPr>
            <w:tcW w:w="48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Net servicing fees remitted to NRZ</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45,958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55,195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93,738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111,589</w:t>
            </w:r>
          </w:p>
        </w:tc>
        <w:tc>
          <w:tcPr>
            <w:tcW w:w="0" w:type="dxa"/>
            <w:vAlign w:val="bottom"/>
          </w:tcPr>
          <w:p>
            <w:pPr>
              <w:spacing w:after="0"/>
              <w:rPr>
                <w:sz w:val="1"/>
                <w:szCs w:val="1"/>
                <w:color w:val="auto"/>
              </w:rPr>
            </w:pPr>
          </w:p>
        </w:tc>
      </w:tr>
      <w:tr>
        <w:trPr>
          <w:trHeight w:val="220"/>
        </w:trPr>
        <w:tc>
          <w:tcPr>
            <w:tcW w:w="4840" w:type="dxa"/>
            <w:vAlign w:val="bottom"/>
          </w:tcPr>
          <w:p>
            <w:pPr>
              <w:ind w:left="20"/>
              <w:spacing w:after="0"/>
              <w:rPr>
                <w:sz w:val="20"/>
                <w:szCs w:val="20"/>
                <w:color w:val="auto"/>
              </w:rPr>
            </w:pPr>
            <w:r>
              <w:rPr>
                <w:rFonts w:ascii="Arial" w:cs="Arial" w:eastAsia="Arial" w:hAnsi="Arial"/>
                <w:sz w:val="17"/>
                <w:szCs w:val="17"/>
                <w:color w:val="auto"/>
              </w:rPr>
              <w:t>Less: Reduction (increase) in Pledged MSR liability</w:t>
            </w: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4840" w:type="dxa"/>
            <w:vAlign w:val="bottom"/>
            <w:shd w:val="clear" w:color="auto" w:fill="CCEEFF"/>
          </w:tcPr>
          <w:p>
            <w:pPr>
              <w:ind w:left="20"/>
              <w:spacing w:after="0" w:line="168" w:lineRule="exact"/>
              <w:rPr>
                <w:sz w:val="20"/>
                <w:szCs w:val="20"/>
                <w:color w:val="auto"/>
              </w:rPr>
            </w:pPr>
            <w:r>
              <w:rPr>
                <w:rFonts w:ascii="Arial" w:cs="Arial" w:eastAsia="Arial" w:hAnsi="Arial"/>
                <w:sz w:val="17"/>
                <w:szCs w:val="17"/>
                <w:color w:val="auto"/>
              </w:rPr>
              <w:t>Changes in fair value due to valuation inputs or assumptions -</w:t>
            </w:r>
          </w:p>
        </w:tc>
        <w:tc>
          <w:tcPr>
            <w:tcW w:w="28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(24,736)</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(8,393)</w:t>
            </w: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(31,534)</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(9,944)</w:t>
            </w:r>
          </w:p>
        </w:tc>
        <w:tc>
          <w:tcPr>
            <w:tcW w:w="0" w:type="dxa"/>
            <w:vAlign w:val="bottom"/>
          </w:tcPr>
          <w:p>
            <w:pPr>
              <w:spacing w:after="0"/>
              <w:rPr>
                <w:sz w:val="1"/>
                <w:szCs w:val="1"/>
                <w:color w:val="auto"/>
              </w:rPr>
            </w:pPr>
          </w:p>
        </w:tc>
      </w:tr>
      <w:tr>
        <w:trPr>
          <w:trHeight w:val="219"/>
        </w:trPr>
        <w:tc>
          <w:tcPr>
            <w:tcW w:w="48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Original Rights to MSRs Agreements</w:t>
            </w:r>
          </w:p>
        </w:tc>
        <w:tc>
          <w:tcPr>
            <w:tcW w:w="280" w:type="dxa"/>
            <w:vAlign w:val="bottom"/>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840" w:type="dxa"/>
            <w:vAlign w:val="bottom"/>
          </w:tcPr>
          <w:p>
            <w:pPr>
              <w:ind w:left="20"/>
              <w:spacing w:after="0"/>
              <w:rPr>
                <w:sz w:val="20"/>
                <w:szCs w:val="20"/>
                <w:color w:val="auto"/>
              </w:rPr>
            </w:pPr>
            <w:r>
              <w:rPr>
                <w:rFonts w:ascii="Arial" w:cs="Arial" w:eastAsia="Arial" w:hAnsi="Arial"/>
                <w:sz w:val="17"/>
                <w:szCs w:val="17"/>
                <w:color w:val="auto"/>
              </w:rPr>
              <w:t>Runoff and settlement - Original Rights to MSRs Agreements</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19,244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20,910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39,106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38,526</w:t>
            </w:r>
          </w:p>
        </w:tc>
        <w:tc>
          <w:tcPr>
            <w:tcW w:w="0" w:type="dxa"/>
            <w:vAlign w:val="bottom"/>
          </w:tcPr>
          <w:p>
            <w:pPr>
              <w:spacing w:after="0"/>
              <w:rPr>
                <w:sz w:val="1"/>
                <w:szCs w:val="1"/>
                <w:color w:val="auto"/>
              </w:rPr>
            </w:pPr>
          </w:p>
        </w:tc>
      </w:tr>
      <w:tr>
        <w:trPr>
          <w:trHeight w:val="220"/>
        </w:trPr>
        <w:tc>
          <w:tcPr>
            <w:tcW w:w="4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(1,789)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2,868</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5,347</w:t>
            </w:r>
          </w:p>
        </w:tc>
        <w:tc>
          <w:tcPr>
            <w:tcW w:w="0" w:type="dxa"/>
            <w:vAlign w:val="bottom"/>
          </w:tcPr>
          <w:p>
            <w:pPr>
              <w:spacing w:after="0"/>
              <w:rPr>
                <w:sz w:val="1"/>
                <w:szCs w:val="1"/>
                <w:color w:val="auto"/>
              </w:rPr>
            </w:pPr>
          </w:p>
        </w:tc>
      </w:tr>
      <w:tr>
        <w:trPr>
          <w:trHeight w:val="213"/>
        </w:trPr>
        <w:tc>
          <w:tcPr>
            <w:tcW w:w="4840" w:type="dxa"/>
            <w:vAlign w:val="bottom"/>
          </w:tcPr>
          <w:p>
            <w:pPr>
              <w:ind w:left="20"/>
              <w:spacing w:after="0"/>
              <w:rPr>
                <w:sz w:val="20"/>
                <w:szCs w:val="20"/>
                <w:color w:val="auto"/>
              </w:rPr>
            </w:pPr>
            <w:r>
              <w:rPr>
                <w:rFonts w:ascii="Arial" w:cs="Arial" w:eastAsia="Arial" w:hAnsi="Arial"/>
                <w:sz w:val="17"/>
                <w:szCs w:val="17"/>
                <w:color w:val="auto"/>
              </w:rPr>
              <w:t>Pledged MSR liability expense - NRZ</w:t>
            </w:r>
          </w:p>
        </w:tc>
        <w:tc>
          <w:tcPr>
            <w:tcW w:w="28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53,239</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39,810</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85,623</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77,660</w:t>
            </w: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980" w:type="dxa"/>
            <w:vAlign w:val="bottom"/>
            <w:gridSpan w:val="2"/>
            <w:vMerge w:val="restart"/>
          </w:tcPr>
          <w:p>
            <w:pPr>
              <w:ind w:left="40"/>
              <w:spacing w:after="0"/>
              <w:rPr>
                <w:sz w:val="20"/>
                <w:szCs w:val="20"/>
                <w:color w:val="auto"/>
              </w:rPr>
            </w:pPr>
            <w:r>
              <w:rPr>
                <w:rFonts w:ascii="Arial" w:cs="Arial" w:eastAsia="Arial" w:hAnsi="Arial"/>
                <w:sz w:val="17"/>
                <w:szCs w:val="17"/>
                <w:b w:val="1"/>
                <w:bCs w:val="1"/>
                <w:i w:val="1"/>
                <w:iCs w:val="1"/>
                <w:color w:val="auto"/>
              </w:rPr>
              <w:t>AV Pledged MSR liability expense:</w:t>
            </w:r>
          </w:p>
        </w:tc>
        <w:tc>
          <w:tcPr>
            <w:tcW w:w="3520" w:type="dxa"/>
            <w:vAlign w:val="bottom"/>
            <w:gridSpan w:val="2"/>
          </w:tcPr>
          <w:p>
            <w:pPr>
              <w:jc w:val="right"/>
              <w:spacing w:after="0"/>
              <w:rPr>
                <w:sz w:val="20"/>
                <w:szCs w:val="20"/>
                <w:color w:val="auto"/>
              </w:rPr>
            </w:pPr>
            <w:r>
              <w:rPr>
                <w:rFonts w:ascii="Arial" w:cs="Arial" w:eastAsia="Arial" w:hAnsi="Arial"/>
                <w:sz w:val="17"/>
                <w:szCs w:val="17"/>
                <w:b w:val="1"/>
                <w:bCs w:val="1"/>
                <w:color w:val="auto"/>
              </w:rPr>
              <w:t>Three Months Ended</w:t>
            </w:r>
          </w:p>
        </w:tc>
        <w:tc>
          <w:tcPr>
            <w:tcW w:w="1620" w:type="dxa"/>
            <w:vAlign w:val="bottom"/>
            <w:gridSpan w:val="2"/>
          </w:tcPr>
          <w:p>
            <w:pPr>
              <w:jc w:val="right"/>
              <w:ind w:right="114"/>
              <w:spacing w:after="0"/>
              <w:rPr>
                <w:sz w:val="20"/>
                <w:szCs w:val="20"/>
                <w:color w:val="auto"/>
              </w:rPr>
            </w:pPr>
            <w:r>
              <w:rPr>
                <w:rFonts w:ascii="Arial" w:cs="Arial" w:eastAsia="Arial" w:hAnsi="Arial"/>
                <w:sz w:val="17"/>
                <w:szCs w:val="17"/>
                <w:b w:val="1"/>
                <w:bCs w:val="1"/>
                <w:color w:val="auto"/>
                <w:w w:val="94"/>
              </w:rPr>
              <w:t>Six Months Ended</w:t>
            </w:r>
          </w:p>
        </w:tc>
        <w:tc>
          <w:tcPr>
            <w:tcW w:w="0" w:type="dxa"/>
            <w:vAlign w:val="bottom"/>
          </w:tcPr>
          <w:p>
            <w:pPr>
              <w:spacing w:after="0"/>
              <w:rPr>
                <w:sz w:val="1"/>
                <w:szCs w:val="1"/>
                <w:color w:val="auto"/>
              </w:rPr>
            </w:pPr>
          </w:p>
        </w:tc>
      </w:tr>
      <w:tr>
        <w:trPr>
          <w:trHeight w:val="220"/>
        </w:trPr>
        <w:tc>
          <w:tcPr>
            <w:tcW w:w="5980" w:type="dxa"/>
            <w:vAlign w:val="bottom"/>
            <w:gridSpan w:val="2"/>
            <w:vMerge w:val="continue"/>
          </w:tcPr>
          <w:p>
            <w:pPr>
              <w:spacing w:after="0"/>
              <w:rPr>
                <w:sz w:val="19"/>
                <w:szCs w:val="19"/>
                <w:color w:val="auto"/>
              </w:rPr>
            </w:pPr>
          </w:p>
        </w:tc>
        <w:tc>
          <w:tcPr>
            <w:tcW w:w="2040" w:type="dxa"/>
            <w:vAlign w:val="bottom"/>
          </w:tcPr>
          <w:p>
            <w:pPr>
              <w:spacing w:after="0"/>
              <w:rPr>
                <w:sz w:val="19"/>
                <w:szCs w:val="19"/>
                <w:color w:val="auto"/>
              </w:rPr>
            </w:pPr>
          </w:p>
        </w:tc>
        <w:tc>
          <w:tcPr>
            <w:tcW w:w="1480" w:type="dxa"/>
            <w:vAlign w:val="bottom"/>
          </w:tcPr>
          <w:p>
            <w:pPr>
              <w:jc w:val="right"/>
              <w:ind w:right="154"/>
              <w:spacing w:after="0"/>
              <w:rPr>
                <w:sz w:val="20"/>
                <w:szCs w:val="20"/>
                <w:color w:val="auto"/>
              </w:rPr>
            </w:pPr>
            <w:r>
              <w:rPr>
                <w:rFonts w:ascii="Arial" w:cs="Arial" w:eastAsia="Arial" w:hAnsi="Arial"/>
                <w:sz w:val="17"/>
                <w:szCs w:val="17"/>
                <w:b w:val="1"/>
                <w:bCs w:val="1"/>
                <w:color w:val="auto"/>
              </w:rPr>
              <w:t>June 30, 2022</w:t>
            </w:r>
          </w:p>
        </w:tc>
        <w:tc>
          <w:tcPr>
            <w:tcW w:w="120" w:type="dxa"/>
            <w:vAlign w:val="bottom"/>
          </w:tcPr>
          <w:p>
            <w:pPr>
              <w:spacing w:after="0"/>
              <w:rPr>
                <w:sz w:val="19"/>
                <w:szCs w:val="19"/>
                <w:color w:val="auto"/>
              </w:rPr>
            </w:pPr>
          </w:p>
        </w:tc>
        <w:tc>
          <w:tcPr>
            <w:tcW w:w="1500" w:type="dxa"/>
            <w:vAlign w:val="bottom"/>
          </w:tcPr>
          <w:p>
            <w:pPr>
              <w:jc w:val="right"/>
              <w:ind w:right="174"/>
              <w:spacing w:after="0"/>
              <w:rPr>
                <w:sz w:val="20"/>
                <w:szCs w:val="20"/>
                <w:color w:val="auto"/>
              </w:rPr>
            </w:pPr>
            <w:r>
              <w:rPr>
                <w:rFonts w:ascii="Arial" w:cs="Arial" w:eastAsia="Arial" w:hAnsi="Arial"/>
                <w:sz w:val="17"/>
                <w:szCs w:val="17"/>
                <w:b w:val="1"/>
                <w:bCs w:val="1"/>
                <w:color w:val="auto"/>
              </w:rPr>
              <w:t>June 30, 2022</w:t>
            </w:r>
          </w:p>
        </w:tc>
        <w:tc>
          <w:tcPr>
            <w:tcW w:w="0" w:type="dxa"/>
            <w:vAlign w:val="bottom"/>
          </w:tcPr>
          <w:p>
            <w:pPr>
              <w:spacing w:after="0"/>
              <w:rPr>
                <w:sz w:val="1"/>
                <w:szCs w:val="1"/>
                <w:color w:val="auto"/>
              </w:rPr>
            </w:pPr>
          </w:p>
        </w:tc>
      </w:tr>
      <w:tr>
        <w:trPr>
          <w:trHeight w:val="213"/>
        </w:trPr>
        <w:tc>
          <w:tcPr>
            <w:tcW w:w="100" w:type="dxa"/>
            <w:vAlign w:val="bottom"/>
          </w:tcPr>
          <w:p>
            <w:pPr>
              <w:spacing w:after="0"/>
              <w:rPr>
                <w:sz w:val="18"/>
                <w:szCs w:val="18"/>
                <w:color w:val="auto"/>
              </w:rPr>
            </w:pPr>
          </w:p>
        </w:tc>
        <w:tc>
          <w:tcPr>
            <w:tcW w:w="5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ervicing fees collected on behalf of MAV</w:t>
            </w:r>
          </w:p>
        </w:tc>
        <w:tc>
          <w:tcPr>
            <w:tcW w:w="2040" w:type="dxa"/>
            <w:vAlign w:val="bottom"/>
            <w:tcBorders>
              <w:top w:val="single" w:sz="8" w:color="CCEEFF"/>
            </w:tcBorders>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17,471$</w:t>
            </w:r>
          </w:p>
        </w:tc>
        <w:tc>
          <w:tcPr>
            <w:tcW w:w="12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33,204</w:t>
            </w:r>
          </w:p>
        </w:tc>
        <w:tc>
          <w:tcPr>
            <w:tcW w:w="0" w:type="dxa"/>
            <w:vAlign w:val="bottom"/>
          </w:tcPr>
          <w:p>
            <w:pPr>
              <w:spacing w:after="0"/>
              <w:rPr>
                <w:sz w:val="1"/>
                <w:szCs w:val="1"/>
                <w:color w:val="auto"/>
              </w:rPr>
            </w:pPr>
          </w:p>
        </w:tc>
      </w:tr>
      <w:tr>
        <w:trPr>
          <w:trHeight w:val="220"/>
        </w:trPr>
        <w:tc>
          <w:tcPr>
            <w:tcW w:w="5980" w:type="dxa"/>
            <w:vAlign w:val="bottom"/>
            <w:gridSpan w:val="2"/>
          </w:tcPr>
          <w:p>
            <w:pPr>
              <w:spacing w:after="0"/>
              <w:rPr>
                <w:sz w:val="20"/>
                <w:szCs w:val="20"/>
                <w:color w:val="auto"/>
              </w:rPr>
            </w:pPr>
            <w:r>
              <w:rPr>
                <w:rFonts w:ascii="Arial" w:cs="Arial" w:eastAsia="Arial" w:hAnsi="Arial"/>
                <w:sz w:val="17"/>
                <w:szCs w:val="17"/>
                <w:color w:val="auto"/>
              </w:rPr>
              <w:t>ess: Subservicing fee retained by Ocwen</w:t>
            </w:r>
          </w:p>
        </w:tc>
        <w:tc>
          <w:tcPr>
            <w:tcW w:w="2040" w:type="dxa"/>
            <w:vAlign w:val="bottom"/>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2,273</w:t>
            </w:r>
          </w:p>
        </w:tc>
        <w:tc>
          <w:tcPr>
            <w:tcW w:w="120" w:type="dxa"/>
            <w:vAlign w:val="bottom"/>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4,366</w:t>
            </w:r>
          </w:p>
        </w:tc>
        <w:tc>
          <w:tcPr>
            <w:tcW w:w="0" w:type="dxa"/>
            <w:vAlign w:val="bottom"/>
          </w:tcPr>
          <w:p>
            <w:pPr>
              <w:spacing w:after="0"/>
              <w:rPr>
                <w:sz w:val="1"/>
                <w:szCs w:val="1"/>
                <w:color w:val="auto"/>
              </w:rPr>
            </w:pPr>
          </w:p>
        </w:tc>
      </w:tr>
      <w:tr>
        <w:trPr>
          <w:trHeight w:val="213"/>
        </w:trPr>
        <w:tc>
          <w:tcPr>
            <w:tcW w:w="5980" w:type="dxa"/>
            <w:vAlign w:val="bottom"/>
            <w:gridSpan w:val="2"/>
          </w:tcPr>
          <w:p>
            <w:pPr>
              <w:spacing w:after="0"/>
              <w:rPr>
                <w:sz w:val="20"/>
                <w:szCs w:val="20"/>
                <w:color w:val="auto"/>
              </w:rPr>
            </w:pPr>
            <w:r>
              <w:rPr>
                <w:rFonts w:ascii="Arial" w:cs="Arial" w:eastAsia="Arial" w:hAnsi="Arial"/>
                <w:sz w:val="17"/>
                <w:szCs w:val="17"/>
                <w:color w:val="auto"/>
              </w:rPr>
              <w:t>Net servicing fees remitted to MAV</w:t>
            </w:r>
          </w:p>
        </w:tc>
        <w:tc>
          <w:tcPr>
            <w:tcW w:w="20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15,198</w:t>
            </w:r>
          </w:p>
        </w:tc>
        <w:tc>
          <w:tcPr>
            <w:tcW w:w="1620" w:type="dxa"/>
            <w:vAlign w:val="bottom"/>
            <w:gridSpan w:val="2"/>
          </w:tcPr>
          <w:p>
            <w:pPr>
              <w:jc w:val="right"/>
              <w:spacing w:after="0"/>
              <w:rPr>
                <w:sz w:val="20"/>
                <w:szCs w:val="20"/>
                <w:color w:val="auto"/>
              </w:rPr>
            </w:pPr>
            <w:r>
              <w:rPr>
                <w:rFonts w:ascii="Arial" w:cs="Arial" w:eastAsia="Arial" w:hAnsi="Arial"/>
                <w:sz w:val="17"/>
                <w:szCs w:val="17"/>
                <w:color w:val="auto"/>
              </w:rPr>
              <w:t>28,838</w:t>
            </w:r>
          </w:p>
        </w:tc>
        <w:tc>
          <w:tcPr>
            <w:tcW w:w="0" w:type="dxa"/>
            <w:vAlign w:val="bottom"/>
          </w:tcPr>
          <w:p>
            <w:pPr>
              <w:spacing w:after="0"/>
              <w:rPr>
                <w:sz w:val="1"/>
                <w:szCs w:val="1"/>
                <w:color w:val="auto"/>
              </w:rPr>
            </w:pPr>
          </w:p>
        </w:tc>
      </w:tr>
      <w:tr>
        <w:trPr>
          <w:trHeight w:val="220"/>
        </w:trPr>
        <w:tc>
          <w:tcPr>
            <w:tcW w:w="5980" w:type="dxa"/>
            <w:vAlign w:val="bottom"/>
            <w:gridSpan w:val="2"/>
          </w:tcPr>
          <w:p>
            <w:pPr>
              <w:spacing w:after="0"/>
              <w:rPr>
                <w:sz w:val="20"/>
                <w:szCs w:val="20"/>
                <w:color w:val="auto"/>
              </w:rPr>
            </w:pPr>
            <w:r>
              <w:rPr>
                <w:rFonts w:ascii="Arial" w:cs="Arial" w:eastAsia="Arial" w:hAnsi="Arial"/>
                <w:sz w:val="17"/>
                <w:szCs w:val="17"/>
                <w:color w:val="auto"/>
              </w:rPr>
              <w:t>ess: Reduction (increase) in Pledged MSR liability</w:t>
            </w:r>
          </w:p>
        </w:tc>
        <w:tc>
          <w:tcPr>
            <w:tcW w:w="20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00" w:type="dxa"/>
            <w:vAlign w:val="bottom"/>
          </w:tcPr>
          <w:p>
            <w:pPr>
              <w:spacing w:after="0"/>
              <w:rPr>
                <w:sz w:val="19"/>
                <w:szCs w:val="19"/>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7"/>
                <w:szCs w:val="17"/>
                <w:color w:val="auto"/>
              </w:rPr>
              <w:t>Changes in fair value due to valuation inputs or assumptions</w:t>
            </w:r>
          </w:p>
        </w:tc>
        <w:tc>
          <w:tcPr>
            <w:tcW w:w="20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(15,136)</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(63,796)</w:t>
            </w:r>
          </w:p>
        </w:tc>
        <w:tc>
          <w:tcPr>
            <w:tcW w:w="0" w:type="dxa"/>
            <w:vAlign w:val="bottom"/>
          </w:tcPr>
          <w:p>
            <w:pPr>
              <w:spacing w:after="0"/>
              <w:rPr>
                <w:sz w:val="1"/>
                <w:szCs w:val="1"/>
                <w:color w:val="auto"/>
              </w:rPr>
            </w:pPr>
          </w:p>
        </w:tc>
      </w:tr>
      <w:tr>
        <w:trPr>
          <w:trHeight w:val="220"/>
        </w:trPr>
        <w:tc>
          <w:tcPr>
            <w:tcW w:w="5980" w:type="dxa"/>
            <w:vAlign w:val="bottom"/>
            <w:gridSpan w:val="2"/>
          </w:tcPr>
          <w:p>
            <w:pPr>
              <w:spacing w:after="0"/>
              <w:rPr>
                <w:sz w:val="20"/>
                <w:szCs w:val="20"/>
                <w:color w:val="auto"/>
              </w:rPr>
            </w:pPr>
            <w:r>
              <w:rPr>
                <w:rFonts w:ascii="Arial" w:cs="Arial" w:eastAsia="Arial" w:hAnsi="Arial"/>
                <w:sz w:val="17"/>
                <w:szCs w:val="17"/>
                <w:color w:val="auto"/>
              </w:rPr>
              <w:t>Runoff and settlement</w:t>
            </w:r>
          </w:p>
        </w:tc>
        <w:tc>
          <w:tcPr>
            <w:tcW w:w="20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9,509</w:t>
            </w:r>
          </w:p>
        </w:tc>
        <w:tc>
          <w:tcPr>
            <w:tcW w:w="1620" w:type="dxa"/>
            <w:vAlign w:val="bottom"/>
            <w:gridSpan w:val="2"/>
          </w:tcPr>
          <w:p>
            <w:pPr>
              <w:jc w:val="right"/>
              <w:spacing w:after="0"/>
              <w:rPr>
                <w:sz w:val="20"/>
                <w:szCs w:val="20"/>
                <w:color w:val="auto"/>
              </w:rPr>
            </w:pPr>
            <w:r>
              <w:rPr>
                <w:rFonts w:ascii="Arial" w:cs="Arial" w:eastAsia="Arial" w:hAnsi="Arial"/>
                <w:sz w:val="17"/>
                <w:szCs w:val="17"/>
                <w:color w:val="auto"/>
              </w:rPr>
              <w:t>17,912</w:t>
            </w:r>
          </w:p>
        </w:tc>
        <w:tc>
          <w:tcPr>
            <w:tcW w:w="0" w:type="dxa"/>
            <w:vAlign w:val="bottom"/>
          </w:tcPr>
          <w:p>
            <w:pPr>
              <w:spacing w:after="0"/>
              <w:rPr>
                <w:sz w:val="1"/>
                <w:szCs w:val="1"/>
                <w:color w:val="auto"/>
              </w:rPr>
            </w:pPr>
          </w:p>
        </w:tc>
      </w:tr>
      <w:tr>
        <w:trPr>
          <w:trHeight w:val="220"/>
        </w:trPr>
        <w:tc>
          <w:tcPr>
            <w:tcW w:w="5980" w:type="dxa"/>
            <w:vAlign w:val="bottom"/>
            <w:gridSpan w:val="2"/>
          </w:tcPr>
          <w:p>
            <w:pPr>
              <w:ind w:left="20"/>
              <w:spacing w:after="0"/>
              <w:rPr>
                <w:sz w:val="20"/>
                <w:szCs w:val="20"/>
                <w:color w:val="auto"/>
              </w:rPr>
            </w:pPr>
            <w:r>
              <w:rPr>
                <w:rFonts w:ascii="Arial" w:cs="Arial" w:eastAsia="Arial" w:hAnsi="Arial"/>
                <w:sz w:val="17"/>
                <w:szCs w:val="17"/>
                <w:color w:val="auto"/>
              </w:rPr>
              <w:t>ther (1)</w:t>
            </w:r>
          </w:p>
        </w:tc>
        <w:tc>
          <w:tcPr>
            <w:tcW w:w="2040" w:type="dxa"/>
            <w:vAlign w:val="bottom"/>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w:t>
            </w:r>
          </w:p>
        </w:tc>
        <w:tc>
          <w:tcPr>
            <w:tcW w:w="120" w:type="dxa"/>
            <w:vAlign w:val="bottom"/>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(634)</w:t>
            </w:r>
          </w:p>
        </w:tc>
        <w:tc>
          <w:tcPr>
            <w:tcW w:w="0" w:type="dxa"/>
            <w:vAlign w:val="bottom"/>
          </w:tcPr>
          <w:p>
            <w:pPr>
              <w:spacing w:after="0"/>
              <w:rPr>
                <w:sz w:val="1"/>
                <w:szCs w:val="1"/>
                <w:color w:val="auto"/>
              </w:rPr>
            </w:pPr>
          </w:p>
        </w:tc>
      </w:tr>
      <w:tr>
        <w:trPr>
          <w:trHeight w:val="213"/>
        </w:trPr>
        <w:tc>
          <w:tcPr>
            <w:tcW w:w="5980" w:type="dxa"/>
            <w:vAlign w:val="bottom"/>
            <w:gridSpan w:val="2"/>
          </w:tcPr>
          <w:p>
            <w:pPr>
              <w:spacing w:after="0"/>
              <w:rPr>
                <w:sz w:val="20"/>
                <w:szCs w:val="20"/>
                <w:color w:val="auto"/>
              </w:rPr>
            </w:pPr>
            <w:r>
              <w:rPr>
                <w:rFonts w:ascii="Arial" w:cs="Arial" w:eastAsia="Arial" w:hAnsi="Arial"/>
                <w:sz w:val="17"/>
                <w:szCs w:val="17"/>
                <w:color w:val="auto"/>
              </w:rPr>
              <w:t>ledged MSR liability expense - MAV</w:t>
            </w:r>
          </w:p>
        </w:tc>
        <w:tc>
          <w:tcPr>
            <w:tcW w:w="2040" w:type="dxa"/>
            <w:vAlign w:val="bottom"/>
          </w:tcPr>
          <w:p>
            <w:pPr>
              <w:jc w:val="right"/>
              <w:ind w:right="54"/>
              <w:spacing w:after="0"/>
              <w:rPr>
                <w:sz w:val="20"/>
                <w:szCs w:val="20"/>
                <w:color w:val="auto"/>
              </w:rPr>
            </w:pPr>
            <w:r>
              <w:rPr>
                <w:rFonts w:ascii="Arial" w:cs="Arial" w:eastAsia="Arial" w:hAnsi="Arial"/>
                <w:sz w:val="17"/>
                <w:szCs w:val="17"/>
                <w:color w:val="auto"/>
              </w:rPr>
              <w:t>$</w:t>
            </w:r>
          </w:p>
        </w:tc>
        <w:tc>
          <w:tcPr>
            <w:tcW w:w="1480" w:type="dxa"/>
            <w:vAlign w:val="bottom"/>
          </w:tcPr>
          <w:p>
            <w:pPr>
              <w:jc w:val="right"/>
              <w:spacing w:after="0"/>
              <w:rPr>
                <w:sz w:val="20"/>
                <w:szCs w:val="20"/>
                <w:color w:val="auto"/>
              </w:rPr>
            </w:pPr>
            <w:r>
              <w:rPr>
                <w:rFonts w:ascii="Arial" w:cs="Arial" w:eastAsia="Arial" w:hAnsi="Arial"/>
                <w:sz w:val="17"/>
                <w:szCs w:val="17"/>
                <w:color w:val="auto"/>
              </w:rPr>
              <w:t>20,843$</w:t>
            </w:r>
          </w:p>
        </w:tc>
        <w:tc>
          <w:tcPr>
            <w:tcW w:w="1620" w:type="dxa"/>
            <w:vAlign w:val="bottom"/>
            <w:gridSpan w:val="2"/>
          </w:tcPr>
          <w:p>
            <w:pPr>
              <w:jc w:val="right"/>
              <w:spacing w:after="0"/>
              <w:rPr>
                <w:sz w:val="20"/>
                <w:szCs w:val="20"/>
                <w:color w:val="auto"/>
              </w:rPr>
            </w:pPr>
            <w:r>
              <w:rPr>
                <w:rFonts w:ascii="Arial" w:cs="Arial" w:eastAsia="Arial" w:hAnsi="Arial"/>
                <w:sz w:val="17"/>
                <w:szCs w:val="17"/>
                <w:color w:val="auto"/>
              </w:rPr>
              <w:t>75,357</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-885190</wp:posOffset>
            </wp:positionV>
            <wp:extent cx="6990715" cy="1479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0715" cy="147955"/>
                    </a:xfrm>
                    <a:prstGeom prst="rect">
                      <a:avLst/>
                    </a:prstGeom>
                    <a:noFill/>
                  </pic:spPr>
                </pic:pic>
              </a:graphicData>
            </a:graphic>
          </wp:anchor>
        </w:drawing>
        <w:drawing>
          <wp:anchor simplePos="0" relativeHeight="251657728" behindDoc="1" locked="0" layoutInCell="0" allowOverlap="1">
            <wp:simplePos x="0" y="0"/>
            <wp:positionH relativeFrom="column">
              <wp:posOffset>65405</wp:posOffset>
            </wp:positionH>
            <wp:positionV relativeFrom="paragraph">
              <wp:posOffset>-319405</wp:posOffset>
            </wp:positionV>
            <wp:extent cx="6990715" cy="1397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0715" cy="139700"/>
                    </a:xfrm>
                    <a:prstGeom prst="rect">
                      <a:avLst/>
                    </a:prstGeom>
                    <a:noFill/>
                  </pic:spPr>
                </pic:pic>
              </a:graphicData>
            </a:graphic>
          </wp:anchor>
        </w:drawing>
      </w:r>
    </w:p>
    <w:p>
      <w:pPr>
        <w:spacing w:after="0" w:line="114" w:lineRule="exact"/>
        <w:rPr>
          <w:sz w:val="20"/>
          <w:szCs w:val="20"/>
          <w:color w:val="auto"/>
        </w:rPr>
      </w:pPr>
    </w:p>
    <w:p>
      <w:pPr>
        <w:ind w:left="420" w:right="180" w:hanging="317"/>
        <w:spacing w:after="0" w:line="251" w:lineRule="auto"/>
        <w:tabs>
          <w:tab w:leader="none" w:pos="4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Includes $0.0 million and $0.6 million for the three and six months ended June 30, 2022, respectively, of early payment protection associated with the transfer (which did not qualify for sale accounting) of MSR portfolios by PMC to MAV.</w:t>
      </w:r>
    </w:p>
    <w:p>
      <w:pPr>
        <w:spacing w:after="0" w:line="205" w:lineRule="exact"/>
        <w:rPr>
          <w:sz w:val="20"/>
          <w:szCs w:val="20"/>
          <w:color w:val="auto"/>
        </w:rPr>
      </w:pPr>
    </w:p>
    <w:p>
      <w:pPr>
        <w:ind w:left="100"/>
        <w:spacing w:after="0"/>
        <w:rPr>
          <w:sz w:val="20"/>
          <w:szCs w:val="20"/>
          <w:color w:val="auto"/>
        </w:rPr>
      </w:pPr>
      <w:r>
        <w:rPr>
          <w:rFonts w:ascii="Arial" w:cs="Arial" w:eastAsia="Arial" w:hAnsi="Arial"/>
          <w:sz w:val="17"/>
          <w:szCs w:val="17"/>
          <w:b w:val="1"/>
          <w:bCs w:val="1"/>
          <w:i w:val="1"/>
          <w:iCs w:val="1"/>
          <w:color w:val="auto"/>
        </w:rPr>
        <w:t>NRZ - Ocwen Transactions</w:t>
      </w:r>
    </w:p>
    <w:p>
      <w:pPr>
        <w:spacing w:after="0" w:line="115" w:lineRule="exact"/>
        <w:rPr>
          <w:sz w:val="20"/>
          <w:szCs w:val="20"/>
          <w:color w:val="auto"/>
        </w:rPr>
      </w:pPr>
    </w:p>
    <w:p>
      <w:pPr>
        <w:ind w:left="100" w:right="40"/>
        <w:spacing w:after="0" w:line="261" w:lineRule="auto"/>
        <w:rPr>
          <w:sz w:val="20"/>
          <w:szCs w:val="20"/>
          <w:color w:val="auto"/>
        </w:rPr>
      </w:pPr>
      <w:r>
        <w:rPr>
          <w:rFonts w:ascii="Arial" w:cs="Arial" w:eastAsia="Arial" w:hAnsi="Arial"/>
          <w:sz w:val="17"/>
          <w:szCs w:val="17"/>
          <w:color w:val="auto"/>
        </w:rPr>
        <w:t>Ocwen entered into a series of agreements to transfer NRZ the servicing of certain mortgage loans. Prior to the transfer of legal title under the Master Servicing Rights Purchase Agreement dated as of October 1, 2012, as amended, and certain Sale Supplements, as amended (collectively, the Original Rights to MSRs Agreements), Ocwen agreed to service the mortgage loans underlying the MSRs on the economic terms set forth in the Original Rights to MSRs Agreements. After the transfer of legal title as contemplated under the Original Rights to MSRs Agreements, Ocwen was to service the mortgage loans underlying the MSRs as subservicer on substantially the same economic terms.</w:t>
      </w:r>
    </w:p>
    <w:p>
      <w:pPr>
        <w:spacing w:after="0" w:line="74" w:lineRule="exact"/>
        <w:rPr>
          <w:sz w:val="20"/>
          <w:szCs w:val="20"/>
          <w:color w:val="auto"/>
        </w:rPr>
      </w:pPr>
    </w:p>
    <w:p>
      <w:pPr>
        <w:ind w:left="100" w:right="40"/>
        <w:spacing w:after="0" w:line="278" w:lineRule="auto"/>
        <w:rPr>
          <w:sz w:val="20"/>
          <w:szCs w:val="20"/>
          <w:color w:val="auto"/>
        </w:rPr>
      </w:pPr>
      <w:r>
        <w:rPr>
          <w:rFonts w:ascii="Arial" w:cs="Arial" w:eastAsia="Arial" w:hAnsi="Arial"/>
          <w:sz w:val="16"/>
          <w:szCs w:val="16"/>
          <w:color w:val="auto"/>
        </w:rPr>
        <w:t>On July 23, 2017 and January 18, 2018, we entered into a series of agreements with NRZ that collectively modify, supplement and supersede the arrangements among the parties as set forth in the Original Rights to MSRs Agreements. The July 23, 2017 agreements, as amended, include a Master Agreement, a Transfer Agreement and the Subservicing Agreement between Ocwen and New Residential Mortgage LLC (NRM), a subsidiary of NRZ, relating to non-Agency loans (the NRM Subservicing Agreement) (collectively, the 2017 Agreements) pursuant to which the parties agreed, among other things, to undertake certain actions to facilitate the transfer from Ocwen to NRZ of Ocwen’s legal title to the remaining MSRs that were subject to the Original Rights to MSRs Agreements and under which Ocwen would subservice mortgage loans underlying the MSRs for an initial term ending in July 2022 (the Initial Term).</w:t>
      </w:r>
    </w:p>
    <w:p>
      <w:pPr>
        <w:spacing w:after="0" w:line="65" w:lineRule="exact"/>
        <w:rPr>
          <w:sz w:val="20"/>
          <w:szCs w:val="20"/>
          <w:color w:val="auto"/>
        </w:rPr>
      </w:pPr>
    </w:p>
    <w:p>
      <w:pPr>
        <w:ind w:left="100"/>
        <w:spacing w:after="0" w:line="259" w:lineRule="auto"/>
        <w:rPr>
          <w:sz w:val="20"/>
          <w:szCs w:val="20"/>
          <w:color w:val="auto"/>
        </w:rPr>
      </w:pPr>
      <w:r>
        <w:rPr>
          <w:rFonts w:ascii="Arial" w:cs="Arial" w:eastAsia="Arial" w:hAnsi="Arial"/>
          <w:sz w:val="17"/>
          <w:szCs w:val="17"/>
          <w:color w:val="auto"/>
        </w:rPr>
        <w:t>On January 18, 2018, the parties entered into new agreements (including a New RMSR Agreement, with an attached Servicing Addendum) regarding the Rights to MSRs related to MSRs that remained subject to the Original Rights to MSRs Agreements as of January 1, 2018 and amended the Transfer Agreement (collectively, New RMSR Agreements) to accelerate the implementation of certain parts of our arrangements in order to achieve the intent of the 2017 Agreements sooner. Under the new agreements, following receipt of the required consents and transfer of the MSRs, Ocwen subservices the mortgage loans underlying the transferred MSRs pursuant to the 2017 Agreements and the August 2018 subservicing agreement with NewRez LLC dba Shellpoint Mortgage Servicing (Shellpoint) described below.</w:t>
      </w:r>
    </w:p>
    <w:p>
      <w:pPr>
        <w:spacing w:after="0" w:line="78" w:lineRule="exact"/>
        <w:rPr>
          <w:sz w:val="20"/>
          <w:szCs w:val="20"/>
          <w:color w:val="auto"/>
        </w:rPr>
      </w:pPr>
    </w:p>
    <w:p>
      <w:pPr>
        <w:ind w:left="100" w:right="20"/>
        <w:spacing w:after="0" w:line="263" w:lineRule="auto"/>
        <w:rPr>
          <w:sz w:val="20"/>
          <w:szCs w:val="20"/>
          <w:color w:val="auto"/>
        </w:rPr>
      </w:pPr>
      <w:r>
        <w:rPr>
          <w:rFonts w:ascii="Arial" w:cs="Arial" w:eastAsia="Arial" w:hAnsi="Arial"/>
          <w:sz w:val="17"/>
          <w:szCs w:val="17"/>
          <w:color w:val="auto"/>
        </w:rPr>
        <w:t>On August 17, 2018, Ocwen and NRZ entered into certain amendments (i) to the New RMSR Agreements to include Shellpoint, a subsidiary of NRZ, as a party to which legal title to the MSRs could be transferred after related consents are received, (ii) to add a Subservicing Agreement between Ocwen and Shellpoint relating to non-Agency loans (the Shellpoint Subservicing Agreement), (iii) to add an Agency Subservicing Agreement between Ocwen and NRM relating to Agency loans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wp:posOffset>
            </wp:positionH>
            <wp:positionV relativeFrom="paragraph">
              <wp:posOffset>67945</wp:posOffset>
            </wp:positionV>
            <wp:extent cx="716343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340"/>
          </w:cols>
          <w:pgMar w:left="220" w:top="1038" w:right="339" w:bottom="1440" w:gutter="0" w:footer="0" w:header="0"/>
        </w:sectPr>
      </w:pPr>
    </w:p>
    <w:bookmarkStart w:id="30" w:name="page31"/>
    <w:bookmarkEnd w:id="30"/>
    <w:p>
      <w:pPr>
        <w:ind w:right="400"/>
        <w:spacing w:after="0" w:line="283" w:lineRule="auto"/>
        <w:rPr>
          <w:sz w:val="20"/>
          <w:szCs w:val="20"/>
          <w:color w:val="auto"/>
        </w:rPr>
      </w:pPr>
      <w:r>
        <w:rPr>
          <w:rFonts w:ascii="Arial" w:cs="Arial" w:eastAsia="Arial" w:hAnsi="Arial"/>
          <w:sz w:val="17"/>
          <w:szCs w:val="17"/>
          <w:color w:val="auto"/>
        </w:rPr>
        <w:t>(the Agency Subservicing Agreement), and (iv) to conform the New RMSR Agreements and the NRM Subservicing Agreement to certain of the terms of the Shellpoint Subservicing Agreement and the Agency Subservicing Agreement.</w:t>
      </w:r>
    </w:p>
    <w:p>
      <w:pPr>
        <w:spacing w:after="0" w:line="56" w:lineRule="exact"/>
        <w:rPr>
          <w:sz w:val="20"/>
          <w:szCs w:val="20"/>
          <w:color w:val="auto"/>
        </w:rPr>
      </w:pPr>
    </w:p>
    <w:p>
      <w:pPr>
        <w:spacing w:after="0"/>
        <w:rPr>
          <w:sz w:val="20"/>
          <w:szCs w:val="20"/>
          <w:color w:val="auto"/>
        </w:rPr>
      </w:pPr>
      <w:r>
        <w:rPr>
          <w:rFonts w:ascii="Arial" w:cs="Arial" w:eastAsia="Arial" w:hAnsi="Arial"/>
          <w:sz w:val="15"/>
          <w:szCs w:val="15"/>
          <w:color w:val="auto"/>
        </w:rPr>
        <w:t>On May 2, 2022, Ocwen entered into amendments to the following three agreements with certain subsidiaries of NRZ: (a) the Shellpoint Subservicing Agreement;</w:t>
      </w:r>
    </w:p>
    <w:p>
      <w:pPr>
        <w:spacing w:after="0" w:line="47" w:lineRule="exact"/>
        <w:rPr>
          <w:sz w:val="20"/>
          <w:szCs w:val="20"/>
          <w:color w:val="auto"/>
        </w:rPr>
      </w:pPr>
    </w:p>
    <w:p>
      <w:pPr>
        <w:ind w:firstLine="3"/>
        <w:spacing w:after="0" w:line="273" w:lineRule="auto"/>
        <w:tabs>
          <w:tab w:leader="none" w:pos="244"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NRM Subservicing Agreement; and (c) the New RMSR Agreement, including the attached Servicing Addendum, dated as of January 18, 2018 with NRM, HLLS Holdings, LLC and HLSS MSR – EBO Acquisition LLC (the New RMSR Agreement or the Servicing Addendum). The amendments modified the terms of the Subservicing Agreements and the Servicing Addendum as follows: (i) the term of each Agreement was extended to December 31, 2023 (“Second Term”), with the Initial Term ending on May 1, 2022 and the Second Term beginning on May 2,2022; (ii) subsequent term extensions will be automatic one-year renewals, unless Ocwen provides six months’ advance notice of termination (by July 1), or the NRZ parties provide three months’ advance notice of termination (by October 1) at the end of the then-current term as described below; and (iii) the parties will share a portion of some ancillary revenues. In addition, the amendments provided for certain immaterial modifications and clarifications of existing terms. The amendments on May 2, 2022 do not result in the prior transfers of MSR from Ocwen to NRZ qualifying for sale accounting prior to December 31, 2023, absent any subsequent amendment.</w:t>
      </w:r>
    </w:p>
    <w:p>
      <w:pPr>
        <w:spacing w:after="0" w:line="70" w:lineRule="exact"/>
        <w:rPr>
          <w:sz w:val="20"/>
          <w:szCs w:val="20"/>
          <w:color w:val="auto"/>
        </w:rPr>
      </w:pPr>
    </w:p>
    <w:p>
      <w:pPr>
        <w:ind w:right="80"/>
        <w:spacing w:after="0" w:line="285" w:lineRule="auto"/>
        <w:rPr>
          <w:sz w:val="20"/>
          <w:szCs w:val="20"/>
          <w:color w:val="auto"/>
        </w:rPr>
      </w:pPr>
      <w:r>
        <w:rPr>
          <w:rFonts w:ascii="Arial" w:cs="Arial" w:eastAsia="Arial" w:hAnsi="Arial"/>
          <w:sz w:val="16"/>
          <w:szCs w:val="16"/>
          <w:color w:val="auto"/>
        </w:rPr>
        <w:t>Under the terms of the Subservicing Agreements and Servicing Addendum, as amended, in addition to a base servicing fee, Ocwen receives certain ancillary fees, primarily late fees, loan modification fees and convenience or other loan collection fees, where permitted. We may also receive certain incentive fees or pay penalties tied to various contractual performance metrics. NRZ receives all float earnings and deferred servicing fees related to delinquent borrower payments, as well as being entitled to receive a portion of some ancillary revenues and certain REO related income including REO referral commissions.</w:t>
      </w:r>
    </w:p>
    <w:p>
      <w:pPr>
        <w:spacing w:after="0" w:line="56" w:lineRule="exact"/>
        <w:rPr>
          <w:sz w:val="20"/>
          <w:szCs w:val="20"/>
          <w:color w:val="auto"/>
        </w:rPr>
      </w:pPr>
    </w:p>
    <w:p>
      <w:pPr>
        <w:ind w:right="60"/>
        <w:spacing w:after="0" w:line="309" w:lineRule="auto"/>
        <w:rPr>
          <w:sz w:val="20"/>
          <w:szCs w:val="20"/>
          <w:color w:val="auto"/>
        </w:rPr>
      </w:pPr>
      <w:r>
        <w:rPr>
          <w:rFonts w:ascii="Arial" w:cs="Arial" w:eastAsia="Arial" w:hAnsi="Arial"/>
          <w:sz w:val="15"/>
          <w:szCs w:val="15"/>
          <w:color w:val="auto"/>
        </w:rPr>
        <w:t>Pursuant to the amendments noted above, the Subservicing Agreements and Servicing Addendum may be terminated by Ocwen or NRZ without cause (in effect a non-renewal) by providing notice in advance of the end of the Second Term or the end of each one-year extension of the applicable terms after the Second Term. Ocwen must provide a notice of termination by July 1, 2023, with respect to the Second Term or by July 1 of each one-year extended term after the Second Term and NRZ must provide notice by October 1, 2023 with respect to the Second Term or by October 1 of each one-year extended term after the Second Term.</w:t>
      </w:r>
    </w:p>
    <w:p>
      <w:pPr>
        <w:spacing w:after="0" w:line="42" w:lineRule="exact"/>
        <w:rPr>
          <w:sz w:val="20"/>
          <w:szCs w:val="20"/>
          <w:color w:val="auto"/>
        </w:rPr>
      </w:pPr>
    </w:p>
    <w:p>
      <w:pPr>
        <w:ind w:right="180"/>
        <w:spacing w:after="0" w:line="263" w:lineRule="auto"/>
        <w:rPr>
          <w:sz w:val="20"/>
          <w:szCs w:val="20"/>
          <w:color w:val="auto"/>
        </w:rPr>
      </w:pPr>
      <w:r>
        <w:rPr>
          <w:rFonts w:ascii="Arial" w:cs="Arial" w:eastAsia="Arial" w:hAnsi="Arial"/>
          <w:sz w:val="17"/>
          <w:szCs w:val="17"/>
          <w:color w:val="auto"/>
        </w:rPr>
        <w:t>In addition, NRZ and Ocwen have the ability to terminate the Subservicing Agreements and Servicing Addendum for cause if certain specified conditions occur. The terminations must be terminations in whole (i.e., cover all the loans under the relevant Subservicing Agreement or Servicing Addendum) and not in part, except for limited circumstances specified in the agreements. In addition, if NRZ terminates any of the NRM or Shellpoint Subservicing Agreements or the Servicing Addendum for cause, the other agreements will also terminate automatically.</w:t>
      </w:r>
    </w:p>
    <w:p>
      <w:pPr>
        <w:spacing w:after="0" w:line="73" w:lineRule="exact"/>
        <w:rPr>
          <w:sz w:val="20"/>
          <w:szCs w:val="20"/>
          <w:color w:val="auto"/>
        </w:rPr>
      </w:pPr>
    </w:p>
    <w:p>
      <w:pPr>
        <w:spacing w:after="0" w:line="300" w:lineRule="auto"/>
        <w:rPr>
          <w:sz w:val="20"/>
          <w:szCs w:val="20"/>
          <w:color w:val="auto"/>
        </w:rPr>
      </w:pPr>
      <w:r>
        <w:rPr>
          <w:rFonts w:ascii="Arial" w:cs="Arial" w:eastAsia="Arial" w:hAnsi="Arial"/>
          <w:sz w:val="15"/>
          <w:szCs w:val="15"/>
          <w:color w:val="auto"/>
        </w:rPr>
        <w:t>As of June 30, 2022, the UPB of MSRs subject to the Servicing Agreements and the New RMSR Agreements is $51.7 billion, including $11.3 billion for which title has not transferred to NRZ. As the third-party consents required for title to the MSRs to transfer were not obtained by May 31, 2019, the New RMSR Agreements set forth a process under which NRZ’s $11.3 billion Rights to MSRs may (i) be acquired by Ocwen at a price determined in accordance with the terms of the New RMSR Agreements, at the option of Ocwen, or (ii) be sold, together with Ocwen’s title to those MSRs, to a third party in accordance with the terms of the New RMSR Agreements, subject to an additional Ocwen option to acquire at a price based on the winning third-party bid rather than selling to the third party. If the Rights to MSRs are not transferred pursuant to these alternatives, then the Rights to MSRs will remain subject to the New RMSR Agreements.</w:t>
      </w:r>
    </w:p>
    <w:p>
      <w:pPr>
        <w:spacing w:after="0" w:line="50" w:lineRule="exact"/>
        <w:rPr>
          <w:sz w:val="20"/>
          <w:szCs w:val="20"/>
          <w:color w:val="auto"/>
        </w:rPr>
      </w:pPr>
    </w:p>
    <w:p>
      <w:pPr>
        <w:ind w:right="20"/>
        <w:spacing w:after="0" w:line="274" w:lineRule="auto"/>
        <w:rPr>
          <w:sz w:val="20"/>
          <w:szCs w:val="20"/>
          <w:color w:val="auto"/>
        </w:rPr>
      </w:pPr>
      <w:r>
        <w:rPr>
          <w:rFonts w:ascii="Arial" w:cs="Arial" w:eastAsia="Arial" w:hAnsi="Arial"/>
          <w:sz w:val="16"/>
          <w:szCs w:val="16"/>
          <w:color w:val="auto"/>
        </w:rPr>
        <w:t>As stated above, NRZ has the right to terminate the $11.3 billion New RMSR Agreements for convenience, in whole but not in part, subject to approximately three months’ advance notice of termination at the end of the Second Term or the end of the then-applicable annual extended term. If NRZ exercises this termination right, NRZ has the option of seeking (i) the transfer of the MSRs through a sale to a third party of its Rights to MSRs (together with a transfer of Ocwen’s title to those MSRs) or (ii) a substitute RMSR arrangement that substantially replicates the Rights to MSRs structure (a Substitute RMSR Arrangement) under which we would transfer title to the MSRs to a successor servicer and NRZ would continue to own the economic rights and obligations related to the MSRs. In the case of option (i), we have a purchase option as specified in the New RMSR Agreements. If NRZ is not able to sell the Rights to MSRs or establish a Substitute RMSR Arrangement with another servicer, NRZ has the right to revoke its termination notice and re-instate the Servicing Addendum or to establish a subservicing arrangement whereby the MSRs remaining subject to the New RMSR Agreements would be transferred to up to three subservicers who would subservice under Ocwen’s oversight. If such a subservicing arrangement were established, Ocwen would receive an oversight fee and reimbursement of expenses. We may also agree on alternative arrangements that are not contemplated under our existing agreements or that are variations of those contemplated under our existing agreements.</w:t>
      </w: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7" w:right="339" w:bottom="1440" w:gutter="0" w:footer="0" w:header="0"/>
        </w:sectPr>
      </w:pPr>
    </w:p>
    <w:bookmarkStart w:id="31" w:name="page32"/>
    <w:bookmarkEnd w:id="31"/>
    <w:p>
      <w:pPr>
        <w:ind w:left="40"/>
        <w:spacing w:after="0"/>
        <w:rPr>
          <w:sz w:val="20"/>
          <w:szCs w:val="20"/>
          <w:color w:val="auto"/>
        </w:rPr>
      </w:pPr>
      <w:r>
        <w:rPr>
          <w:rFonts w:ascii="Arial" w:cs="Arial" w:eastAsia="Arial" w:hAnsi="Arial"/>
          <w:sz w:val="17"/>
          <w:szCs w:val="17"/>
          <w:b w:val="1"/>
          <w:bCs w:val="1"/>
          <w:color w:val="auto"/>
        </w:rPr>
        <w:t>Note 9 – Receivables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84455</wp:posOffset>
            </wp:positionV>
            <wp:extent cx="712152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gridSpan w:val="2"/>
          </w:tcPr>
          <w:p>
            <w:pPr>
              <w:ind w:left="80"/>
              <w:spacing w:after="0"/>
              <w:rPr>
                <w:sz w:val="20"/>
                <w:szCs w:val="20"/>
                <w:color w:val="auto"/>
              </w:rPr>
            </w:pPr>
            <w:r>
              <w:rPr>
                <w:rFonts w:ascii="Arial" w:cs="Arial" w:eastAsia="Arial" w:hAnsi="Arial"/>
                <w:sz w:val="17"/>
                <w:szCs w:val="17"/>
                <w:b w:val="1"/>
                <w:bCs w:val="1"/>
                <w:color w:val="auto"/>
              </w:rPr>
              <w:t>June 30, 2022</w:t>
            </w:r>
          </w:p>
        </w:tc>
        <w:tc>
          <w:tcPr>
            <w:tcW w:w="1560" w:type="dxa"/>
            <w:vAlign w:val="bottom"/>
            <w:gridSpan w:val="2"/>
          </w:tcPr>
          <w:p>
            <w:pPr>
              <w:jc w:val="right"/>
              <w:spacing w:after="0"/>
              <w:rPr>
                <w:sz w:val="20"/>
                <w:szCs w:val="20"/>
                <w:color w:val="auto"/>
              </w:rPr>
            </w:pPr>
            <w:r>
              <w:rPr>
                <w:rFonts w:ascii="Arial" w:cs="Arial" w:eastAsia="Arial" w:hAnsi="Arial"/>
                <w:sz w:val="17"/>
                <w:szCs w:val="17"/>
                <w:b w:val="1"/>
                <w:bCs w:val="1"/>
                <w:color w:val="auto"/>
                <w:w w:val="95"/>
              </w:rPr>
              <w:t>December 31, 2021</w:t>
            </w:r>
          </w:p>
        </w:tc>
      </w:tr>
      <w:tr>
        <w:trPr>
          <w:trHeight w:val="200"/>
        </w:trPr>
        <w:tc>
          <w:tcPr>
            <w:tcW w:w="8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Servicing-related receivables:</w:t>
            </w:r>
          </w:p>
        </w:tc>
        <w:tc>
          <w:tcPr>
            <w:tcW w:w="18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r>
      <w:tr>
        <w:trPr>
          <w:trHeight w:val="220"/>
        </w:trPr>
        <w:tc>
          <w:tcPr>
            <w:tcW w:w="8060" w:type="dxa"/>
            <w:vAlign w:val="bottom"/>
          </w:tcPr>
          <w:p>
            <w:pPr>
              <w:ind w:left="140"/>
              <w:spacing w:after="0"/>
              <w:rPr>
                <w:sz w:val="20"/>
                <w:szCs w:val="20"/>
                <w:color w:val="auto"/>
              </w:rPr>
            </w:pPr>
            <w:r>
              <w:rPr>
                <w:rFonts w:ascii="Arial" w:cs="Arial" w:eastAsia="Arial" w:hAnsi="Arial"/>
                <w:sz w:val="17"/>
                <w:szCs w:val="17"/>
                <w:color w:val="auto"/>
              </w:rPr>
              <w:t>Government-insured loan claims - Forward</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78,956</w:t>
            </w:r>
          </w:p>
        </w:tc>
        <w:tc>
          <w:tcPr>
            <w:tcW w:w="100" w:type="dxa"/>
            <w:vAlign w:val="bottom"/>
          </w:tcPr>
          <w:p>
            <w:pPr>
              <w:spacing w:after="0"/>
              <w:rPr>
                <w:sz w:val="19"/>
                <w:szCs w:val="19"/>
                <w:color w:val="auto"/>
              </w:rPr>
            </w:pPr>
          </w:p>
        </w:tc>
        <w:tc>
          <w:tcPr>
            <w:tcW w:w="520" w:type="dxa"/>
            <w:vAlign w:val="bottom"/>
          </w:tcPr>
          <w:p>
            <w:pPr>
              <w:jc w:val="right"/>
              <w:ind w:right="334"/>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90,603</w:t>
            </w:r>
          </w:p>
        </w:tc>
      </w:tr>
      <w:tr>
        <w:trPr>
          <w:trHeight w:val="220"/>
        </w:trPr>
        <w:tc>
          <w:tcPr>
            <w:tcW w:w="80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Government-insured loan claims - Reverse</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45,394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39,895</w:t>
            </w:r>
          </w:p>
        </w:tc>
      </w:tr>
      <w:tr>
        <w:trPr>
          <w:trHeight w:val="220"/>
        </w:trPr>
        <w:tc>
          <w:tcPr>
            <w:tcW w:w="8060" w:type="dxa"/>
            <w:vAlign w:val="bottom"/>
          </w:tcPr>
          <w:p>
            <w:pPr>
              <w:ind w:left="140"/>
              <w:spacing w:after="0"/>
              <w:rPr>
                <w:sz w:val="20"/>
                <w:szCs w:val="20"/>
                <w:color w:val="auto"/>
              </w:rPr>
            </w:pPr>
            <w:r>
              <w:rPr>
                <w:rFonts w:ascii="Arial" w:cs="Arial" w:eastAsia="Arial" w:hAnsi="Arial"/>
                <w:sz w:val="17"/>
                <w:szCs w:val="17"/>
                <w:color w:val="auto"/>
              </w:rPr>
              <w:t>Due from custodial accounts</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20,792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7,777</w:t>
            </w:r>
          </w:p>
        </w:tc>
      </w:tr>
      <w:tr>
        <w:trPr>
          <w:trHeight w:val="220"/>
        </w:trPr>
        <w:tc>
          <w:tcPr>
            <w:tcW w:w="80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Receivable from sale of MSRs (holdback)</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14,933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8060" w:type="dxa"/>
            <w:vAlign w:val="bottom"/>
          </w:tcPr>
          <w:p>
            <w:pPr>
              <w:ind w:left="140"/>
              <w:spacing w:after="0"/>
              <w:rPr>
                <w:sz w:val="20"/>
                <w:szCs w:val="20"/>
                <w:color w:val="auto"/>
              </w:rPr>
            </w:pPr>
            <w:r>
              <w:rPr>
                <w:rFonts w:ascii="Arial" w:cs="Arial" w:eastAsia="Arial" w:hAnsi="Arial"/>
                <w:sz w:val="17"/>
                <w:szCs w:val="17"/>
                <w:color w:val="auto"/>
              </w:rPr>
              <w:t>Reimbursable expenses</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6,063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6,056</w:t>
            </w:r>
          </w:p>
        </w:tc>
      </w:tr>
      <w:tr>
        <w:trPr>
          <w:trHeight w:val="220"/>
        </w:trPr>
        <w:tc>
          <w:tcPr>
            <w:tcW w:w="80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Servicing fees</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6,813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6,662</w:t>
            </w:r>
          </w:p>
        </w:tc>
      </w:tr>
      <w:tr>
        <w:trPr>
          <w:trHeight w:val="220"/>
        </w:trPr>
        <w:tc>
          <w:tcPr>
            <w:tcW w:w="8060" w:type="dxa"/>
            <w:vAlign w:val="bottom"/>
          </w:tcPr>
          <w:p>
            <w:pPr>
              <w:ind w:left="140"/>
              <w:spacing w:after="0"/>
              <w:rPr>
                <w:sz w:val="20"/>
                <w:szCs w:val="20"/>
                <w:color w:val="auto"/>
              </w:rPr>
            </w:pPr>
            <w:r>
              <w:rPr>
                <w:rFonts w:ascii="Arial" w:cs="Arial" w:eastAsia="Arial" w:hAnsi="Arial"/>
                <w:sz w:val="17"/>
                <w:szCs w:val="17"/>
                <w:color w:val="auto"/>
              </w:rPr>
              <w:t>Subservicing fees, reimbursable expenses and other - Due from MAV</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4,765</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4,933</w:t>
            </w:r>
          </w:p>
        </w:tc>
      </w:tr>
      <w:tr>
        <w:trPr>
          <w:trHeight w:val="220"/>
        </w:trPr>
        <w:tc>
          <w:tcPr>
            <w:tcW w:w="80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Subservicing fees and reimbursable expenses - Due from NRZ</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1,932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3,781</w:t>
            </w:r>
          </w:p>
        </w:tc>
      </w:tr>
      <w:tr>
        <w:trPr>
          <w:trHeight w:val="220"/>
        </w:trPr>
        <w:tc>
          <w:tcPr>
            <w:tcW w:w="806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Other</w:t>
            </w: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1,706</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1,223</w:t>
            </w:r>
          </w:p>
        </w:tc>
      </w:tr>
      <w:tr>
        <w:trPr>
          <w:trHeight w:val="213"/>
        </w:trPr>
        <w:tc>
          <w:tcPr>
            <w:tcW w:w="8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181,354</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160,930</w:t>
            </w:r>
          </w:p>
        </w:tc>
      </w:tr>
      <w:tr>
        <w:trPr>
          <w:trHeight w:val="220"/>
        </w:trPr>
        <w:tc>
          <w:tcPr>
            <w:tcW w:w="8060" w:type="dxa"/>
            <w:vAlign w:val="bottom"/>
          </w:tcPr>
          <w:p>
            <w:pPr>
              <w:ind w:left="20"/>
              <w:spacing w:after="0"/>
              <w:rPr>
                <w:sz w:val="20"/>
                <w:szCs w:val="20"/>
                <w:color w:val="auto"/>
              </w:rPr>
            </w:pPr>
            <w:r>
              <w:rPr>
                <w:rFonts w:ascii="Arial" w:cs="Arial" w:eastAsia="Arial" w:hAnsi="Arial"/>
                <w:sz w:val="17"/>
                <w:szCs w:val="17"/>
                <w:color w:val="auto"/>
              </w:rPr>
              <w:t>Income taxes receivable</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30,757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56,776</w:t>
            </w:r>
          </w:p>
        </w:tc>
      </w:tr>
      <w:tr>
        <w:trPr>
          <w:trHeight w:val="220"/>
        </w:trPr>
        <w:tc>
          <w:tcPr>
            <w:tcW w:w="8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Due from MAV</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990</w:t>
            </w:r>
          </w:p>
        </w:tc>
      </w:tr>
      <w:tr>
        <w:trPr>
          <w:trHeight w:val="220"/>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receivables</w:t>
            </w: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5,489</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3,760</w:t>
            </w:r>
          </w:p>
        </w:tc>
      </w:tr>
      <w:tr>
        <w:trPr>
          <w:trHeight w:val="213"/>
        </w:trPr>
        <w:tc>
          <w:tcPr>
            <w:tcW w:w="8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218,574</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222,456</w:t>
            </w:r>
          </w:p>
        </w:tc>
      </w:tr>
      <w:tr>
        <w:trPr>
          <w:trHeight w:val="220"/>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Allowance for losses</w:t>
            </w: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(40,094)</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(41,749)</w:t>
            </w:r>
          </w:p>
        </w:tc>
      </w:tr>
      <w:tr>
        <w:trPr>
          <w:trHeight w:val="238"/>
        </w:trPr>
        <w:tc>
          <w:tcPr>
            <w:tcW w:w="80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178,480</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34"/>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180,707</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spacing w:after="0" w:line="295" w:lineRule="auto"/>
        <w:rPr>
          <w:sz w:val="20"/>
          <w:szCs w:val="20"/>
          <w:color w:val="auto"/>
        </w:rPr>
      </w:pPr>
      <w:r>
        <w:rPr>
          <w:rFonts w:ascii="Arial" w:cs="Arial" w:eastAsia="Arial" w:hAnsi="Arial"/>
          <w:sz w:val="15"/>
          <w:szCs w:val="15"/>
          <w:color w:val="auto"/>
        </w:rPr>
        <w:t>At June 30, 2022 and December 31, 2021, the allowance for losses primarily related to receivables of our Servicing business. The allowance for losses related to FHA-, VA- or USDA insured loans repurchased from Ginnie Mae guaranteed securitizations (government-insured claims) was $39.8 million and $41.5 million at June 30, 2022 and December 31, 2021, respectively. The government-insured claims that do not exceed HUD, VA, FHA or USDA insurance limits are not subject to any allowance for losses as guaranteed by the U.S. government. The receivable amount in excess of the guaranteed claim limits or recoverable amounts per insurer guidelines or as a result of servicer error, such as exceeding key filing or foreclosure timelines, is subject to an allowance for losses. Receivables are financial assets subject to the credit loss allowance model under ASC 326: Financial Instruments - Credit Losses (CECL). The allowance for expected credit losses is estimated based on relevant qualitative and quantitative information about past events, including historical collection and loss experience, current conditions, and reasonable and supportable forecasts that affect collectability. We generally charge off the receivable balance when management determines the receivable to be uncollectible and when the receivable has been classified as a loss by our servicing claims analysis process.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980" w:type="dxa"/>
            <w:vAlign w:val="bottom"/>
            <w:gridSpan w:val="5"/>
          </w:tcPr>
          <w:p>
            <w:pPr>
              <w:ind w:left="180"/>
              <w:spacing w:after="0"/>
              <w:rPr>
                <w:sz w:val="20"/>
                <w:szCs w:val="20"/>
                <w:color w:val="auto"/>
              </w:rPr>
            </w:pPr>
            <w:r>
              <w:rPr>
                <w:rFonts w:ascii="Arial" w:cs="Arial" w:eastAsia="Arial" w:hAnsi="Arial"/>
                <w:sz w:val="17"/>
                <w:szCs w:val="17"/>
                <w:b w:val="1"/>
                <w:bCs w:val="1"/>
                <w:color w:val="auto"/>
              </w:rPr>
              <w:t>Three Months Ended June 30,</w:t>
            </w:r>
          </w:p>
        </w:tc>
        <w:tc>
          <w:tcPr>
            <w:tcW w:w="320" w:type="dxa"/>
            <w:vAlign w:val="bottom"/>
          </w:tcPr>
          <w:p>
            <w:pPr>
              <w:spacing w:after="0"/>
              <w:rPr>
                <w:sz w:val="19"/>
                <w:szCs w:val="19"/>
                <w:color w:val="auto"/>
              </w:rPr>
            </w:pPr>
          </w:p>
        </w:tc>
        <w:tc>
          <w:tcPr>
            <w:tcW w:w="2820" w:type="dxa"/>
            <w:vAlign w:val="bottom"/>
            <w:gridSpan w:val="4"/>
          </w:tcPr>
          <w:p>
            <w:pPr>
              <w:jc w:val="right"/>
              <w:ind w:right="474"/>
              <w:spacing w:after="0"/>
              <w:rPr>
                <w:sz w:val="20"/>
                <w:szCs w:val="20"/>
                <w:color w:val="auto"/>
              </w:rPr>
            </w:pPr>
            <w:r>
              <w:rPr>
                <w:rFonts w:ascii="Arial" w:cs="Arial" w:eastAsia="Arial" w:hAnsi="Arial"/>
                <w:sz w:val="17"/>
                <w:szCs w:val="17"/>
                <w:b w:val="1"/>
                <w:bCs w:val="1"/>
                <w:color w:val="auto"/>
              </w:rPr>
              <w:t>Six Months Ended June 30,</w:t>
            </w:r>
          </w:p>
        </w:tc>
      </w:tr>
      <w:tr>
        <w:trPr>
          <w:trHeight w:val="225"/>
        </w:trPr>
        <w:tc>
          <w:tcPr>
            <w:tcW w:w="4840" w:type="dxa"/>
            <w:vAlign w:val="bottom"/>
            <w:tcBorders>
              <w:bottom w:val="single" w:sz="8" w:color="CCEEFF"/>
            </w:tcBorders>
          </w:tcPr>
          <w:p>
            <w:pPr>
              <w:ind w:left="20"/>
              <w:spacing w:after="0"/>
              <w:rPr>
                <w:sz w:val="20"/>
                <w:szCs w:val="20"/>
                <w:color w:val="auto"/>
              </w:rPr>
            </w:pPr>
            <w:r>
              <w:rPr>
                <w:rFonts w:ascii="Arial" w:cs="Arial" w:eastAsia="Arial" w:hAnsi="Arial"/>
                <w:sz w:val="17"/>
                <w:szCs w:val="17"/>
                <w:b w:val="1"/>
                <w:bCs w:val="1"/>
                <w:color w:val="auto"/>
              </w:rPr>
              <w:t>Allowance for Losses - Government-Insured Loan Claims</w:t>
            </w:r>
          </w:p>
        </w:tc>
        <w:tc>
          <w:tcPr>
            <w:tcW w:w="28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7"/>
                <w:szCs w:val="17"/>
                <w:b w:val="1"/>
                <w:bCs w:val="1"/>
                <w:color w:val="auto"/>
              </w:rPr>
              <w:t>2021</w:t>
            </w:r>
          </w:p>
        </w:tc>
        <w:tc>
          <w:tcPr>
            <w:tcW w:w="12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7"/>
                <w:szCs w:val="17"/>
                <w:b w:val="1"/>
                <w:bCs w:val="1"/>
                <w:color w:val="auto"/>
              </w:rPr>
              <w:t>2021</w:t>
            </w:r>
          </w:p>
        </w:tc>
      </w:tr>
      <w:tr>
        <w:trPr>
          <w:trHeight w:val="213"/>
        </w:trPr>
        <w:tc>
          <w:tcPr>
            <w:tcW w:w="48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Beginning balance</w:t>
            </w: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40,836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40,437</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41,495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38,339</w:t>
            </w:r>
          </w:p>
        </w:tc>
      </w:tr>
      <w:tr>
        <w:trPr>
          <w:trHeight w:val="220"/>
        </w:trPr>
        <w:tc>
          <w:tcPr>
            <w:tcW w:w="4840" w:type="dxa"/>
            <w:vAlign w:val="bottom"/>
          </w:tcPr>
          <w:p>
            <w:pPr>
              <w:ind w:left="140"/>
              <w:spacing w:after="0"/>
              <w:rPr>
                <w:sz w:val="20"/>
                <w:szCs w:val="20"/>
                <w:color w:val="auto"/>
              </w:rPr>
            </w:pPr>
            <w:r>
              <w:rPr>
                <w:rFonts w:ascii="Arial" w:cs="Arial" w:eastAsia="Arial" w:hAnsi="Arial"/>
                <w:sz w:val="17"/>
                <w:szCs w:val="17"/>
                <w:color w:val="auto"/>
              </w:rPr>
              <w:t>Provision</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3,258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2,579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5,497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7,537</w:t>
            </w:r>
          </w:p>
        </w:tc>
      </w:tr>
      <w:tr>
        <w:trPr>
          <w:trHeight w:val="220"/>
        </w:trPr>
        <w:tc>
          <w:tcPr>
            <w:tcW w:w="48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Charge-offs and other, net</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(4,343)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(1,800)</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(7,241)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(4,660)</w:t>
            </w:r>
          </w:p>
        </w:tc>
      </w:tr>
      <w:tr>
        <w:trPr>
          <w:trHeight w:val="213"/>
        </w:trPr>
        <w:tc>
          <w:tcPr>
            <w:tcW w:w="4840" w:type="dxa"/>
            <w:vAlign w:val="bottom"/>
          </w:tcPr>
          <w:p>
            <w:pPr>
              <w:ind w:left="20"/>
              <w:spacing w:after="0"/>
              <w:rPr>
                <w:sz w:val="20"/>
                <w:szCs w:val="20"/>
                <w:color w:val="auto"/>
              </w:rPr>
            </w:pPr>
            <w:r>
              <w:rPr>
                <w:rFonts w:ascii="Arial" w:cs="Arial" w:eastAsia="Arial" w:hAnsi="Arial"/>
                <w:sz w:val="17"/>
                <w:szCs w:val="17"/>
                <w:b w:val="1"/>
                <w:bCs w:val="1"/>
                <w:color w:val="auto"/>
              </w:rPr>
              <w:t>Ending balance</w:t>
            </w:r>
          </w:p>
        </w:tc>
        <w:tc>
          <w:tcPr>
            <w:tcW w:w="28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39,751</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41,216</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39,751</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41,216</w:t>
            </w:r>
          </w:p>
        </w:tc>
      </w:tr>
      <w:tr>
        <w:trPr>
          <w:trHeight w:val="20"/>
        </w:trPr>
        <w:tc>
          <w:tcPr>
            <w:tcW w:w="48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66"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Note 10 - Investment in Equity Method Investee and Related Party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19050</wp:posOffset>
            </wp:positionV>
            <wp:extent cx="712152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191" w:lineRule="exact"/>
        <w:rPr>
          <w:sz w:val="20"/>
          <w:szCs w:val="20"/>
          <w:color w:val="auto"/>
        </w:rPr>
      </w:pPr>
    </w:p>
    <w:p>
      <w:pPr>
        <w:ind w:right="140"/>
        <w:spacing w:after="0" w:line="292" w:lineRule="auto"/>
        <w:rPr>
          <w:sz w:val="20"/>
          <w:szCs w:val="20"/>
          <w:color w:val="auto"/>
        </w:rPr>
      </w:pPr>
      <w:r>
        <w:rPr>
          <w:rFonts w:ascii="Arial" w:cs="Arial" w:eastAsia="Arial" w:hAnsi="Arial"/>
          <w:sz w:val="16"/>
          <w:szCs w:val="16"/>
          <w:color w:val="auto"/>
        </w:rPr>
        <w:t>On December 21, 2020, Ocwen entered into a transaction agreement (the Transaction Agreement) with Oaktree Capital Management L.P. and certain affiliates (collectively Oaktree) to form a strategic relationship to invest in MSRs subserviced by PMC. The parties have agreed to invest their pro rata portions of up to an aggregate of $250.0 million in an intermediate holding company, MAV Canopy, held 15% by Ocwen and 85% by Oaktree.</w:t>
      </w:r>
    </w:p>
    <w:p>
      <w:pPr>
        <w:spacing w:after="0" w:line="52" w:lineRule="exact"/>
        <w:rPr>
          <w:sz w:val="20"/>
          <w:szCs w:val="20"/>
          <w:color w:val="auto"/>
        </w:rPr>
      </w:pPr>
    </w:p>
    <w:p>
      <w:pPr>
        <w:ind w:right="260"/>
        <w:spacing w:after="0" w:line="263" w:lineRule="auto"/>
        <w:rPr>
          <w:sz w:val="20"/>
          <w:szCs w:val="20"/>
          <w:color w:val="auto"/>
        </w:rPr>
      </w:pPr>
      <w:r>
        <w:rPr>
          <w:rFonts w:ascii="Arial" w:cs="Arial" w:eastAsia="Arial" w:hAnsi="Arial"/>
          <w:sz w:val="17"/>
          <w:szCs w:val="17"/>
          <w:color w:val="auto"/>
        </w:rPr>
        <w:t>On May 3, 2021, pursuant to the Transaction Agreement, Ocwen contributed 100% of its equity interest in MAV, which had total member’s equity and cash balances of approximately $5.0 million at the time of its contribution, to MAV Canopy. In exchange for its contribution, Ocwen received 15% equity interest of MAV Canopy plus $4.4 million cash consideration from MAV Canopy that was representative of the remaining 85% of MAV. MAV is a licensed mortgage servicing company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349" w:right="339" w:bottom="1440" w:gutter="0" w:footer="0" w:header="0"/>
        </w:sectPr>
      </w:pPr>
    </w:p>
    <w:bookmarkStart w:id="32" w:name="page33"/>
    <w:bookmarkEnd w:id="32"/>
    <w:p>
      <w:pPr>
        <w:spacing w:after="0"/>
        <w:rPr>
          <w:sz w:val="20"/>
          <w:szCs w:val="20"/>
          <w:color w:val="auto"/>
        </w:rPr>
      </w:pPr>
      <w:r>
        <w:rPr>
          <w:rFonts w:ascii="Arial" w:cs="Arial" w:eastAsia="Arial" w:hAnsi="Arial"/>
          <w:sz w:val="16"/>
          <w:szCs w:val="16"/>
          <w:color w:val="auto"/>
        </w:rPr>
        <w:t>approved to purchase GSE MSRs. PMC and MAV entered into a number of definitive agreements which govern the terms of their business relationship:</w:t>
      </w:r>
    </w:p>
    <w:p>
      <w:pPr>
        <w:spacing w:after="0" w:line="126" w:lineRule="exact"/>
        <w:rPr>
          <w:sz w:val="20"/>
          <w:szCs w:val="20"/>
          <w:color w:val="auto"/>
        </w:rPr>
      </w:pPr>
    </w:p>
    <w:p>
      <w:pPr>
        <w:spacing w:after="0" w:line="275" w:lineRule="auto"/>
        <w:rPr>
          <w:sz w:val="20"/>
          <w:szCs w:val="20"/>
          <w:color w:val="auto"/>
        </w:rPr>
      </w:pPr>
      <w:r>
        <w:rPr>
          <w:rFonts w:ascii="Arial" w:cs="Arial" w:eastAsia="Arial" w:hAnsi="Arial"/>
          <w:sz w:val="16"/>
          <w:szCs w:val="16"/>
          <w:i w:val="1"/>
          <w:iCs w:val="1"/>
          <w:color w:val="auto"/>
        </w:rPr>
        <w:t xml:space="preserve">Subservicing Agreement. </w:t>
      </w:r>
      <w:r>
        <w:rPr>
          <w:rFonts w:ascii="Arial" w:cs="Arial" w:eastAsia="Arial" w:hAnsi="Arial"/>
          <w:sz w:val="16"/>
          <w:szCs w:val="16"/>
          <w:color w:val="auto"/>
        </w:rPr>
        <w:t>Effective May 3, 2021, PMC entered into a subservicing agreement with MAV for exclusive rights to service the mortgage loans</w:t>
      </w:r>
      <w:r>
        <w:rPr>
          <w:rFonts w:ascii="Arial" w:cs="Arial" w:eastAsia="Arial" w:hAnsi="Arial"/>
          <w:sz w:val="16"/>
          <w:szCs w:val="16"/>
          <w:i w:val="1"/>
          <w:iCs w:val="1"/>
          <w:color w:val="auto"/>
        </w:rPr>
        <w:t xml:space="preserve"> </w:t>
      </w:r>
      <w:r>
        <w:rPr>
          <w:rFonts w:ascii="Arial" w:cs="Arial" w:eastAsia="Arial" w:hAnsi="Arial"/>
          <w:sz w:val="16"/>
          <w:szCs w:val="16"/>
          <w:color w:val="auto"/>
        </w:rPr>
        <w:t>underlying MSRs owned by MAV in exchange for a per-loan subservicing fee and certain other ancillary fees. The subservicing agreement will continue until terminated by mutual agreement of the parties or for cause, as defined. If either party terminates the agreement for cause, the other party is required to pay certain fees and costs. As of June 30, 2022, PMC subserviced a total $45.1 billion UPB on behalf of MAV, of which $28.5 billion MSR remains reported on the consolidated balance sheet of PMC - see below for information on MSR sales by PMC to MAV that do not achieve sale accounting. Subserviced loans exclude UPB of $1.6 billion that have not yet transferred to our servicing system as of June 30, 2022. Effective March 1, 2022, PMC and MAV amended certain provisions of the subservicing agreement to adjust down the ancillary fee retained by PMC to enhance the competitiveness of MAV when buying MSRs and generate additional subservicing volume to PMC</w:t>
      </w:r>
      <w:r>
        <w:rPr>
          <w:rFonts w:ascii="Arial" w:cs="Arial" w:eastAsia="Arial" w:hAnsi="Arial"/>
          <w:sz w:val="16"/>
          <w:szCs w:val="16"/>
          <w:b w:val="1"/>
          <w:bCs w:val="1"/>
          <w:i w:val="1"/>
          <w:iCs w:val="1"/>
          <w:color w:val="auto"/>
        </w:rPr>
        <w:t>.</w:t>
      </w:r>
      <w:r>
        <w:rPr>
          <w:rFonts w:ascii="Arial" w:cs="Arial" w:eastAsia="Arial" w:hAnsi="Arial"/>
          <w:sz w:val="16"/>
          <w:szCs w:val="16"/>
          <w:color w:val="auto"/>
        </w:rPr>
        <w:t xml:space="preserve"> The amendment resulted in a $14.1 million fair value loss (as a change in the present value of future contractual cash flows) on the Pledged MSR liability that is reported at fair value in the three months ended March 31, 2022.</w:t>
      </w:r>
    </w:p>
    <w:p>
      <w:pPr>
        <w:spacing w:after="0" w:line="67" w:lineRule="exact"/>
        <w:rPr>
          <w:sz w:val="20"/>
          <w:szCs w:val="20"/>
          <w:color w:val="auto"/>
        </w:rPr>
      </w:pPr>
    </w:p>
    <w:p>
      <w:pPr>
        <w:ind w:right="20"/>
        <w:spacing w:after="0" w:line="300" w:lineRule="auto"/>
        <w:rPr>
          <w:sz w:val="20"/>
          <w:szCs w:val="20"/>
          <w:color w:val="auto"/>
        </w:rPr>
      </w:pPr>
      <w:r>
        <w:rPr>
          <w:rFonts w:ascii="Arial" w:cs="Arial" w:eastAsia="Arial" w:hAnsi="Arial"/>
          <w:sz w:val="15"/>
          <w:szCs w:val="15"/>
          <w:i w:val="1"/>
          <w:iCs w:val="1"/>
          <w:color w:val="auto"/>
        </w:rPr>
        <w:t xml:space="preserve">Joint Marketing Agreement and Recapture Agreement. </w:t>
      </w:r>
      <w:r>
        <w:rPr>
          <w:rFonts w:ascii="Arial" w:cs="Arial" w:eastAsia="Arial" w:hAnsi="Arial"/>
          <w:sz w:val="15"/>
          <w:szCs w:val="15"/>
          <w:color w:val="auto"/>
        </w:rPr>
        <w:t>Effective May 3, 2021, in conjunction with the subservicing agreement, PMC and MAV entered into a joint</w:t>
      </w:r>
      <w:r>
        <w:rPr>
          <w:rFonts w:ascii="Arial" w:cs="Arial" w:eastAsia="Arial" w:hAnsi="Arial"/>
          <w:sz w:val="15"/>
          <w:szCs w:val="15"/>
          <w:i w:val="1"/>
          <w:iCs w:val="1"/>
          <w:color w:val="auto"/>
        </w:rPr>
        <w:t xml:space="preserve"> </w:t>
      </w:r>
      <w:r>
        <w:rPr>
          <w:rFonts w:ascii="Arial" w:cs="Arial" w:eastAsia="Arial" w:hAnsi="Arial"/>
          <w:sz w:val="15"/>
          <w:szCs w:val="15"/>
          <w:color w:val="auto"/>
        </w:rPr>
        <w:t>marketing agreement and a flow MSR sale agreement (MSR recapture), whereby PMC is entitled to the exclusive right to solicit and refinance borrowers with loans underlying the MSR owned by MAV, and is obligated to transfer to MAV the MSR associated with the loans so originated. Under the agreements, the parties share the recapture benefits, whereby PMC realizes gains on loans sold and MAV is delivered the recaptured MSR for no cash consideration. The joint marketing agreement and flow MSR sale agreement will continue until terminated by mutual agreement of the parties or for cause, as defined, or at the option of either party if the subservicing agreement is terminated. During the six months ended June 30, 2022, PMC transferred UPB of $191.4 million under this agreement.</w:t>
      </w:r>
    </w:p>
    <w:p>
      <w:pPr>
        <w:spacing w:after="0" w:line="50" w:lineRule="exact"/>
        <w:rPr>
          <w:sz w:val="20"/>
          <w:szCs w:val="20"/>
          <w:color w:val="auto"/>
        </w:rPr>
      </w:pPr>
    </w:p>
    <w:p>
      <w:pPr>
        <w:spacing w:after="0" w:line="257" w:lineRule="auto"/>
        <w:rPr>
          <w:sz w:val="20"/>
          <w:szCs w:val="20"/>
          <w:color w:val="auto"/>
        </w:rPr>
      </w:pPr>
      <w:r>
        <w:rPr>
          <w:rFonts w:ascii="Arial" w:cs="Arial" w:eastAsia="Arial" w:hAnsi="Arial"/>
          <w:sz w:val="17"/>
          <w:szCs w:val="17"/>
          <w:i w:val="1"/>
          <w:iCs w:val="1"/>
          <w:color w:val="auto"/>
        </w:rPr>
        <w:t>Right of First Offer</w:t>
      </w:r>
      <w:r>
        <w:rPr>
          <w:rFonts w:ascii="Arial" w:cs="Arial" w:eastAsia="Arial" w:hAnsi="Arial"/>
          <w:sz w:val="17"/>
          <w:szCs w:val="17"/>
          <w:color w:val="auto"/>
        </w:rPr>
        <w:t>. Following the execution of the Transaction Agreement and until the parties have contributed their pro rata portions of the $250.0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aggregate capital contributions, Ocwen and its affiliates may not acquire, without Oaktree’s prior written approval, GSE MSRs that meet certain underwriting and other criteria (such criteria are referred to as the “buy-box”) unless Ocwen notifies MAV of the opportunity and MAV does not pursue it by submitting a competitive bid to the MSR seller. In addition, until the earlier of (i) the time that MAV has been fully funded and (ii) May 3, 2024 (subject to two annual extensions by mutual agreement), if Ocwen seeks to sell any GSE MSRs that meet the buy-box, Ocwen must first offer such MSRs to MAV before initiating a sale process with a third party. If MAV does not accept Ocwen’s offer, Ocwen may sell the MSRs to a third party on terms no more favorable to the purchaser than those offered to MAV. The price at which Ocwen and its affiliates will offer MSRs to MAV will be based on the valuation of an independent third-party. This first offer provision does not apply to MSRs acquired by PMC prior to May 3, 2021. As of June 30, 2022, MAV’s aggregated capital contributions amounted to $128.4 million, net of distributions.</w:t>
      </w:r>
    </w:p>
    <w:p>
      <w:pPr>
        <w:spacing w:after="0" w:line="8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i w:val="1"/>
          <w:iCs w:val="1"/>
          <w:color w:val="auto"/>
        </w:rPr>
        <w:t xml:space="preserve">Forward Bulk Servicing Rights Purchase and Sale Agreement: </w:t>
      </w:r>
      <w:r>
        <w:rPr>
          <w:rFonts w:ascii="Arial" w:cs="Arial" w:eastAsia="Arial" w:hAnsi="Arial"/>
          <w:sz w:val="17"/>
          <w:szCs w:val="17"/>
          <w:color w:val="auto"/>
        </w:rPr>
        <w:t>On September 9, 2021, PMC and MAV entered into an MSR purchase and sale agreement whereby</w:t>
      </w:r>
      <w:r>
        <w:rPr>
          <w:rFonts w:ascii="Arial" w:cs="Arial" w:eastAsia="Arial" w:hAnsi="Arial"/>
          <w:sz w:val="17"/>
          <w:szCs w:val="17"/>
          <w:i w:val="1"/>
          <w:iCs w:val="1"/>
          <w:color w:val="auto"/>
        </w:rPr>
        <w:t xml:space="preserve"> </w:t>
      </w:r>
      <w:r>
        <w:rPr>
          <w:rFonts w:ascii="Arial" w:cs="Arial" w:eastAsia="Arial" w:hAnsi="Arial"/>
          <w:sz w:val="17"/>
          <w:szCs w:val="17"/>
          <w:color w:val="auto"/>
        </w:rPr>
        <w:t>PMC sells MAV on a monthly basis certain Fannie Mae MSRs at the price acquired by PMC, subject to certain adjustments. During the six months ended June 30, 2022, PMC transferred MSRs with UPB of $5.1 billion to MAV under this agreement.</w:t>
      </w:r>
    </w:p>
    <w:p>
      <w:pPr>
        <w:spacing w:after="0" w:line="69" w:lineRule="exact"/>
        <w:rPr>
          <w:sz w:val="20"/>
          <w:szCs w:val="20"/>
          <w:color w:val="auto"/>
        </w:rPr>
      </w:pPr>
    </w:p>
    <w:p>
      <w:pPr>
        <w:ind w:right="580"/>
        <w:spacing w:after="0" w:line="283" w:lineRule="auto"/>
        <w:rPr>
          <w:sz w:val="20"/>
          <w:szCs w:val="20"/>
          <w:color w:val="auto"/>
        </w:rPr>
      </w:pPr>
      <w:r>
        <w:rPr>
          <w:rFonts w:ascii="Arial" w:cs="Arial" w:eastAsia="Arial" w:hAnsi="Arial"/>
          <w:sz w:val="17"/>
          <w:szCs w:val="17"/>
          <w:i w:val="1"/>
          <w:iCs w:val="1"/>
          <w:color w:val="auto"/>
        </w:rPr>
        <w:t xml:space="preserve">Bulk Mortgage Servicing Rights Purchase and Sale Agreements. </w:t>
      </w:r>
      <w:r>
        <w:rPr>
          <w:rFonts w:ascii="Arial" w:cs="Arial" w:eastAsia="Arial" w:hAnsi="Arial"/>
          <w:sz w:val="17"/>
          <w:szCs w:val="17"/>
          <w:color w:val="auto"/>
        </w:rPr>
        <w:t>During the six months ended June 30, 2022, PMC transferred MAV certain MSRs in bulk</w:t>
      </w:r>
      <w:r>
        <w:rPr>
          <w:rFonts w:ascii="Arial" w:cs="Arial" w:eastAsia="Arial" w:hAnsi="Arial"/>
          <w:sz w:val="17"/>
          <w:szCs w:val="17"/>
          <w:i w:val="1"/>
          <w:iCs w:val="1"/>
          <w:color w:val="auto"/>
        </w:rPr>
        <w:t xml:space="preserve"> </w:t>
      </w:r>
      <w:r>
        <w:rPr>
          <w:rFonts w:ascii="Arial" w:cs="Arial" w:eastAsia="Arial" w:hAnsi="Arial"/>
          <w:sz w:val="17"/>
          <w:szCs w:val="17"/>
          <w:color w:val="auto"/>
        </w:rPr>
        <w:t>transactions for an aggregate UPB of approximately $598.3 million.</w:t>
      </w:r>
    </w:p>
    <w:p>
      <w:pPr>
        <w:spacing w:after="0" w:line="56"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The MSR sale transactions between PMC and MAV do not qualify for sale accounting primarily due to the termination restrictions of the subservicing agreement, and are accounted for as secured borrowings. See Note 8 — MSR Transfers Not Qualifying for Sale Accounting for a summary of transactions under this agreement.</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967" w:right="359" w:bottom="1440" w:gutter="0" w:footer="0" w:header="0"/>
        </w:sectPr>
      </w:pPr>
    </w:p>
    <w:bookmarkStart w:id="33" w:name="page34"/>
    <w:bookmarkEnd w:id="33"/>
    <w:p>
      <w:pPr>
        <w:ind w:right="220"/>
        <w:spacing w:after="0" w:line="268" w:lineRule="auto"/>
        <w:rPr>
          <w:sz w:val="20"/>
          <w:szCs w:val="20"/>
          <w:color w:val="auto"/>
        </w:rPr>
      </w:pPr>
      <w:r>
        <w:rPr>
          <w:rFonts w:ascii="Arial" w:cs="Arial" w:eastAsia="Arial" w:hAnsi="Arial"/>
          <w:sz w:val="17"/>
          <w:szCs w:val="17"/>
          <w:i w:val="1"/>
          <w:iCs w:val="1"/>
          <w:color w:val="auto"/>
        </w:rPr>
        <w:t xml:space="preserve">Administrative Services Agreement: </w:t>
      </w:r>
      <w:r>
        <w:rPr>
          <w:rFonts w:ascii="Arial" w:cs="Arial" w:eastAsia="Arial" w:hAnsi="Arial"/>
          <w:sz w:val="17"/>
          <w:szCs w:val="17"/>
          <w:color w:val="auto"/>
        </w:rPr>
        <w:t>Ocwen provides certain administrative services to MAV, including accounting, treasury, human resources, management</w:t>
      </w:r>
      <w:r>
        <w:rPr>
          <w:rFonts w:ascii="Arial" w:cs="Arial" w:eastAsia="Arial" w:hAnsi="Arial"/>
          <w:sz w:val="17"/>
          <w:szCs w:val="17"/>
          <w:i w:val="1"/>
          <w:iCs w:val="1"/>
          <w:color w:val="auto"/>
        </w:rPr>
        <w:t xml:space="preserve"> </w:t>
      </w:r>
      <w:r>
        <w:rPr>
          <w:rFonts w:ascii="Arial" w:cs="Arial" w:eastAsia="Arial" w:hAnsi="Arial"/>
          <w:sz w:val="17"/>
          <w:szCs w:val="17"/>
          <w:color w:val="auto"/>
        </w:rPr>
        <w:t>information, MSR transaction management support, and certain licensing, regulatory and risk management support. Ocwen is entitled to a fee for such services, subject to an annual cap of $0.5 million.</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color w:val="auto"/>
        </w:rPr>
        <w:t>Our equity method investment in MAV Canopy is comprised of the following at and for the dates indicated: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860" w:type="dxa"/>
            <w:vAlign w:val="bottom"/>
          </w:tcPr>
          <w:p>
            <w:pPr>
              <w:spacing w:after="0"/>
              <w:rPr>
                <w:sz w:val="19"/>
                <w:szCs w:val="19"/>
                <w:color w:val="auto"/>
              </w:rPr>
            </w:pPr>
          </w:p>
        </w:tc>
        <w:tc>
          <w:tcPr>
            <w:tcW w:w="3240" w:type="dxa"/>
            <w:vAlign w:val="bottom"/>
            <w:gridSpan w:val="6"/>
          </w:tcPr>
          <w:p>
            <w:pPr>
              <w:ind w:left="460"/>
              <w:spacing w:after="0"/>
              <w:rPr>
                <w:sz w:val="20"/>
                <w:szCs w:val="20"/>
                <w:color w:val="auto"/>
              </w:rPr>
            </w:pPr>
            <w:r>
              <w:rPr>
                <w:rFonts w:ascii="Arial" w:cs="Arial" w:eastAsia="Arial" w:hAnsi="Arial"/>
                <w:sz w:val="17"/>
                <w:szCs w:val="17"/>
                <w:b w:val="1"/>
                <w:bCs w:val="1"/>
                <w:color w:val="auto"/>
              </w:rPr>
              <w:t>Three Months Ended June 30,</w:t>
            </w:r>
          </w:p>
        </w:tc>
        <w:tc>
          <w:tcPr>
            <w:tcW w:w="340" w:type="dxa"/>
            <w:vAlign w:val="bottom"/>
          </w:tcPr>
          <w:p>
            <w:pPr>
              <w:spacing w:after="0"/>
              <w:rPr>
                <w:sz w:val="19"/>
                <w:szCs w:val="19"/>
                <w:color w:val="auto"/>
              </w:rPr>
            </w:pPr>
          </w:p>
        </w:tc>
        <w:tc>
          <w:tcPr>
            <w:tcW w:w="2800" w:type="dxa"/>
            <w:vAlign w:val="bottom"/>
            <w:gridSpan w:val="4"/>
          </w:tcPr>
          <w:p>
            <w:pPr>
              <w:jc w:val="right"/>
              <w:ind w:right="474"/>
              <w:spacing w:after="0"/>
              <w:rPr>
                <w:sz w:val="20"/>
                <w:szCs w:val="20"/>
                <w:color w:val="auto"/>
              </w:rPr>
            </w:pPr>
            <w:r>
              <w:rPr>
                <w:rFonts w:ascii="Arial" w:cs="Arial" w:eastAsia="Arial" w:hAnsi="Arial"/>
                <w:sz w:val="17"/>
                <w:szCs w:val="17"/>
                <w:b w:val="1"/>
                <w:bCs w:val="1"/>
                <w:color w:val="auto"/>
              </w:rPr>
              <w:t>Six Months Ended June 30,</w:t>
            </w:r>
          </w:p>
        </w:tc>
      </w:tr>
      <w:tr>
        <w:trPr>
          <w:trHeight w:val="213"/>
        </w:trPr>
        <w:tc>
          <w:tcPr>
            <w:tcW w:w="4860" w:type="dxa"/>
            <w:vAlign w:val="bottom"/>
            <w:tcBorders>
              <w:bottom w:val="single" w:sz="8" w:color="CCEEFF"/>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2022</w:t>
            </w:r>
          </w:p>
        </w:tc>
        <w:tc>
          <w:tcPr>
            <w:tcW w:w="5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7"/>
                <w:szCs w:val="17"/>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7"/>
                <w:szCs w:val="17"/>
                <w:b w:val="1"/>
                <w:bCs w:val="1"/>
                <w:color w:val="auto"/>
              </w:rPr>
              <w:t>2021</w:t>
            </w:r>
          </w:p>
        </w:tc>
      </w:tr>
      <w:tr>
        <w:trPr>
          <w:trHeight w:val="213"/>
        </w:trPr>
        <w:tc>
          <w:tcPr>
            <w:tcW w:w="4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Beginning balance</w:t>
            </w:r>
          </w:p>
        </w:tc>
        <w:tc>
          <w:tcPr>
            <w:tcW w:w="960" w:type="dxa"/>
            <w:vAlign w:val="bottom"/>
            <w:shd w:val="clear" w:color="auto" w:fill="CCEEFF"/>
          </w:tcPr>
          <w:p>
            <w:pPr>
              <w:jc w:val="right"/>
              <w:ind w:right="774"/>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34,925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center"/>
              <w:ind w:left="494"/>
              <w:spacing w:after="0"/>
              <w:rPr>
                <w:sz w:val="20"/>
                <w:szCs w:val="20"/>
                <w:color w:val="auto"/>
              </w:rPr>
            </w:pPr>
            <w:r>
              <w:rPr>
                <w:rFonts w:ascii="Arial" w:cs="Arial" w:eastAsia="Arial" w:hAnsi="Arial"/>
                <w:sz w:val="17"/>
                <w:szCs w:val="17"/>
                <w:color w:val="auto"/>
                <w:w w:val="92"/>
              </w:rPr>
              <w:t>23,297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4860" w:type="dxa"/>
            <w:vAlign w:val="bottom"/>
          </w:tcPr>
          <w:p>
            <w:pPr>
              <w:ind w:left="120"/>
              <w:spacing w:after="0"/>
              <w:rPr>
                <w:sz w:val="20"/>
                <w:szCs w:val="20"/>
                <w:color w:val="auto"/>
              </w:rPr>
            </w:pPr>
            <w:r>
              <w:rPr>
                <w:rFonts w:ascii="Arial" w:cs="Arial" w:eastAsia="Arial" w:hAnsi="Arial"/>
                <w:sz w:val="17"/>
                <w:szCs w:val="17"/>
                <w:color w:val="auto"/>
              </w:rPr>
              <w:t>Capital contributions</w:t>
            </w:r>
          </w:p>
        </w:tc>
        <w:tc>
          <w:tcPr>
            <w:tcW w:w="96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11,528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center"/>
              <w:ind w:left="494"/>
              <w:spacing w:after="0"/>
              <w:rPr>
                <w:sz w:val="20"/>
                <w:szCs w:val="20"/>
                <w:color w:val="auto"/>
              </w:rPr>
            </w:pPr>
            <w:r>
              <w:rPr>
                <w:rFonts w:ascii="Arial" w:cs="Arial" w:eastAsia="Arial" w:hAnsi="Arial"/>
                <w:sz w:val="17"/>
                <w:szCs w:val="17"/>
                <w:color w:val="auto"/>
                <w:w w:val="92"/>
              </w:rPr>
              <w:t>16,500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11,528</w:t>
            </w:r>
          </w:p>
        </w:tc>
      </w:tr>
      <w:tr>
        <w:trPr>
          <w:trHeight w:val="220"/>
        </w:trPr>
        <w:tc>
          <w:tcPr>
            <w:tcW w:w="48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Capital distributions</w:t>
            </w: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center"/>
              <w:ind w:left="474"/>
              <w:spacing w:after="0"/>
              <w:rPr>
                <w:sz w:val="20"/>
                <w:szCs w:val="20"/>
                <w:color w:val="auto"/>
              </w:rPr>
            </w:pPr>
            <w:r>
              <w:rPr>
                <w:rFonts w:ascii="Arial" w:cs="Arial" w:eastAsia="Arial" w:hAnsi="Arial"/>
                <w:sz w:val="17"/>
                <w:szCs w:val="17"/>
                <w:color w:val="auto"/>
                <w:w w:val="91"/>
              </w:rPr>
              <w:t>(16,911)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486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Earnings of equity method investee</w:t>
            </w:r>
          </w:p>
        </w:tc>
        <w:tc>
          <w:tcPr>
            <w:tcW w:w="9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3,932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left="494"/>
              <w:spacing w:after="0"/>
              <w:rPr>
                <w:sz w:val="20"/>
                <w:szCs w:val="20"/>
                <w:color w:val="auto"/>
              </w:rPr>
            </w:pPr>
            <w:r>
              <w:rPr>
                <w:rFonts w:ascii="Arial" w:cs="Arial" w:eastAsia="Arial" w:hAnsi="Arial"/>
                <w:sz w:val="17"/>
                <w:szCs w:val="17"/>
                <w:color w:val="auto"/>
                <w:w w:val="92"/>
              </w:rPr>
              <w:t>15,935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350</w:t>
            </w:r>
          </w:p>
        </w:tc>
      </w:tr>
      <w:tr>
        <w:trPr>
          <w:trHeight w:val="238"/>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Ending balance</w:t>
            </w:r>
          </w:p>
        </w:tc>
        <w:tc>
          <w:tcPr>
            <w:tcW w:w="960" w:type="dxa"/>
            <w:vAlign w:val="bottom"/>
            <w:tcBorders>
              <w:bottom w:val="single" w:sz="8" w:color="auto"/>
            </w:tcBorders>
            <w:shd w:val="clear" w:color="auto" w:fill="CCEEFF"/>
          </w:tcPr>
          <w:p>
            <w:pPr>
              <w:jc w:val="right"/>
              <w:ind w:right="774"/>
              <w:spacing w:after="0"/>
              <w:rPr>
                <w:sz w:val="20"/>
                <w:szCs w:val="20"/>
                <w:color w:val="auto"/>
              </w:rPr>
            </w:pPr>
            <w:r>
              <w:rPr>
                <w:rFonts w:ascii="Arial" w:cs="Arial" w:eastAsia="Arial" w:hAnsi="Arial"/>
                <w:sz w:val="17"/>
                <w:szCs w:val="17"/>
                <w:color w:val="auto"/>
                <w:w w:val="84"/>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2"/>
              </w:rPr>
              <w:t>38,821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11,878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center"/>
              <w:ind w:left="494"/>
              <w:spacing w:after="0"/>
              <w:rPr>
                <w:sz w:val="20"/>
                <w:szCs w:val="20"/>
                <w:color w:val="auto"/>
              </w:rPr>
            </w:pPr>
            <w:r>
              <w:rPr>
                <w:rFonts w:ascii="Arial" w:cs="Arial" w:eastAsia="Arial" w:hAnsi="Arial"/>
                <w:sz w:val="17"/>
                <w:szCs w:val="17"/>
                <w:color w:val="auto"/>
                <w:w w:val="92"/>
              </w:rPr>
              <w:t>38,821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11,878</w:t>
            </w: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ind w:right="20"/>
        <w:spacing w:after="0" w:line="278" w:lineRule="auto"/>
        <w:rPr>
          <w:sz w:val="20"/>
          <w:szCs w:val="20"/>
          <w:color w:val="auto"/>
        </w:rPr>
      </w:pPr>
      <w:r>
        <w:rPr>
          <w:rFonts w:ascii="Arial" w:cs="Arial" w:eastAsia="Arial" w:hAnsi="Arial"/>
          <w:sz w:val="16"/>
          <w:szCs w:val="16"/>
          <w:color w:val="auto"/>
        </w:rPr>
        <w:t>Under the Amended &amp; Restated Limited Liability Company Agreement with MAV Canopy, Ocwen is entitled to receive its 15% percentage interest share of MAV Canopy’s earnings, subject to certain adjustments. In addition, upon MAV Canopy liquidation or upon determination of the MAV Canopy Board of Directors to make advance distributions, Ocwen is entitled to receive a specified portion of the distribution amount available (“Promote Distribution”), after satisfaction of required distribution thresholds, including a specified internal rate of return threshold on Oaktree member’s gross adjusted capital contributions. We determined that the Promote Distribution represents an incentive fee under our various service agreements with MAV with a variable consideration and is recognized in earnings when it is probable that a significant reversal will not occur. As of June 30, 2022, Ocwen has not recognized any such incentive fee.</w:t>
      </w:r>
    </w:p>
    <w:p>
      <w:pPr>
        <w:spacing w:after="0" w:line="65" w:lineRule="exact"/>
        <w:rPr>
          <w:sz w:val="20"/>
          <w:szCs w:val="20"/>
          <w:color w:val="auto"/>
        </w:rPr>
      </w:pPr>
    </w:p>
    <w:p>
      <w:pPr>
        <w:jc w:val="both"/>
        <w:ind w:right="60"/>
        <w:spacing w:after="0" w:line="268" w:lineRule="auto"/>
        <w:rPr>
          <w:sz w:val="20"/>
          <w:szCs w:val="20"/>
          <w:color w:val="auto"/>
        </w:rPr>
      </w:pPr>
      <w:r>
        <w:rPr>
          <w:rFonts w:ascii="Arial" w:cs="Arial" w:eastAsia="Arial" w:hAnsi="Arial"/>
          <w:sz w:val="17"/>
          <w:szCs w:val="17"/>
          <w:color w:val="auto"/>
        </w:rPr>
        <w:t>MAV Canopy, MAV and Oaktree are deemed related parties to Ocwen. In addition to its investment in MAV Canopy, the subservicing agreement by PMC and the other agreements described above, Ocwen issued common stock, warrants and senior secured notes to Oaktree in 2021 as described in Note 13 – Borrowings and Note 17 – Interest Expense.</w:t>
      </w:r>
    </w:p>
    <w:p>
      <w:pPr>
        <w:spacing w:after="0" w:line="200" w:lineRule="exact"/>
        <w:rPr>
          <w:sz w:val="20"/>
          <w:szCs w:val="20"/>
          <w:color w:val="auto"/>
        </w:rPr>
      </w:pPr>
    </w:p>
    <w:p>
      <w:pPr>
        <w:spacing w:after="0" w:line="237" w:lineRule="exact"/>
        <w:rPr>
          <w:sz w:val="20"/>
          <w:szCs w:val="20"/>
          <w:color w:val="auto"/>
        </w:rPr>
      </w:pPr>
    </w:p>
    <w:p>
      <w:pPr>
        <w:ind w:left="640"/>
        <w:spacing w:after="0"/>
        <w:rPr>
          <w:sz w:val="20"/>
          <w:szCs w:val="20"/>
          <w:color w:val="auto"/>
        </w:rPr>
      </w:pPr>
      <w:r>
        <w:rPr>
          <w:rFonts w:ascii="Arial" w:cs="Arial" w:eastAsia="Arial" w:hAnsi="Arial"/>
          <w:sz w:val="17"/>
          <w:szCs w:val="17"/>
          <w:b w:val="1"/>
          <w:bCs w:val="1"/>
          <w:color w:val="auto"/>
        </w:rPr>
        <w:t>Note 11 – 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396240</wp:posOffset>
            </wp:positionH>
            <wp:positionV relativeFrom="paragraph">
              <wp:posOffset>84455</wp:posOffset>
            </wp:positionV>
            <wp:extent cx="680466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04660" cy="8255"/>
                    </a:xfrm>
                    <a:prstGeom prst="rect">
                      <a:avLst/>
                    </a:prstGeom>
                    <a:noFill/>
                  </pic:spPr>
                </pic:pic>
              </a:graphicData>
            </a:graphic>
          </wp:anchor>
        </w:drawing>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gridSpan w:val="2"/>
          </w:tcPr>
          <w:p>
            <w:pPr>
              <w:ind w:left="80"/>
              <w:spacing w:after="0"/>
              <w:rPr>
                <w:sz w:val="20"/>
                <w:szCs w:val="20"/>
                <w:color w:val="auto"/>
              </w:rPr>
            </w:pPr>
            <w:r>
              <w:rPr>
                <w:rFonts w:ascii="Arial" w:cs="Arial" w:eastAsia="Arial" w:hAnsi="Arial"/>
                <w:sz w:val="17"/>
                <w:szCs w:val="17"/>
                <w:b w:val="1"/>
                <w:bCs w:val="1"/>
                <w:color w:val="auto"/>
              </w:rPr>
              <w:t>June 30, 2022</w:t>
            </w:r>
          </w:p>
        </w:tc>
        <w:tc>
          <w:tcPr>
            <w:tcW w:w="1520" w:type="dxa"/>
            <w:vAlign w:val="bottom"/>
            <w:gridSpan w:val="2"/>
          </w:tcPr>
          <w:p>
            <w:pPr>
              <w:jc w:val="right"/>
              <w:spacing w:after="0"/>
              <w:rPr>
                <w:sz w:val="20"/>
                <w:szCs w:val="20"/>
                <w:color w:val="auto"/>
              </w:rPr>
            </w:pPr>
            <w:r>
              <w:rPr>
                <w:rFonts w:ascii="Arial" w:cs="Arial" w:eastAsia="Arial" w:hAnsi="Arial"/>
                <w:sz w:val="17"/>
                <w:szCs w:val="17"/>
                <w:b w:val="1"/>
                <w:bCs w:val="1"/>
                <w:color w:val="auto"/>
                <w:w w:val="94"/>
              </w:rPr>
              <w:t>December 31, 2021</w:t>
            </w:r>
          </w:p>
        </w:tc>
      </w:tr>
      <w:tr>
        <w:trPr>
          <w:trHeight w:val="213"/>
        </w:trPr>
        <w:tc>
          <w:tcPr>
            <w:tcW w:w="8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Contingent loan repurchase asset</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227,160</w:t>
            </w: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ind w:right="314"/>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403,740</w:t>
            </w:r>
          </w:p>
        </w:tc>
      </w:tr>
      <w:tr>
        <w:trPr>
          <w:trHeight w:val="220"/>
        </w:trPr>
        <w:tc>
          <w:tcPr>
            <w:tcW w:w="8100" w:type="dxa"/>
            <w:vAlign w:val="bottom"/>
          </w:tcPr>
          <w:p>
            <w:pPr>
              <w:ind w:left="20"/>
              <w:spacing w:after="0"/>
              <w:rPr>
                <w:sz w:val="20"/>
                <w:szCs w:val="20"/>
                <w:color w:val="auto"/>
              </w:rPr>
            </w:pPr>
            <w:r>
              <w:rPr>
                <w:rFonts w:ascii="Arial" w:cs="Arial" w:eastAsia="Arial" w:hAnsi="Arial"/>
                <w:sz w:val="17"/>
                <w:szCs w:val="17"/>
                <w:color w:val="auto"/>
              </w:rPr>
              <w:t>Derivative margin deposit</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23,704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2,024</w:t>
            </w:r>
          </w:p>
        </w:tc>
      </w:tr>
      <w:tr>
        <w:trPr>
          <w:trHeight w:val="220"/>
        </w:trPr>
        <w:tc>
          <w:tcPr>
            <w:tcW w:w="8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Intangible assets, net (net of accumulated amortization of $2.8 million and $0.7 million)</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20,281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14,335</w:t>
            </w:r>
          </w:p>
        </w:tc>
      </w:tr>
      <w:tr>
        <w:trPr>
          <w:trHeight w:val="220"/>
        </w:trPr>
        <w:tc>
          <w:tcPr>
            <w:tcW w:w="8100" w:type="dxa"/>
            <w:vAlign w:val="bottom"/>
          </w:tcPr>
          <w:p>
            <w:pPr>
              <w:ind w:left="20"/>
              <w:spacing w:after="0"/>
              <w:rPr>
                <w:sz w:val="20"/>
                <w:szCs w:val="20"/>
                <w:color w:val="auto"/>
              </w:rPr>
            </w:pPr>
            <w:r>
              <w:rPr>
                <w:rFonts w:ascii="Arial" w:cs="Arial" w:eastAsia="Arial" w:hAnsi="Arial"/>
                <w:sz w:val="17"/>
                <w:szCs w:val="17"/>
                <w:color w:val="auto"/>
              </w:rPr>
              <w:t>Prepaid expenses</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17,881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21,498</w:t>
            </w:r>
          </w:p>
        </w:tc>
      </w:tr>
      <w:tr>
        <w:trPr>
          <w:trHeight w:val="220"/>
        </w:trPr>
        <w:tc>
          <w:tcPr>
            <w:tcW w:w="8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Prepaid representation, warranty and indemnification claims - Agency MSR sale</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15,173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15,173</w:t>
            </w:r>
          </w:p>
        </w:tc>
      </w:tr>
      <w:tr>
        <w:trPr>
          <w:trHeight w:val="220"/>
        </w:trPr>
        <w:tc>
          <w:tcPr>
            <w:tcW w:w="8100" w:type="dxa"/>
            <w:vAlign w:val="bottom"/>
          </w:tcPr>
          <w:p>
            <w:pPr>
              <w:ind w:left="20"/>
              <w:spacing w:after="0"/>
              <w:rPr>
                <w:sz w:val="20"/>
                <w:szCs w:val="20"/>
                <w:color w:val="auto"/>
              </w:rPr>
            </w:pPr>
            <w:r>
              <w:rPr>
                <w:rFonts w:ascii="Arial" w:cs="Arial" w:eastAsia="Arial" w:hAnsi="Arial"/>
                <w:sz w:val="17"/>
                <w:szCs w:val="17"/>
                <w:color w:val="auto"/>
              </w:rPr>
              <w:t>Derivatives, at fair value</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13,688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21,675</w:t>
            </w:r>
          </w:p>
        </w:tc>
      </w:tr>
      <w:tr>
        <w:trPr>
          <w:trHeight w:val="220"/>
        </w:trPr>
        <w:tc>
          <w:tcPr>
            <w:tcW w:w="8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REO</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9,443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10,075</w:t>
            </w:r>
          </w:p>
        </w:tc>
      </w:tr>
      <w:tr>
        <w:trPr>
          <w:trHeight w:val="220"/>
        </w:trPr>
        <w:tc>
          <w:tcPr>
            <w:tcW w:w="8100" w:type="dxa"/>
            <w:vAlign w:val="bottom"/>
          </w:tcPr>
          <w:p>
            <w:pPr>
              <w:ind w:left="20"/>
              <w:spacing w:after="0"/>
              <w:rPr>
                <w:sz w:val="20"/>
                <w:szCs w:val="20"/>
                <w:color w:val="auto"/>
              </w:rPr>
            </w:pPr>
            <w:r>
              <w:rPr>
                <w:rFonts w:ascii="Arial" w:cs="Arial" w:eastAsia="Arial" w:hAnsi="Arial"/>
                <w:sz w:val="17"/>
                <w:szCs w:val="17"/>
                <w:color w:val="auto"/>
              </w:rPr>
              <w:t>Prepaid lender fees, net</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6,790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7,150</w:t>
            </w:r>
          </w:p>
        </w:tc>
      </w:tr>
      <w:tr>
        <w:trPr>
          <w:trHeight w:val="220"/>
        </w:trPr>
        <w:tc>
          <w:tcPr>
            <w:tcW w:w="8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tax asset, net</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3,323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3,329</w:t>
            </w:r>
          </w:p>
        </w:tc>
      </w:tr>
      <w:tr>
        <w:trPr>
          <w:trHeight w:val="220"/>
        </w:trPr>
        <w:tc>
          <w:tcPr>
            <w:tcW w:w="8100" w:type="dxa"/>
            <w:vAlign w:val="bottom"/>
          </w:tcPr>
          <w:p>
            <w:pPr>
              <w:ind w:left="20"/>
              <w:spacing w:after="0"/>
              <w:rPr>
                <w:sz w:val="20"/>
                <w:szCs w:val="20"/>
                <w:color w:val="auto"/>
              </w:rPr>
            </w:pPr>
            <w:r>
              <w:rPr>
                <w:rFonts w:ascii="Arial" w:cs="Arial" w:eastAsia="Arial" w:hAnsi="Arial"/>
                <w:sz w:val="17"/>
                <w:szCs w:val="17"/>
                <w:color w:val="auto"/>
              </w:rPr>
              <w:t>Security deposits</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1,013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1,174</w:t>
            </w:r>
          </w:p>
        </w:tc>
      </w:tr>
      <w:tr>
        <w:trPr>
          <w:trHeight w:val="220"/>
        </w:trPr>
        <w:tc>
          <w:tcPr>
            <w:tcW w:w="8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w:t>
            </w: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6,030</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7,077</w:t>
            </w:r>
          </w:p>
        </w:tc>
      </w:tr>
      <w:tr>
        <w:trPr>
          <w:trHeight w:val="213"/>
        </w:trPr>
        <w:tc>
          <w:tcPr>
            <w:tcW w:w="8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344,486</w:t>
            </w:r>
          </w:p>
        </w:tc>
        <w:tc>
          <w:tcPr>
            <w:tcW w:w="100" w:type="dxa"/>
            <w:vAlign w:val="bottom"/>
          </w:tcPr>
          <w:p>
            <w:pPr>
              <w:spacing w:after="0"/>
              <w:rPr>
                <w:sz w:val="18"/>
                <w:szCs w:val="18"/>
                <w:color w:val="auto"/>
              </w:rPr>
            </w:pPr>
          </w:p>
        </w:tc>
        <w:tc>
          <w:tcPr>
            <w:tcW w:w="50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507,250</w:t>
            </w:r>
          </w:p>
        </w:tc>
      </w:tr>
      <w:tr>
        <w:trPr>
          <w:trHeight w:val="20"/>
        </w:trPr>
        <w:tc>
          <w:tcPr>
            <w:tcW w:w="8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ind w:right="20"/>
        <w:spacing w:after="0" w:line="258" w:lineRule="auto"/>
        <w:rPr>
          <w:sz w:val="20"/>
          <w:szCs w:val="20"/>
          <w:color w:val="auto"/>
        </w:rPr>
      </w:pPr>
      <w:r>
        <w:rPr>
          <w:rFonts w:ascii="Arial" w:cs="Arial" w:eastAsia="Arial" w:hAnsi="Arial"/>
          <w:sz w:val="17"/>
          <w:szCs w:val="17"/>
          <w:color w:val="auto"/>
        </w:rPr>
        <w:t>Intangible assets, net are primarily comprised of a reverse subservicing contract intangible asset with an unamortized balance of $19.7 million and $13.7 million at June 30, 2022 and December 31, 2021, respectively. On April 1, 2022, PMC boarded approximately 19,000 reverse mortgage loans with a UPB of $4.1 billion onto our servicing platform under the five-year subservicing agreement executed on October 1, 2021 with Mortgage Assets Management, LLC (formerly known as Reverse Mortgage Solutions, Inc.) (MAM (RMS)). A purchase price of $6.9 million was paid on April 7, 2022 with the assumption of a liability for curtailments and $8.1 million was recognized as a subservicing contract intangible asset, based on its relative fair value, to be amortized ratably over the five-year term of the subservicing contract based on portfolio runoff. This boarding is in addition to approximately 40,000 reverse mortgage loans with a UPB of $9.1 billion boarded during the first quarter of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7" w:right="339" w:bottom="1440" w:gutter="0" w:footer="0" w:header="0"/>
        </w:sectPr>
      </w:pPr>
    </w:p>
    <w:bookmarkStart w:id="34" w:name="page35"/>
    <w:bookmarkEnd w:id="34"/>
    <w:p>
      <w:pPr>
        <w:ind w:left="20"/>
        <w:spacing w:after="0"/>
        <w:rPr>
          <w:sz w:val="20"/>
          <w:szCs w:val="20"/>
          <w:color w:val="auto"/>
        </w:rPr>
      </w:pPr>
      <w:r>
        <w:rPr>
          <w:rFonts w:ascii="Arial" w:cs="Arial" w:eastAsia="Arial" w:hAnsi="Arial"/>
          <w:sz w:val="17"/>
          <w:szCs w:val="17"/>
          <w:b w:val="1"/>
          <w:bCs w:val="1"/>
          <w:color w:val="auto"/>
        </w:rPr>
        <w:t>Note 12 - Other Financing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19050</wp:posOffset>
            </wp:positionV>
            <wp:extent cx="708914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4" w:lineRule="exact"/>
        <w:rPr>
          <w:sz w:val="20"/>
          <w:szCs w:val="20"/>
          <w:color w:val="auto"/>
        </w:rPr>
      </w:pPr>
    </w:p>
    <w:p>
      <w:pPr>
        <w:spacing w:after="0" w:line="283" w:lineRule="auto"/>
        <w:rPr>
          <w:sz w:val="20"/>
          <w:szCs w:val="20"/>
          <w:color w:val="auto"/>
        </w:rPr>
      </w:pPr>
      <w:r>
        <w:rPr>
          <w:rFonts w:ascii="Arial" w:cs="Arial" w:eastAsia="Arial" w:hAnsi="Arial"/>
          <w:sz w:val="17"/>
          <w:szCs w:val="17"/>
          <w:color w:val="auto"/>
        </w:rPr>
        <w:t>The following tables presents transferred MSR liabilities recorded in connection with MSR sales and transfers that do not qualify for sale accounting and liabilities of consolidated mortgage-backed securitization trusts.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3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Outstanding Balance</w:t>
            </w:r>
          </w:p>
        </w:tc>
        <w:tc>
          <w:tcPr>
            <w:tcW w:w="7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300" w:type="dxa"/>
            <w:vAlign w:val="bottom"/>
            <w:tcBorders>
              <w:bottom w:val="single" w:sz="8" w:color="auto"/>
            </w:tcBorders>
          </w:tcPr>
          <w:p>
            <w:pPr>
              <w:ind w:left="2140"/>
              <w:spacing w:after="0"/>
              <w:rPr>
                <w:sz w:val="20"/>
                <w:szCs w:val="20"/>
                <w:color w:val="auto"/>
              </w:rPr>
            </w:pPr>
            <w:r>
              <w:rPr>
                <w:rFonts w:ascii="Arial" w:cs="Arial" w:eastAsia="Arial" w:hAnsi="Arial"/>
                <w:sz w:val="17"/>
                <w:szCs w:val="17"/>
                <w:b w:val="1"/>
                <w:bCs w:val="1"/>
                <w:color w:val="auto"/>
              </w:rPr>
              <w:t>Borrowing Type</w:t>
            </w:r>
          </w:p>
        </w:tc>
        <w:tc>
          <w:tcPr>
            <w:tcW w:w="1380" w:type="dxa"/>
            <w:vAlign w:val="bottom"/>
            <w:tcBorders>
              <w:bottom w:val="single" w:sz="8" w:color="auto"/>
            </w:tcBorders>
          </w:tcPr>
          <w:p>
            <w:pPr>
              <w:jc w:val="center"/>
              <w:ind w:left="114"/>
              <w:spacing w:after="0"/>
              <w:rPr>
                <w:sz w:val="20"/>
                <w:szCs w:val="20"/>
                <w:color w:val="auto"/>
              </w:rPr>
            </w:pPr>
            <w:r>
              <w:rPr>
                <w:rFonts w:ascii="Arial" w:cs="Arial" w:eastAsia="Arial" w:hAnsi="Arial"/>
                <w:sz w:val="17"/>
                <w:szCs w:val="17"/>
                <w:b w:val="1"/>
                <w:bCs w:val="1"/>
                <w:color w:val="auto"/>
                <w:w w:val="95"/>
              </w:rPr>
              <w:t>Collateral</w:t>
            </w: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9"/>
              </w:rPr>
              <w:t>Maturity</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b w:val="1"/>
                <w:bCs w:val="1"/>
                <w:color w:val="auto"/>
                <w:w w:val="95"/>
              </w:rPr>
              <w:t>June 30, 2022</w:t>
            </w:r>
          </w:p>
        </w:tc>
        <w:tc>
          <w:tcPr>
            <w:tcW w:w="10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w w:val="94"/>
              </w:rPr>
              <w:t>December 31, 2021</w:t>
            </w:r>
          </w:p>
        </w:tc>
        <w:tc>
          <w:tcPr>
            <w:tcW w:w="0" w:type="dxa"/>
            <w:vAlign w:val="bottom"/>
          </w:tcPr>
          <w:p>
            <w:pPr>
              <w:spacing w:after="0"/>
              <w:rPr>
                <w:sz w:val="1"/>
                <w:szCs w:val="1"/>
                <w:color w:val="auto"/>
              </w:rPr>
            </w:pPr>
          </w:p>
        </w:tc>
      </w:tr>
      <w:tr>
        <w:trPr>
          <w:trHeight w:val="213"/>
        </w:trPr>
        <w:tc>
          <w:tcPr>
            <w:tcW w:w="5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Original Rights to MSRs Agreements, at fair value - NRZ (1)</w:t>
            </w:r>
          </w:p>
        </w:tc>
        <w:tc>
          <w:tcPr>
            <w:tcW w:w="148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w w:val="94"/>
              </w:rPr>
              <w:t>MSRs</w:t>
            </w:r>
          </w:p>
        </w:tc>
        <w:tc>
          <w:tcPr>
            <w:tcW w:w="12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6"/>
              </w:rPr>
              <w:t>(1)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550,808</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614"/>
              <w:spacing w:after="0"/>
              <w:rPr>
                <w:sz w:val="20"/>
                <w:szCs w:val="20"/>
                <w:color w:val="auto"/>
              </w:rPr>
            </w:pPr>
            <w:r>
              <w:rPr>
                <w:rFonts w:ascii="Arial" w:cs="Arial" w:eastAsia="Arial" w:hAnsi="Arial"/>
                <w:sz w:val="17"/>
                <w:szCs w:val="17"/>
                <w:color w:val="auto"/>
                <w:w w:val="84"/>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558,940</w:t>
            </w:r>
          </w:p>
        </w:tc>
        <w:tc>
          <w:tcPr>
            <w:tcW w:w="0" w:type="dxa"/>
            <w:vAlign w:val="bottom"/>
          </w:tcPr>
          <w:p>
            <w:pPr>
              <w:spacing w:after="0"/>
              <w:rPr>
                <w:sz w:val="1"/>
                <w:szCs w:val="1"/>
                <w:color w:val="auto"/>
              </w:rPr>
            </w:pPr>
          </w:p>
        </w:tc>
      </w:tr>
      <w:tr>
        <w:trPr>
          <w:trHeight w:val="220"/>
        </w:trPr>
        <w:tc>
          <w:tcPr>
            <w:tcW w:w="53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Pledged MSR liability, at fair value - MAV (1)</w:t>
            </w:r>
          </w:p>
        </w:tc>
        <w:tc>
          <w:tcPr>
            <w:tcW w:w="1480" w:type="dxa"/>
            <w:vAlign w:val="bottom"/>
            <w:tcBorders>
              <w:bottom w:val="single" w:sz="8" w:color="CCEEFF"/>
            </w:tcBorders>
            <w:gridSpan w:val="2"/>
          </w:tcPr>
          <w:p>
            <w:pPr>
              <w:jc w:val="center"/>
              <w:spacing w:after="0"/>
              <w:rPr>
                <w:sz w:val="20"/>
                <w:szCs w:val="20"/>
                <w:color w:val="auto"/>
              </w:rPr>
            </w:pPr>
            <w:r>
              <w:rPr>
                <w:rFonts w:ascii="Arial" w:cs="Arial" w:eastAsia="Arial" w:hAnsi="Arial"/>
                <w:sz w:val="17"/>
                <w:szCs w:val="17"/>
                <w:color w:val="auto"/>
                <w:w w:val="94"/>
              </w:rPr>
              <w:t>MSRs</w:t>
            </w:r>
          </w:p>
        </w:tc>
        <w:tc>
          <w:tcPr>
            <w:tcW w:w="1200" w:type="dxa"/>
            <w:vAlign w:val="bottom"/>
            <w:tcBorders>
              <w:bottom w:val="single" w:sz="8" w:color="CCEEFF"/>
            </w:tcBorders>
          </w:tcPr>
          <w:p>
            <w:pPr>
              <w:jc w:val="center"/>
              <w:spacing w:after="0"/>
              <w:rPr>
                <w:sz w:val="20"/>
                <w:szCs w:val="20"/>
                <w:color w:val="auto"/>
              </w:rPr>
            </w:pPr>
            <w:r>
              <w:rPr>
                <w:rFonts w:ascii="Arial" w:cs="Arial" w:eastAsia="Arial" w:hAnsi="Arial"/>
                <w:sz w:val="17"/>
                <w:szCs w:val="17"/>
                <w:color w:val="auto"/>
                <w:w w:val="96"/>
              </w:rPr>
              <w:t>(1)</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355,530</w:t>
            </w:r>
          </w:p>
        </w:tc>
        <w:tc>
          <w:tcPr>
            <w:tcW w:w="10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238,144</w:t>
            </w:r>
          </w:p>
        </w:tc>
        <w:tc>
          <w:tcPr>
            <w:tcW w:w="0" w:type="dxa"/>
            <w:vAlign w:val="bottom"/>
          </w:tcPr>
          <w:p>
            <w:pPr>
              <w:spacing w:after="0"/>
              <w:rPr>
                <w:sz w:val="1"/>
                <w:szCs w:val="1"/>
                <w:color w:val="auto"/>
              </w:rPr>
            </w:pPr>
          </w:p>
        </w:tc>
      </w:tr>
      <w:tr>
        <w:trPr>
          <w:trHeight w:val="213"/>
        </w:trPr>
        <w:tc>
          <w:tcPr>
            <w:tcW w:w="53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906,338</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797,084</w:t>
            </w:r>
          </w:p>
        </w:tc>
        <w:tc>
          <w:tcPr>
            <w:tcW w:w="0" w:type="dxa"/>
            <w:vAlign w:val="bottom"/>
          </w:tcPr>
          <w:p>
            <w:pPr>
              <w:spacing w:after="0"/>
              <w:rPr>
                <w:sz w:val="1"/>
                <w:szCs w:val="1"/>
                <w:color w:val="auto"/>
              </w:rPr>
            </w:pPr>
          </w:p>
        </w:tc>
      </w:tr>
      <w:tr>
        <w:trPr>
          <w:trHeight w:val="155"/>
        </w:trPr>
        <w:tc>
          <w:tcPr>
            <w:tcW w:w="53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5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Financing liability - Owed to securitization investors, at fair value:</w:t>
            </w: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5300" w:type="dxa"/>
            <w:vAlign w:val="bottom"/>
            <w:vMerge w:val="restart"/>
          </w:tcPr>
          <w:p>
            <w:pPr>
              <w:ind w:left="120"/>
              <w:spacing w:after="0"/>
              <w:rPr>
                <w:sz w:val="20"/>
                <w:szCs w:val="20"/>
                <w:color w:val="auto"/>
              </w:rPr>
            </w:pPr>
            <w:r>
              <w:rPr>
                <w:rFonts w:ascii="Arial" w:cs="Arial" w:eastAsia="Arial" w:hAnsi="Arial"/>
                <w:sz w:val="17"/>
                <w:szCs w:val="17"/>
                <w:color w:val="auto"/>
                <w:w w:val="98"/>
              </w:rPr>
              <w:t>Residential Asset Securitization Trust 2003-A11 (RAST 2003-A11) (2)</w:t>
            </w:r>
          </w:p>
        </w:tc>
        <w:tc>
          <w:tcPr>
            <w:tcW w:w="1480" w:type="dxa"/>
            <w:vAlign w:val="bottom"/>
            <w:gridSpan w:val="2"/>
          </w:tcPr>
          <w:p>
            <w:pPr>
              <w:jc w:val="center"/>
              <w:spacing w:after="0" w:line="168" w:lineRule="exact"/>
              <w:rPr>
                <w:sz w:val="20"/>
                <w:szCs w:val="20"/>
                <w:color w:val="auto"/>
              </w:rPr>
            </w:pPr>
            <w:r>
              <w:rPr>
                <w:rFonts w:ascii="Arial" w:cs="Arial" w:eastAsia="Arial" w:hAnsi="Arial"/>
                <w:sz w:val="17"/>
                <w:szCs w:val="17"/>
                <w:color w:val="auto"/>
                <w:w w:val="92"/>
              </w:rPr>
              <w:t>Loans held for</w:t>
            </w:r>
          </w:p>
        </w:tc>
        <w:tc>
          <w:tcPr>
            <w:tcW w:w="1320" w:type="dxa"/>
            <w:vAlign w:val="bottom"/>
            <w:gridSpan w:val="2"/>
            <w:vMerge w:val="restart"/>
          </w:tcPr>
          <w:p>
            <w:pPr>
              <w:jc w:val="center"/>
              <w:ind w:right="120"/>
              <w:spacing w:after="0"/>
              <w:rPr>
                <w:sz w:val="20"/>
                <w:szCs w:val="20"/>
                <w:color w:val="auto"/>
              </w:rPr>
            </w:pPr>
            <w:r>
              <w:rPr>
                <w:rFonts w:ascii="Arial" w:cs="Arial" w:eastAsia="Arial" w:hAnsi="Arial"/>
                <w:sz w:val="17"/>
                <w:szCs w:val="17"/>
                <w:color w:val="auto"/>
                <w:w w:val="92"/>
              </w:rPr>
              <w:t>Oct. 2033</w:t>
            </w:r>
          </w:p>
        </w:tc>
        <w:tc>
          <w:tcPr>
            <w:tcW w:w="180" w:type="dxa"/>
            <w:vAlign w:val="bottom"/>
          </w:tcPr>
          <w:p>
            <w:pPr>
              <w:spacing w:after="0"/>
              <w:rPr>
                <w:sz w:val="14"/>
                <w:szCs w:val="14"/>
                <w:color w:val="auto"/>
              </w:rPr>
            </w:pPr>
          </w:p>
        </w:tc>
        <w:tc>
          <w:tcPr>
            <w:tcW w:w="1340" w:type="dxa"/>
            <w:vAlign w:val="bottom"/>
            <w:vMerge w:val="restart"/>
          </w:tcPr>
          <w:p>
            <w:pPr>
              <w:jc w:val="right"/>
              <w:spacing w:after="0"/>
              <w:rPr>
                <w:sz w:val="20"/>
                <w:szCs w:val="20"/>
                <w:color w:val="auto"/>
              </w:rPr>
            </w:pPr>
            <w:r>
              <w:rPr>
                <w:rFonts w:ascii="Arial" w:cs="Arial" w:eastAsia="Arial" w:hAnsi="Arial"/>
                <w:sz w:val="17"/>
                <w:szCs w:val="17"/>
                <w:color w:val="auto"/>
              </w:rPr>
              <w:t>7,289</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7"/>
                <w:szCs w:val="17"/>
                <w:color w:val="auto"/>
              </w:rPr>
              <w:t>7,879</w:t>
            </w:r>
          </w:p>
        </w:tc>
        <w:tc>
          <w:tcPr>
            <w:tcW w:w="0" w:type="dxa"/>
            <w:vAlign w:val="bottom"/>
          </w:tcPr>
          <w:p>
            <w:pPr>
              <w:spacing w:after="0"/>
              <w:rPr>
                <w:sz w:val="1"/>
                <w:szCs w:val="1"/>
                <w:color w:val="auto"/>
              </w:rPr>
            </w:pPr>
          </w:p>
        </w:tc>
      </w:tr>
      <w:tr>
        <w:trPr>
          <w:trHeight w:val="219"/>
        </w:trPr>
        <w:tc>
          <w:tcPr>
            <w:tcW w:w="5300" w:type="dxa"/>
            <w:vAlign w:val="bottom"/>
            <w:tcBorders>
              <w:bottom w:val="single" w:sz="8" w:color="CCEEFF"/>
            </w:tcBorders>
            <w:vMerge w:val="continue"/>
          </w:tcPr>
          <w:p>
            <w:pPr>
              <w:spacing w:after="0"/>
              <w:rPr>
                <w:sz w:val="19"/>
                <w:szCs w:val="19"/>
                <w:color w:val="auto"/>
              </w:rPr>
            </w:pPr>
          </w:p>
        </w:tc>
        <w:tc>
          <w:tcPr>
            <w:tcW w:w="1480" w:type="dxa"/>
            <w:vAlign w:val="bottom"/>
            <w:tcBorders>
              <w:bottom w:val="single" w:sz="8" w:color="CCEEFF"/>
            </w:tcBorders>
            <w:gridSpan w:val="2"/>
          </w:tcPr>
          <w:p>
            <w:pPr>
              <w:jc w:val="center"/>
              <w:spacing w:after="0"/>
              <w:rPr>
                <w:sz w:val="20"/>
                <w:szCs w:val="20"/>
                <w:color w:val="auto"/>
              </w:rPr>
            </w:pPr>
            <w:r>
              <w:rPr>
                <w:rFonts w:ascii="Arial" w:cs="Arial" w:eastAsia="Arial" w:hAnsi="Arial"/>
                <w:sz w:val="17"/>
                <w:szCs w:val="17"/>
                <w:color w:val="auto"/>
                <w:w w:val="92"/>
              </w:rPr>
              <w:t>investment</w:t>
            </w:r>
          </w:p>
        </w:tc>
        <w:tc>
          <w:tcPr>
            <w:tcW w:w="1320" w:type="dxa"/>
            <w:vAlign w:val="bottom"/>
            <w:tcBorders>
              <w:bottom w:val="single" w:sz="8" w:color="CCEEFF"/>
            </w:tcBorders>
            <w:gridSpan w:val="2"/>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53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b w:val="1"/>
                <w:bCs w:val="1"/>
                <w:color w:val="auto"/>
              </w:rPr>
              <w:t>Total Other financing liabilities, at fair value</w:t>
            </w:r>
          </w:p>
        </w:tc>
        <w:tc>
          <w:tcPr>
            <w:tcW w:w="1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913,627</w:t>
            </w: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ind w:right="614"/>
              <w:spacing w:after="0"/>
              <w:rPr>
                <w:sz w:val="20"/>
                <w:szCs w:val="20"/>
                <w:color w:val="auto"/>
              </w:rPr>
            </w:pPr>
            <w:r>
              <w:rPr>
                <w:rFonts w:ascii="Arial" w:cs="Arial" w:eastAsia="Arial" w:hAnsi="Arial"/>
                <w:sz w:val="17"/>
                <w:szCs w:val="17"/>
                <w:color w:val="auto"/>
                <w:w w:val="84"/>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804,963</w:t>
            </w: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5" w:lineRule="exact"/>
        <w:rPr>
          <w:sz w:val="20"/>
          <w:szCs w:val="20"/>
          <w:color w:val="auto"/>
        </w:rPr>
      </w:pPr>
    </w:p>
    <w:p>
      <w:pPr>
        <w:ind w:left="320" w:hanging="317"/>
        <w:spacing w:after="0"/>
        <w:tabs>
          <w:tab w:leader="none" w:pos="3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See Note 8 — MSR Transfers Not Qualifying for Sale Accounting for additional information.</w:t>
      </w:r>
    </w:p>
    <w:p>
      <w:pPr>
        <w:spacing w:after="0" w:line="8" w:lineRule="exact"/>
        <w:rPr>
          <w:rFonts w:ascii="Arial" w:cs="Arial" w:eastAsia="Arial" w:hAnsi="Arial"/>
          <w:sz w:val="16"/>
          <w:szCs w:val="16"/>
          <w:color w:val="auto"/>
        </w:rPr>
      </w:pPr>
    </w:p>
    <w:p>
      <w:pPr>
        <w:ind w:left="320" w:right="200" w:hanging="317"/>
        <w:spacing w:after="0" w:line="278" w:lineRule="auto"/>
        <w:tabs>
          <w:tab w:leader="none" w:pos="3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Consists of securitization debt certificates due to third parties that represent beneficial interests in trusts that we include in our unaudited consolidated financial statements. Holders of the debt issued by the consolidated securitization trust entities have recourse only to the assets of the SPE for satisfaction of the debt and have no recourse against the assets of Ocwen. Similarly, the general creditors of Ocwen have no claim on the assets of the trusts. The certificates in the trust pay interest based on fixed rates ranging between 4.25% and 5.75% and a variable rate based on 1ML plus applicable margin, and include principal-only certificates that are not entitled to receive distributions of interest. The maturity of the certificates occurs upon maturity of the loans held by the trust.</w:t>
      </w:r>
    </w:p>
    <w:p>
      <w:pPr>
        <w:spacing w:after="0" w:line="200" w:lineRule="exact"/>
        <w:rPr>
          <w:sz w:val="20"/>
          <w:szCs w:val="20"/>
          <w:color w:val="auto"/>
        </w:rPr>
      </w:pPr>
    </w:p>
    <w:p>
      <w:pPr>
        <w:spacing w:after="0" w:line="241"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Note 13 – Borrowings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84455</wp:posOffset>
            </wp:positionV>
            <wp:extent cx="712152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820" w:type="dxa"/>
            <w:vAlign w:val="bottom"/>
            <w:gridSpan w:val="2"/>
          </w:tcPr>
          <w:p>
            <w:pPr>
              <w:ind w:left="20"/>
              <w:spacing w:after="0"/>
              <w:rPr>
                <w:sz w:val="20"/>
                <w:szCs w:val="20"/>
                <w:color w:val="auto"/>
              </w:rPr>
            </w:pPr>
            <w:r>
              <w:rPr>
                <w:rFonts w:ascii="Arial" w:cs="Arial" w:eastAsia="Arial" w:hAnsi="Arial"/>
                <w:sz w:val="17"/>
                <w:szCs w:val="17"/>
                <w:b w:val="1"/>
                <w:bCs w:val="1"/>
                <w:color w:val="auto"/>
              </w:rPr>
              <w:t>Advance Match Funded Liabilities</w:t>
            </w: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560" w:type="dxa"/>
            <w:vAlign w:val="bottom"/>
            <w:gridSpan w:val="4"/>
            <w:vMerge w:val="restart"/>
          </w:tcPr>
          <w:p>
            <w:pPr>
              <w:jc w:val="right"/>
              <w:ind w:right="594"/>
              <w:spacing w:after="0"/>
              <w:rPr>
                <w:sz w:val="20"/>
                <w:szCs w:val="20"/>
                <w:color w:val="auto"/>
              </w:rPr>
            </w:pPr>
            <w:r>
              <w:rPr>
                <w:rFonts w:ascii="Arial" w:cs="Arial" w:eastAsia="Arial" w:hAnsi="Arial"/>
                <w:sz w:val="17"/>
                <w:szCs w:val="17"/>
                <w:b w:val="1"/>
                <w:bCs w:val="1"/>
                <w:color w:val="auto"/>
              </w:rPr>
              <w:t>Borrowing Capacity</w:t>
            </w:r>
          </w:p>
        </w:tc>
        <w:tc>
          <w:tcPr>
            <w:tcW w:w="100" w:type="dxa"/>
            <w:vAlign w:val="bottom"/>
            <w:vMerge w:val="restart"/>
          </w:tcPr>
          <w:p>
            <w:pPr>
              <w:spacing w:after="0"/>
              <w:rPr>
                <w:sz w:val="19"/>
                <w:szCs w:val="19"/>
                <w:color w:val="auto"/>
              </w:rPr>
            </w:pPr>
          </w:p>
        </w:tc>
        <w:tc>
          <w:tcPr>
            <w:tcW w:w="180" w:type="dxa"/>
            <w:vAlign w:val="bottom"/>
          </w:tcPr>
          <w:p>
            <w:pPr>
              <w:spacing w:after="0"/>
              <w:rPr>
                <w:sz w:val="19"/>
                <w:szCs w:val="19"/>
                <w:color w:val="auto"/>
              </w:rPr>
            </w:pPr>
          </w:p>
        </w:tc>
        <w:tc>
          <w:tcPr>
            <w:tcW w:w="2180" w:type="dxa"/>
            <w:vAlign w:val="bottom"/>
            <w:gridSpan w:val="3"/>
            <w:vMerge w:val="restart"/>
          </w:tcPr>
          <w:p>
            <w:pPr>
              <w:jc w:val="right"/>
              <w:spacing w:after="0"/>
              <w:rPr>
                <w:sz w:val="20"/>
                <w:szCs w:val="20"/>
                <w:color w:val="auto"/>
              </w:rPr>
            </w:pPr>
            <w:r>
              <w:rPr>
                <w:rFonts w:ascii="Arial" w:cs="Arial" w:eastAsia="Arial" w:hAnsi="Arial"/>
                <w:sz w:val="17"/>
                <w:szCs w:val="17"/>
                <w:b w:val="1"/>
                <w:bCs w:val="1"/>
                <w:color w:val="auto"/>
              </w:rPr>
              <w:t>Outstanding Balance</w:t>
            </w: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2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0" w:type="dxa"/>
            <w:vAlign w:val="bottom"/>
          </w:tcPr>
          <w:p>
            <w:pPr>
              <w:spacing w:after="0"/>
              <w:rPr>
                <w:sz w:val="8"/>
                <w:szCs w:val="8"/>
                <w:color w:val="auto"/>
              </w:rPr>
            </w:pPr>
          </w:p>
        </w:tc>
        <w:tc>
          <w:tcPr>
            <w:tcW w:w="1160" w:type="dxa"/>
            <w:vAlign w:val="bottom"/>
            <w:gridSpan w:val="2"/>
            <w:vMerge w:val="restart"/>
          </w:tcPr>
          <w:p>
            <w:pPr>
              <w:jc w:val="center"/>
              <w:ind w:right="80"/>
              <w:spacing w:after="0"/>
              <w:rPr>
                <w:sz w:val="20"/>
                <w:szCs w:val="20"/>
                <w:color w:val="auto"/>
              </w:rPr>
            </w:pPr>
            <w:r>
              <w:rPr>
                <w:rFonts w:ascii="Arial" w:cs="Arial" w:eastAsia="Arial" w:hAnsi="Arial"/>
                <w:sz w:val="17"/>
                <w:szCs w:val="17"/>
                <w:b w:val="1"/>
                <w:bCs w:val="1"/>
                <w:color w:val="auto"/>
                <w:w w:val="95"/>
              </w:rPr>
              <w:t>Amort. Date</w:t>
            </w:r>
          </w:p>
        </w:tc>
        <w:tc>
          <w:tcPr>
            <w:tcW w:w="300" w:type="dxa"/>
            <w:vAlign w:val="bottom"/>
            <w:tcBorders>
              <w:bottom w:val="single" w:sz="8" w:color="auto"/>
            </w:tcBorders>
          </w:tcPr>
          <w:p>
            <w:pPr>
              <w:spacing w:after="0"/>
              <w:rPr>
                <w:sz w:val="8"/>
                <w:szCs w:val="8"/>
                <w:color w:val="auto"/>
              </w:rPr>
            </w:pPr>
          </w:p>
        </w:tc>
        <w:tc>
          <w:tcPr>
            <w:tcW w:w="2560" w:type="dxa"/>
            <w:vAlign w:val="bottom"/>
            <w:tcBorders>
              <w:bottom w:val="single" w:sz="8" w:color="auto"/>
            </w:tcBorders>
            <w:gridSpan w:val="4"/>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180" w:type="dxa"/>
            <w:vAlign w:val="bottom"/>
            <w:tcBorders>
              <w:bottom w:val="single" w:sz="8" w:color="auto"/>
            </w:tcBorders>
            <w:gridSpan w:val="3"/>
            <w:vMerge w:val="continue"/>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2720" w:type="dxa"/>
            <w:vAlign w:val="bottom"/>
            <w:vMerge w:val="restart"/>
          </w:tcPr>
          <w:p>
            <w:pPr>
              <w:ind w:left="760"/>
              <w:spacing w:after="0"/>
              <w:rPr>
                <w:sz w:val="20"/>
                <w:szCs w:val="20"/>
                <w:color w:val="auto"/>
              </w:rPr>
            </w:pPr>
            <w:r>
              <w:rPr>
                <w:rFonts w:ascii="Arial" w:cs="Arial" w:eastAsia="Arial" w:hAnsi="Arial"/>
                <w:sz w:val="17"/>
                <w:szCs w:val="17"/>
                <w:b w:val="1"/>
                <w:bCs w:val="1"/>
                <w:color w:val="auto"/>
              </w:rPr>
              <w:t>Borrowing Type</w:t>
            </w:r>
          </w:p>
        </w:tc>
        <w:tc>
          <w:tcPr>
            <w:tcW w:w="100" w:type="dxa"/>
            <w:vAlign w:val="bottom"/>
            <w:vMerge w:val="restart"/>
          </w:tcPr>
          <w:p>
            <w:pPr>
              <w:spacing w:after="0"/>
              <w:rPr>
                <w:sz w:val="12"/>
                <w:szCs w:val="12"/>
                <w:color w:val="auto"/>
              </w:rPr>
            </w:pPr>
          </w:p>
        </w:tc>
        <w:tc>
          <w:tcPr>
            <w:tcW w:w="1080" w:type="dxa"/>
            <w:vAlign w:val="bottom"/>
            <w:vMerge w:val="restart"/>
          </w:tcPr>
          <w:p>
            <w:pPr>
              <w:jc w:val="center"/>
              <w:spacing w:after="0"/>
              <w:rPr>
                <w:sz w:val="20"/>
                <w:szCs w:val="20"/>
                <w:color w:val="auto"/>
              </w:rPr>
            </w:pPr>
            <w:r>
              <w:rPr>
                <w:rFonts w:ascii="Arial" w:cs="Arial" w:eastAsia="Arial" w:hAnsi="Arial"/>
                <w:sz w:val="17"/>
                <w:szCs w:val="17"/>
                <w:b w:val="1"/>
                <w:bCs w:val="1"/>
                <w:color w:val="auto"/>
              </w:rPr>
              <w:t>Maturity (1)</w:t>
            </w:r>
          </w:p>
        </w:tc>
        <w:tc>
          <w:tcPr>
            <w:tcW w:w="80" w:type="dxa"/>
            <w:vAlign w:val="bottom"/>
            <w:vMerge w:val="restart"/>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vMerge w:val="restart"/>
          </w:tcPr>
          <w:p>
            <w:pPr>
              <w:jc w:val="right"/>
              <w:ind w:right="414"/>
              <w:spacing w:after="0"/>
              <w:rPr>
                <w:sz w:val="20"/>
                <w:szCs w:val="20"/>
                <w:color w:val="auto"/>
              </w:rPr>
            </w:pPr>
            <w:r>
              <w:rPr>
                <w:rFonts w:ascii="Arial" w:cs="Arial" w:eastAsia="Arial" w:hAnsi="Arial"/>
                <w:sz w:val="17"/>
                <w:szCs w:val="17"/>
                <w:b w:val="1"/>
                <w:bCs w:val="1"/>
                <w:color w:val="auto"/>
              </w:rPr>
              <w:t>Total</w:t>
            </w:r>
          </w:p>
        </w:tc>
        <w:tc>
          <w:tcPr>
            <w:tcW w:w="1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vMerge w:val="restart"/>
          </w:tcPr>
          <w:p>
            <w:pPr>
              <w:jc w:val="right"/>
              <w:ind w:right="134"/>
              <w:spacing w:after="0"/>
              <w:rPr>
                <w:sz w:val="20"/>
                <w:szCs w:val="20"/>
                <w:color w:val="auto"/>
              </w:rPr>
            </w:pPr>
            <w:r>
              <w:rPr>
                <w:rFonts w:ascii="Arial" w:cs="Arial" w:eastAsia="Arial" w:hAnsi="Arial"/>
                <w:sz w:val="17"/>
                <w:szCs w:val="17"/>
                <w:b w:val="1"/>
                <w:bCs w:val="1"/>
                <w:color w:val="auto"/>
                <w:w w:val="97"/>
              </w:rPr>
              <w:t>Available (2)</w:t>
            </w:r>
          </w:p>
        </w:tc>
        <w:tc>
          <w:tcPr>
            <w:tcW w:w="10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vMerge w:val="restart"/>
          </w:tcPr>
          <w:p>
            <w:pPr>
              <w:jc w:val="right"/>
              <w:ind w:right="174"/>
              <w:spacing w:after="0"/>
              <w:rPr>
                <w:sz w:val="20"/>
                <w:szCs w:val="20"/>
                <w:color w:val="auto"/>
              </w:rPr>
            </w:pPr>
            <w:r>
              <w:rPr>
                <w:rFonts w:ascii="Arial" w:cs="Arial" w:eastAsia="Arial" w:hAnsi="Arial"/>
                <w:sz w:val="17"/>
                <w:szCs w:val="17"/>
                <w:b w:val="1"/>
                <w:bCs w:val="1"/>
                <w:color w:val="auto"/>
                <w:w w:val="95"/>
              </w:rPr>
              <w:t>June 30, 2022</w:t>
            </w:r>
          </w:p>
        </w:tc>
        <w:tc>
          <w:tcPr>
            <w:tcW w:w="100" w:type="dxa"/>
            <w:vAlign w:val="bottom"/>
            <w:vMerge w:val="restart"/>
          </w:tcPr>
          <w:p>
            <w:pPr>
              <w:spacing w:after="0"/>
              <w:rPr>
                <w:sz w:val="12"/>
                <w:szCs w:val="12"/>
                <w:color w:val="auto"/>
              </w:rPr>
            </w:pPr>
          </w:p>
        </w:tc>
        <w:tc>
          <w:tcPr>
            <w:tcW w:w="1520" w:type="dxa"/>
            <w:vAlign w:val="bottom"/>
            <w:gridSpan w:val="2"/>
            <w:vMerge w:val="restart"/>
          </w:tcPr>
          <w:p>
            <w:pPr>
              <w:jc w:val="right"/>
              <w:spacing w:after="0"/>
              <w:rPr>
                <w:sz w:val="20"/>
                <w:szCs w:val="20"/>
                <w:color w:val="auto"/>
              </w:rPr>
            </w:pPr>
            <w:r>
              <w:rPr>
                <w:rFonts w:ascii="Arial" w:cs="Arial" w:eastAsia="Arial" w:hAnsi="Arial"/>
                <w:sz w:val="17"/>
                <w:szCs w:val="17"/>
                <w:b w:val="1"/>
                <w:bCs w:val="1"/>
                <w:color w:val="auto"/>
                <w:w w:val="94"/>
              </w:rPr>
              <w:t>December 31, 2021</w:t>
            </w:r>
          </w:p>
        </w:tc>
        <w:tc>
          <w:tcPr>
            <w:tcW w:w="0" w:type="dxa"/>
            <w:vAlign w:val="bottom"/>
          </w:tcPr>
          <w:p>
            <w:pPr>
              <w:spacing w:after="0"/>
              <w:rPr>
                <w:sz w:val="1"/>
                <w:szCs w:val="1"/>
                <w:color w:val="auto"/>
              </w:rPr>
            </w:pPr>
          </w:p>
        </w:tc>
      </w:tr>
      <w:tr>
        <w:trPr>
          <w:trHeight w:val="220"/>
        </w:trPr>
        <w:tc>
          <w:tcPr>
            <w:tcW w:w="27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vMerge w:val="continue"/>
          </w:tcPr>
          <w:p>
            <w:pPr>
              <w:spacing w:after="0"/>
              <w:rPr>
                <w:sz w:val="19"/>
                <w:szCs w:val="19"/>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6"/>
              </w:rPr>
              <w:t>(1)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1520" w:type="dxa"/>
            <w:vAlign w:val="bottom"/>
            <w:tcBorders>
              <w:bottom w:val="single" w:sz="8" w:color="auto"/>
            </w:tcBorders>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1"/>
        </w:trPr>
        <w:tc>
          <w:tcPr>
            <w:tcW w:w="2820" w:type="dxa"/>
            <w:vAlign w:val="bottom"/>
            <w:gridSpan w:val="2"/>
            <w:shd w:val="clear" w:color="auto" w:fill="CCEEFF"/>
          </w:tcPr>
          <w:p>
            <w:pPr>
              <w:ind w:left="20"/>
              <w:spacing w:after="0" w:line="162" w:lineRule="exact"/>
              <w:rPr>
                <w:sz w:val="20"/>
                <w:szCs w:val="20"/>
                <w:color w:val="auto"/>
              </w:rPr>
            </w:pPr>
            <w:r>
              <w:rPr>
                <w:rFonts w:ascii="Arial" w:cs="Arial" w:eastAsia="Arial" w:hAnsi="Arial"/>
                <w:sz w:val="17"/>
                <w:szCs w:val="17"/>
                <w:color w:val="auto"/>
                <w:w w:val="97"/>
              </w:rPr>
              <w:t>Advance Receivables Backed Notes -</w:t>
            </w:r>
          </w:p>
        </w:tc>
        <w:tc>
          <w:tcPr>
            <w:tcW w:w="116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7"/>
                <w:szCs w:val="17"/>
                <w:color w:val="auto"/>
                <w:w w:val="91"/>
              </w:rPr>
              <w:t>Jun. 2052</w:t>
            </w:r>
          </w:p>
        </w:tc>
        <w:tc>
          <w:tcPr>
            <w:tcW w:w="116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7"/>
                <w:szCs w:val="17"/>
                <w:color w:val="auto"/>
                <w:w w:val="95"/>
              </w:rPr>
              <w:t>Aug. 2022</w:t>
            </w:r>
          </w:p>
        </w:tc>
        <w:tc>
          <w:tcPr>
            <w:tcW w:w="300" w:type="dxa"/>
            <w:vAlign w:val="bottom"/>
            <w:vMerge w:val="restart"/>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80,000</w:t>
            </w:r>
          </w:p>
        </w:tc>
        <w:tc>
          <w:tcPr>
            <w:tcW w:w="10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73,165</w:t>
            </w:r>
          </w:p>
        </w:tc>
        <w:tc>
          <w:tcPr>
            <w:tcW w:w="100" w:type="dxa"/>
            <w:vAlign w:val="bottom"/>
            <w:shd w:val="clear" w:color="auto" w:fill="CCEEFF"/>
          </w:tcPr>
          <w:p>
            <w:pPr>
              <w:spacing w:after="0"/>
              <w:rPr>
                <w:sz w:val="14"/>
                <w:szCs w:val="14"/>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vMerge w:val="restart"/>
            <w:shd w:val="clear" w:color="auto" w:fill="CCEEFF"/>
          </w:tcPr>
          <w:p>
            <w:pPr>
              <w:jc w:val="right"/>
              <w:ind w:right="114"/>
              <w:spacing w:after="0"/>
              <w:rPr>
                <w:sz w:val="20"/>
                <w:szCs w:val="20"/>
                <w:color w:val="auto"/>
              </w:rPr>
            </w:pPr>
            <w:r>
              <w:rPr>
                <w:rFonts w:ascii="Arial" w:cs="Arial" w:eastAsia="Arial" w:hAnsi="Arial"/>
                <w:sz w:val="17"/>
                <w:szCs w:val="17"/>
                <w:color w:val="auto"/>
              </w:rPr>
              <w:t>6,835</w:t>
            </w:r>
          </w:p>
        </w:tc>
        <w:tc>
          <w:tcPr>
            <w:tcW w:w="10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ind w:right="554"/>
              <w:spacing w:after="0"/>
              <w:rPr>
                <w:sz w:val="20"/>
                <w:szCs w:val="20"/>
                <w:color w:val="auto"/>
              </w:rPr>
            </w:pPr>
            <w:r>
              <w:rPr>
                <w:rFonts w:ascii="Arial" w:cs="Arial" w:eastAsia="Arial" w:hAnsi="Arial"/>
                <w:sz w:val="17"/>
                <w:szCs w:val="17"/>
                <w:color w:val="auto"/>
                <w:w w:val="84"/>
              </w:rPr>
              <w:t>$</w:t>
            </w:r>
          </w:p>
        </w:tc>
        <w:tc>
          <w:tcPr>
            <w:tcW w:w="780" w:type="dxa"/>
            <w:vAlign w:val="bottom"/>
            <w:vMerge w:val="restart"/>
            <w:shd w:val="clear" w:color="auto" w:fill="CCEEFF"/>
          </w:tcPr>
          <w:p>
            <w:pPr>
              <w:jc w:val="right"/>
              <w:ind w:right="114"/>
              <w:spacing w:after="0"/>
              <w:rPr>
                <w:sz w:val="20"/>
                <w:szCs w:val="20"/>
                <w:color w:val="auto"/>
              </w:rPr>
            </w:pPr>
            <w:r>
              <w:rPr>
                <w:rFonts w:ascii="Arial" w:cs="Arial" w:eastAsia="Arial" w:hAnsi="Arial"/>
                <w:sz w:val="17"/>
                <w:szCs w:val="17"/>
                <w:color w:val="auto"/>
              </w:rPr>
              <w:t>14,231</w:t>
            </w:r>
          </w:p>
        </w:tc>
        <w:tc>
          <w:tcPr>
            <w:tcW w:w="0" w:type="dxa"/>
            <w:vAlign w:val="bottom"/>
          </w:tcPr>
          <w:p>
            <w:pPr>
              <w:spacing w:after="0"/>
              <w:rPr>
                <w:sz w:val="1"/>
                <w:szCs w:val="1"/>
                <w:color w:val="auto"/>
              </w:rPr>
            </w:pPr>
          </w:p>
        </w:tc>
      </w:tr>
      <w:tr>
        <w:trPr>
          <w:trHeight w:val="219"/>
        </w:trPr>
        <w:tc>
          <w:tcPr>
            <w:tcW w:w="282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Series 2015-VF5 (3)</w:t>
            </w:r>
          </w:p>
        </w:tc>
        <w:tc>
          <w:tcPr>
            <w:tcW w:w="1160" w:type="dxa"/>
            <w:vAlign w:val="bottom"/>
            <w:gridSpan w:val="2"/>
            <w:vMerge w:val="continue"/>
            <w:shd w:val="clear" w:color="auto" w:fill="CCEEFF"/>
          </w:tcPr>
          <w:p>
            <w:pPr>
              <w:spacing w:after="0"/>
              <w:rPr>
                <w:sz w:val="19"/>
                <w:szCs w:val="19"/>
                <w:color w:val="auto"/>
              </w:rPr>
            </w:pPr>
          </w:p>
        </w:tc>
        <w:tc>
          <w:tcPr>
            <w:tcW w:w="1160" w:type="dxa"/>
            <w:vAlign w:val="bottom"/>
            <w:gridSpan w:val="2"/>
            <w:vMerge w:val="continue"/>
            <w:shd w:val="clear" w:color="auto" w:fill="CCEEFF"/>
          </w:tcPr>
          <w:p>
            <w:pPr>
              <w:spacing w:after="0"/>
              <w:rPr>
                <w:sz w:val="19"/>
                <w:szCs w:val="19"/>
                <w:color w:val="auto"/>
              </w:rPr>
            </w:pPr>
          </w:p>
        </w:tc>
        <w:tc>
          <w:tcPr>
            <w:tcW w:w="300" w:type="dxa"/>
            <w:vAlign w:val="bottom"/>
            <w:vMerge w:val="continue"/>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13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2820" w:type="dxa"/>
            <w:vAlign w:val="bottom"/>
            <w:gridSpan w:val="2"/>
          </w:tcPr>
          <w:p>
            <w:pPr>
              <w:ind w:left="20"/>
              <w:spacing w:after="0" w:line="168" w:lineRule="exact"/>
              <w:rPr>
                <w:sz w:val="20"/>
                <w:szCs w:val="20"/>
                <w:color w:val="auto"/>
              </w:rPr>
            </w:pPr>
            <w:r>
              <w:rPr>
                <w:rFonts w:ascii="Arial" w:cs="Arial" w:eastAsia="Arial" w:hAnsi="Arial"/>
                <w:sz w:val="17"/>
                <w:szCs w:val="17"/>
                <w:color w:val="auto"/>
                <w:w w:val="99"/>
              </w:rPr>
              <w:t>Advance Receivables Backed Notes,</w:t>
            </w:r>
          </w:p>
        </w:tc>
        <w:tc>
          <w:tcPr>
            <w:tcW w:w="1160" w:type="dxa"/>
            <w:vAlign w:val="bottom"/>
            <w:gridSpan w:val="2"/>
            <w:vMerge w:val="restart"/>
          </w:tcPr>
          <w:p>
            <w:pPr>
              <w:jc w:val="center"/>
              <w:ind w:right="80"/>
              <w:spacing w:after="0"/>
              <w:rPr>
                <w:sz w:val="20"/>
                <w:szCs w:val="20"/>
                <w:color w:val="auto"/>
              </w:rPr>
            </w:pPr>
            <w:r>
              <w:rPr>
                <w:rFonts w:ascii="Arial" w:cs="Arial" w:eastAsia="Arial" w:hAnsi="Arial"/>
                <w:sz w:val="17"/>
                <w:szCs w:val="17"/>
                <w:color w:val="auto"/>
                <w:w w:val="92"/>
              </w:rPr>
              <w:t>Aug. 2052</w:t>
            </w:r>
          </w:p>
        </w:tc>
        <w:tc>
          <w:tcPr>
            <w:tcW w:w="1160" w:type="dxa"/>
            <w:vAlign w:val="bottom"/>
            <w:gridSpan w:val="2"/>
            <w:vMerge w:val="restart"/>
          </w:tcPr>
          <w:p>
            <w:pPr>
              <w:jc w:val="center"/>
              <w:ind w:right="100"/>
              <w:spacing w:after="0"/>
              <w:rPr>
                <w:sz w:val="20"/>
                <w:szCs w:val="20"/>
                <w:color w:val="auto"/>
              </w:rPr>
            </w:pPr>
            <w:r>
              <w:rPr>
                <w:rFonts w:ascii="Arial" w:cs="Arial" w:eastAsia="Arial" w:hAnsi="Arial"/>
                <w:sz w:val="17"/>
                <w:szCs w:val="17"/>
                <w:color w:val="auto"/>
                <w:w w:val="95"/>
              </w:rPr>
              <w:t>Aug. 2022</w:t>
            </w:r>
          </w:p>
        </w:tc>
        <w:tc>
          <w:tcPr>
            <w:tcW w:w="30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7"/>
                <w:szCs w:val="17"/>
                <w:color w:val="auto"/>
              </w:rPr>
              <w:t>430,000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4"/>
                <w:szCs w:val="14"/>
                <w:color w:val="auto"/>
              </w:rPr>
            </w:pPr>
          </w:p>
        </w:tc>
        <w:tc>
          <w:tcPr>
            <w:tcW w:w="1340" w:type="dxa"/>
            <w:vAlign w:val="bottom"/>
            <w:vMerge w:val="restart"/>
          </w:tcPr>
          <w:p>
            <w:pPr>
              <w:jc w:val="right"/>
              <w:ind w:right="114"/>
              <w:spacing w:after="0"/>
              <w:rPr>
                <w:sz w:val="20"/>
                <w:szCs w:val="20"/>
                <w:color w:val="auto"/>
              </w:rPr>
            </w:pPr>
            <w:r>
              <w:rPr>
                <w:rFonts w:ascii="Arial" w:cs="Arial" w:eastAsia="Arial" w:hAnsi="Arial"/>
                <w:sz w:val="17"/>
                <w:szCs w:val="17"/>
                <w:color w:val="auto"/>
              </w:rPr>
              <w:t>430,000</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vMerge w:val="restart"/>
          </w:tcPr>
          <w:p>
            <w:pPr>
              <w:jc w:val="right"/>
              <w:ind w:right="114"/>
              <w:spacing w:after="0"/>
              <w:rPr>
                <w:sz w:val="20"/>
                <w:szCs w:val="20"/>
                <w:color w:val="auto"/>
              </w:rPr>
            </w:pPr>
            <w:r>
              <w:rPr>
                <w:rFonts w:ascii="Arial" w:cs="Arial" w:eastAsia="Arial" w:hAnsi="Arial"/>
                <w:sz w:val="17"/>
                <w:szCs w:val="17"/>
                <w:color w:val="auto"/>
                <w:w w:val="91"/>
              </w:rPr>
              <w:t>475,000</w:t>
            </w:r>
          </w:p>
        </w:tc>
        <w:tc>
          <w:tcPr>
            <w:tcW w:w="0" w:type="dxa"/>
            <w:vAlign w:val="bottom"/>
          </w:tcPr>
          <w:p>
            <w:pPr>
              <w:spacing w:after="0"/>
              <w:rPr>
                <w:sz w:val="1"/>
                <w:szCs w:val="1"/>
                <w:color w:val="auto"/>
              </w:rPr>
            </w:pPr>
          </w:p>
        </w:tc>
      </w:tr>
      <w:tr>
        <w:trPr>
          <w:trHeight w:val="219"/>
        </w:trPr>
        <w:tc>
          <w:tcPr>
            <w:tcW w:w="2820" w:type="dxa"/>
            <w:vAlign w:val="bottom"/>
            <w:gridSpan w:val="2"/>
          </w:tcPr>
          <w:p>
            <w:pPr>
              <w:ind w:left="180"/>
              <w:spacing w:after="0"/>
              <w:rPr>
                <w:sz w:val="20"/>
                <w:szCs w:val="20"/>
                <w:color w:val="auto"/>
              </w:rPr>
            </w:pPr>
            <w:r>
              <w:rPr>
                <w:rFonts w:ascii="Arial" w:cs="Arial" w:eastAsia="Arial" w:hAnsi="Arial"/>
                <w:sz w:val="17"/>
                <w:szCs w:val="17"/>
                <w:color w:val="auto"/>
              </w:rPr>
              <w:t>Series 2020-T1 (4)</w:t>
            </w:r>
          </w:p>
        </w:tc>
        <w:tc>
          <w:tcPr>
            <w:tcW w:w="1160" w:type="dxa"/>
            <w:vAlign w:val="bottom"/>
            <w:gridSpan w:val="2"/>
            <w:vMerge w:val="continue"/>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140" w:type="dxa"/>
            <w:vAlign w:val="bottom"/>
            <w:tcBorders>
              <w:top w:val="single" w:sz="8" w:color="CCEEFF"/>
            </w:tcBorders>
            <w:gridSpan w:val="6"/>
            <w:shd w:val="clear" w:color="auto" w:fill="CCEEFF"/>
          </w:tcPr>
          <w:p>
            <w:pPr>
              <w:ind w:left="160"/>
              <w:spacing w:after="0"/>
              <w:rPr>
                <w:sz w:val="20"/>
                <w:szCs w:val="20"/>
                <w:color w:val="auto"/>
              </w:rPr>
            </w:pPr>
            <w:r>
              <w:rPr>
                <w:rFonts w:ascii="Arial" w:cs="Arial" w:eastAsia="Arial" w:hAnsi="Arial"/>
                <w:sz w:val="17"/>
                <w:szCs w:val="17"/>
                <w:b w:val="1"/>
                <w:bCs w:val="1"/>
                <w:color w:val="auto"/>
              </w:rPr>
              <w:t>Total Ocwen Master Advance Receivables Trust (OMART)</w:t>
            </w:r>
          </w:p>
        </w:tc>
        <w:tc>
          <w:tcPr>
            <w:tcW w:w="3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510,000</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73,165</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436,835</w:t>
            </w:r>
          </w:p>
        </w:tc>
        <w:tc>
          <w:tcPr>
            <w:tcW w:w="1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w w:val="91"/>
              </w:rPr>
              <w:t>489,231</w:t>
            </w:r>
          </w:p>
        </w:tc>
        <w:tc>
          <w:tcPr>
            <w:tcW w:w="0" w:type="dxa"/>
            <w:vAlign w:val="bottom"/>
          </w:tcPr>
          <w:p>
            <w:pPr>
              <w:spacing w:after="0"/>
              <w:rPr>
                <w:sz w:val="1"/>
                <w:szCs w:val="1"/>
                <w:color w:val="auto"/>
              </w:rPr>
            </w:pPr>
          </w:p>
        </w:tc>
      </w:tr>
      <w:tr>
        <w:trPr>
          <w:trHeight w:val="168"/>
        </w:trPr>
        <w:tc>
          <w:tcPr>
            <w:tcW w:w="2820" w:type="dxa"/>
            <w:vAlign w:val="bottom"/>
            <w:gridSpan w:val="2"/>
          </w:tcPr>
          <w:p>
            <w:pPr>
              <w:ind w:left="140"/>
              <w:spacing w:after="0" w:line="168" w:lineRule="exact"/>
              <w:rPr>
                <w:sz w:val="20"/>
                <w:szCs w:val="20"/>
                <w:color w:val="auto"/>
              </w:rPr>
            </w:pPr>
            <w:r>
              <w:rPr>
                <w:rFonts w:ascii="Arial" w:cs="Arial" w:eastAsia="Arial" w:hAnsi="Arial"/>
                <w:sz w:val="17"/>
                <w:szCs w:val="17"/>
                <w:b w:val="1"/>
                <w:bCs w:val="1"/>
                <w:color w:val="auto"/>
              </w:rPr>
              <w:t>Ocwen GSE Advance Funding</w:t>
            </w: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820" w:type="dxa"/>
            <w:vAlign w:val="bottom"/>
            <w:gridSpan w:val="2"/>
          </w:tcPr>
          <w:p>
            <w:pPr>
              <w:ind w:left="300"/>
              <w:spacing w:after="0" w:line="168" w:lineRule="exact"/>
              <w:rPr>
                <w:sz w:val="20"/>
                <w:szCs w:val="20"/>
                <w:color w:val="auto"/>
              </w:rPr>
            </w:pPr>
            <w:r>
              <w:rPr>
                <w:rFonts w:ascii="Arial" w:cs="Arial" w:eastAsia="Arial" w:hAnsi="Arial"/>
                <w:sz w:val="17"/>
                <w:szCs w:val="17"/>
                <w:b w:val="1"/>
                <w:bCs w:val="1"/>
                <w:color w:val="auto"/>
              </w:rPr>
              <w:t>(OGAF</w:t>
            </w:r>
            <w:r>
              <w:rPr>
                <w:rFonts w:ascii="Arial" w:cs="Arial" w:eastAsia="Arial" w:hAnsi="Arial"/>
                <w:sz w:val="17"/>
                <w:szCs w:val="17"/>
                <w:color w:val="auto"/>
              </w:rPr>
              <w:t>) - Advance Receivables</w:t>
            </w: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820" w:type="dxa"/>
            <w:vAlign w:val="bottom"/>
            <w:gridSpan w:val="2"/>
          </w:tcPr>
          <w:p>
            <w:pPr>
              <w:ind w:left="300"/>
              <w:spacing w:after="0" w:line="168" w:lineRule="exact"/>
              <w:rPr>
                <w:sz w:val="20"/>
                <w:szCs w:val="20"/>
                <w:color w:val="auto"/>
              </w:rPr>
            </w:pPr>
            <w:r>
              <w:rPr>
                <w:rFonts w:ascii="Arial" w:cs="Arial" w:eastAsia="Arial" w:hAnsi="Arial"/>
                <w:sz w:val="17"/>
                <w:szCs w:val="17"/>
                <w:color w:val="auto"/>
              </w:rPr>
              <w:t>Backed Notes, Series 2015-VF1</w:t>
            </w:r>
          </w:p>
        </w:tc>
        <w:tc>
          <w:tcPr>
            <w:tcW w:w="1160" w:type="dxa"/>
            <w:vAlign w:val="bottom"/>
            <w:gridSpan w:val="2"/>
            <w:vMerge w:val="restart"/>
          </w:tcPr>
          <w:p>
            <w:pPr>
              <w:jc w:val="center"/>
              <w:ind w:right="80"/>
              <w:spacing w:after="0"/>
              <w:rPr>
                <w:sz w:val="20"/>
                <w:szCs w:val="20"/>
                <w:color w:val="auto"/>
              </w:rPr>
            </w:pPr>
            <w:r>
              <w:rPr>
                <w:rFonts w:ascii="Arial" w:cs="Arial" w:eastAsia="Arial" w:hAnsi="Arial"/>
                <w:sz w:val="17"/>
                <w:szCs w:val="17"/>
                <w:color w:val="auto"/>
                <w:w w:val="92"/>
              </w:rPr>
              <w:t>Aug. 2052</w:t>
            </w:r>
          </w:p>
        </w:tc>
        <w:tc>
          <w:tcPr>
            <w:tcW w:w="1160" w:type="dxa"/>
            <w:vAlign w:val="bottom"/>
            <w:gridSpan w:val="2"/>
            <w:vMerge w:val="restart"/>
          </w:tcPr>
          <w:p>
            <w:pPr>
              <w:jc w:val="center"/>
              <w:ind w:right="100"/>
              <w:spacing w:after="0"/>
              <w:rPr>
                <w:sz w:val="20"/>
                <w:szCs w:val="20"/>
                <w:color w:val="auto"/>
              </w:rPr>
            </w:pPr>
            <w:r>
              <w:rPr>
                <w:rFonts w:ascii="Arial" w:cs="Arial" w:eastAsia="Arial" w:hAnsi="Arial"/>
                <w:sz w:val="17"/>
                <w:szCs w:val="17"/>
                <w:color w:val="auto"/>
                <w:w w:val="95"/>
              </w:rPr>
              <w:t>Aug. 2022</w:t>
            </w:r>
          </w:p>
        </w:tc>
        <w:tc>
          <w:tcPr>
            <w:tcW w:w="30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7"/>
                <w:szCs w:val="17"/>
                <w:color w:val="auto"/>
              </w:rPr>
              <w:t>40,000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Arial" w:cs="Arial" w:eastAsia="Arial" w:hAnsi="Arial"/>
                <w:sz w:val="17"/>
                <w:szCs w:val="17"/>
                <w:color w:val="auto"/>
              </w:rPr>
              <w:t>1,348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vMerge w:val="restart"/>
          </w:tcPr>
          <w:p>
            <w:pPr>
              <w:jc w:val="right"/>
              <w:ind w:right="114"/>
              <w:spacing w:after="0"/>
              <w:rPr>
                <w:sz w:val="20"/>
                <w:szCs w:val="20"/>
                <w:color w:val="auto"/>
              </w:rPr>
            </w:pPr>
            <w:r>
              <w:rPr>
                <w:rFonts w:ascii="Arial" w:cs="Arial" w:eastAsia="Arial" w:hAnsi="Arial"/>
                <w:sz w:val="17"/>
                <w:szCs w:val="17"/>
                <w:color w:val="auto"/>
              </w:rPr>
              <w:t>38,652</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vMerge w:val="restart"/>
          </w:tcPr>
          <w:p>
            <w:pPr>
              <w:jc w:val="right"/>
              <w:ind w:right="114"/>
              <w:spacing w:after="0"/>
              <w:rPr>
                <w:sz w:val="20"/>
                <w:szCs w:val="20"/>
                <w:color w:val="auto"/>
              </w:rPr>
            </w:pPr>
            <w:r>
              <w:rPr>
                <w:rFonts w:ascii="Arial" w:cs="Arial" w:eastAsia="Arial" w:hAnsi="Arial"/>
                <w:sz w:val="17"/>
                <w:szCs w:val="17"/>
                <w:color w:val="auto"/>
              </w:rPr>
              <w:t>23,065</w:t>
            </w:r>
          </w:p>
        </w:tc>
        <w:tc>
          <w:tcPr>
            <w:tcW w:w="0" w:type="dxa"/>
            <w:vAlign w:val="bottom"/>
          </w:tcPr>
          <w:p>
            <w:pPr>
              <w:spacing w:after="0"/>
              <w:rPr>
                <w:sz w:val="1"/>
                <w:szCs w:val="1"/>
                <w:color w:val="auto"/>
              </w:rPr>
            </w:pPr>
          </w:p>
        </w:tc>
      </w:tr>
      <w:tr>
        <w:trPr>
          <w:trHeight w:val="219"/>
        </w:trPr>
        <w:tc>
          <w:tcPr>
            <w:tcW w:w="2720" w:type="dxa"/>
            <w:vAlign w:val="bottom"/>
          </w:tcPr>
          <w:p>
            <w:pPr>
              <w:ind w:left="300"/>
              <w:spacing w:after="0"/>
              <w:rPr>
                <w:sz w:val="20"/>
                <w:szCs w:val="20"/>
                <w:color w:val="auto"/>
              </w:rPr>
            </w:pPr>
            <w:r>
              <w:rPr>
                <w:rFonts w:ascii="Arial" w:cs="Arial" w:eastAsia="Arial" w:hAnsi="Arial"/>
                <w:sz w:val="17"/>
                <w:szCs w:val="17"/>
                <w:color w:val="auto"/>
              </w:rPr>
              <w:t>(5)</w:t>
            </w:r>
          </w:p>
        </w:tc>
        <w:tc>
          <w:tcPr>
            <w:tcW w:w="10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820" w:type="dxa"/>
            <w:vAlign w:val="bottom"/>
            <w:gridSpan w:val="2"/>
            <w:shd w:val="clear" w:color="auto" w:fill="CCEEFF"/>
          </w:tcPr>
          <w:p>
            <w:pPr>
              <w:ind w:left="160"/>
              <w:spacing w:after="0"/>
              <w:rPr>
                <w:sz w:val="20"/>
                <w:szCs w:val="20"/>
                <w:color w:val="auto"/>
              </w:rPr>
            </w:pPr>
            <w:r>
              <w:rPr>
                <w:rFonts w:ascii="Arial" w:cs="Arial" w:eastAsia="Arial" w:hAnsi="Arial"/>
                <w:sz w:val="17"/>
                <w:szCs w:val="17"/>
                <w:b w:val="1"/>
                <w:bCs w:val="1"/>
                <w:color w:val="auto"/>
              </w:rPr>
              <w:t>EBO Advance facility (6)</w:t>
            </w:r>
          </w:p>
        </w:tc>
        <w:tc>
          <w:tcPr>
            <w:tcW w:w="1160" w:type="dxa"/>
            <w:vAlign w:val="bottom"/>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93"/>
              </w:rPr>
              <w:t>May 2026</w:t>
            </w:r>
          </w:p>
        </w:tc>
        <w:tc>
          <w:tcPr>
            <w:tcW w:w="1160" w:type="dxa"/>
            <w:vAlign w:val="bottom"/>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93"/>
              </w:rPr>
              <w:t>May 2026</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20,000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18,509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1,491</w:t>
            </w:r>
          </w:p>
        </w:tc>
        <w:tc>
          <w:tcPr>
            <w:tcW w:w="10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554"/>
              <w:spacing w:after="0"/>
              <w:rPr>
                <w:sz w:val="20"/>
                <w:szCs w:val="20"/>
                <w:color w:val="auto"/>
              </w:rPr>
            </w:pPr>
            <w:r>
              <w:rPr>
                <w:rFonts w:ascii="Arial" w:cs="Arial" w:eastAsia="Arial" w:hAnsi="Arial"/>
                <w:sz w:val="17"/>
                <w:szCs w:val="17"/>
                <w:color w:val="auto"/>
                <w:w w:val="84"/>
              </w:rPr>
              <w:t>$</w:t>
            </w:r>
          </w:p>
        </w:tc>
        <w:tc>
          <w:tcPr>
            <w:tcW w:w="78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48"/>
        </w:trPr>
        <w:tc>
          <w:tcPr>
            <w:tcW w:w="2820" w:type="dxa"/>
            <w:vAlign w:val="bottom"/>
            <w:gridSpan w:val="2"/>
          </w:tcPr>
          <w:p>
            <w:pPr>
              <w:ind w:left="360"/>
              <w:spacing w:after="0" w:line="148" w:lineRule="exact"/>
              <w:rPr>
                <w:sz w:val="20"/>
                <w:szCs w:val="20"/>
                <w:color w:val="auto"/>
              </w:rPr>
            </w:pPr>
            <w:r>
              <w:rPr>
                <w:rFonts w:ascii="Arial" w:cs="Arial" w:eastAsia="Arial" w:hAnsi="Arial"/>
                <w:sz w:val="17"/>
                <w:szCs w:val="17"/>
                <w:b w:val="1"/>
                <w:bCs w:val="1"/>
                <w:color w:val="auto"/>
              </w:rPr>
              <w:t>Total Servicing Advance</w:t>
            </w: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vMerge w:val="restart"/>
          </w:tcPr>
          <w:p>
            <w:pPr>
              <w:jc w:val="right"/>
              <w:ind w:right="114"/>
              <w:spacing w:after="0"/>
              <w:rPr>
                <w:sz w:val="20"/>
                <w:szCs w:val="20"/>
                <w:color w:val="auto"/>
              </w:rPr>
            </w:pPr>
            <w:r>
              <w:rPr>
                <w:rFonts w:ascii="Arial" w:cs="Arial" w:eastAsia="Arial" w:hAnsi="Arial"/>
                <w:sz w:val="17"/>
                <w:szCs w:val="17"/>
                <w:color w:val="auto"/>
                <w:w w:val="84"/>
              </w:rPr>
              <w:t>$</w:t>
            </w:r>
          </w:p>
        </w:tc>
        <w:tc>
          <w:tcPr>
            <w:tcW w:w="1080" w:type="dxa"/>
            <w:vAlign w:val="bottom"/>
            <w:vMerge w:val="restart"/>
          </w:tcPr>
          <w:p>
            <w:pPr>
              <w:jc w:val="right"/>
              <w:spacing w:after="0"/>
              <w:rPr>
                <w:sz w:val="20"/>
                <w:szCs w:val="20"/>
                <w:color w:val="auto"/>
              </w:rPr>
            </w:pPr>
            <w:r>
              <w:rPr>
                <w:rFonts w:ascii="Arial" w:cs="Arial" w:eastAsia="Arial" w:hAnsi="Arial"/>
                <w:sz w:val="17"/>
                <w:szCs w:val="17"/>
                <w:color w:val="auto"/>
              </w:rPr>
              <w:t>570,000</w:t>
            </w:r>
          </w:p>
        </w:tc>
        <w:tc>
          <w:tcPr>
            <w:tcW w:w="100" w:type="dxa"/>
            <w:vAlign w:val="bottom"/>
          </w:tcPr>
          <w:p>
            <w:pPr>
              <w:spacing w:after="0"/>
              <w:rPr>
                <w:sz w:val="12"/>
                <w:szCs w:val="12"/>
                <w:color w:val="auto"/>
              </w:rPr>
            </w:pPr>
          </w:p>
        </w:tc>
        <w:tc>
          <w:tcPr>
            <w:tcW w:w="160" w:type="dxa"/>
            <w:vAlign w:val="bottom"/>
            <w:vMerge w:val="restart"/>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vMerge w:val="restart"/>
          </w:tcPr>
          <w:p>
            <w:pPr>
              <w:jc w:val="right"/>
              <w:spacing w:after="0"/>
              <w:rPr>
                <w:sz w:val="20"/>
                <w:szCs w:val="20"/>
                <w:color w:val="auto"/>
              </w:rPr>
            </w:pPr>
            <w:r>
              <w:rPr>
                <w:rFonts w:ascii="Arial" w:cs="Arial" w:eastAsia="Arial" w:hAnsi="Arial"/>
                <w:sz w:val="17"/>
                <w:szCs w:val="17"/>
                <w:color w:val="auto"/>
              </w:rPr>
              <w:t>93,022</w:t>
            </w:r>
          </w:p>
        </w:tc>
        <w:tc>
          <w:tcPr>
            <w:tcW w:w="100" w:type="dxa"/>
            <w:vAlign w:val="bottom"/>
          </w:tcPr>
          <w:p>
            <w:pPr>
              <w:spacing w:after="0"/>
              <w:rPr>
                <w:sz w:val="12"/>
                <w:szCs w:val="12"/>
                <w:color w:val="auto"/>
              </w:rPr>
            </w:pPr>
          </w:p>
        </w:tc>
        <w:tc>
          <w:tcPr>
            <w:tcW w:w="180" w:type="dxa"/>
            <w:vAlign w:val="bottom"/>
            <w:vMerge w:val="restart"/>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vMerge w:val="restart"/>
          </w:tcPr>
          <w:p>
            <w:pPr>
              <w:jc w:val="right"/>
              <w:ind w:right="114"/>
              <w:spacing w:after="0"/>
              <w:rPr>
                <w:sz w:val="20"/>
                <w:szCs w:val="20"/>
                <w:color w:val="auto"/>
              </w:rPr>
            </w:pPr>
            <w:r>
              <w:rPr>
                <w:rFonts w:ascii="Arial" w:cs="Arial" w:eastAsia="Arial" w:hAnsi="Arial"/>
                <w:sz w:val="17"/>
                <w:szCs w:val="17"/>
                <w:color w:val="auto"/>
              </w:rPr>
              <w:t>476,978</w:t>
            </w:r>
          </w:p>
        </w:tc>
        <w:tc>
          <w:tcPr>
            <w:tcW w:w="100" w:type="dxa"/>
            <w:vAlign w:val="bottom"/>
          </w:tcPr>
          <w:p>
            <w:pPr>
              <w:spacing w:after="0"/>
              <w:rPr>
                <w:sz w:val="12"/>
                <w:szCs w:val="12"/>
                <w:color w:val="auto"/>
              </w:rPr>
            </w:pPr>
          </w:p>
        </w:tc>
        <w:tc>
          <w:tcPr>
            <w:tcW w:w="740" w:type="dxa"/>
            <w:vAlign w:val="bottom"/>
            <w:vMerge w:val="restart"/>
          </w:tcPr>
          <w:p>
            <w:pPr>
              <w:jc w:val="right"/>
              <w:ind w:right="554"/>
              <w:spacing w:after="0"/>
              <w:rPr>
                <w:sz w:val="20"/>
                <w:szCs w:val="20"/>
                <w:color w:val="auto"/>
              </w:rPr>
            </w:pPr>
            <w:r>
              <w:rPr>
                <w:rFonts w:ascii="Arial" w:cs="Arial" w:eastAsia="Arial" w:hAnsi="Arial"/>
                <w:sz w:val="17"/>
                <w:szCs w:val="17"/>
                <w:color w:val="auto"/>
                <w:w w:val="84"/>
              </w:rPr>
              <w:t>$</w:t>
            </w:r>
          </w:p>
        </w:tc>
        <w:tc>
          <w:tcPr>
            <w:tcW w:w="780" w:type="dxa"/>
            <w:vAlign w:val="bottom"/>
            <w:vMerge w:val="restart"/>
          </w:tcPr>
          <w:p>
            <w:pPr>
              <w:jc w:val="right"/>
              <w:ind w:right="114"/>
              <w:spacing w:after="0"/>
              <w:rPr>
                <w:sz w:val="20"/>
                <w:szCs w:val="20"/>
                <w:color w:val="auto"/>
              </w:rPr>
            </w:pPr>
            <w:r>
              <w:rPr>
                <w:rFonts w:ascii="Arial" w:cs="Arial" w:eastAsia="Arial" w:hAnsi="Arial"/>
                <w:sz w:val="17"/>
                <w:szCs w:val="17"/>
                <w:color w:val="auto"/>
                <w:w w:val="91"/>
              </w:rPr>
              <w:t>512,297</w:t>
            </w:r>
          </w:p>
        </w:tc>
        <w:tc>
          <w:tcPr>
            <w:tcW w:w="0" w:type="dxa"/>
            <w:vAlign w:val="bottom"/>
          </w:tcPr>
          <w:p>
            <w:pPr>
              <w:spacing w:after="0"/>
              <w:rPr>
                <w:sz w:val="1"/>
                <w:szCs w:val="1"/>
                <w:color w:val="auto"/>
              </w:rPr>
            </w:pPr>
          </w:p>
        </w:tc>
      </w:tr>
      <w:tr>
        <w:trPr>
          <w:trHeight w:val="199"/>
        </w:trPr>
        <w:tc>
          <w:tcPr>
            <w:tcW w:w="2820" w:type="dxa"/>
            <w:vAlign w:val="bottom"/>
            <w:gridSpan w:val="2"/>
          </w:tcPr>
          <w:p>
            <w:pPr>
              <w:ind w:left="360"/>
              <w:spacing w:after="0" w:line="194" w:lineRule="exact"/>
              <w:rPr>
                <w:sz w:val="20"/>
                <w:szCs w:val="20"/>
                <w:color w:val="auto"/>
              </w:rPr>
            </w:pPr>
            <w:r>
              <w:rPr>
                <w:rFonts w:ascii="Arial" w:cs="Arial" w:eastAsia="Arial" w:hAnsi="Arial"/>
                <w:sz w:val="17"/>
                <w:szCs w:val="17"/>
                <w:b w:val="1"/>
                <w:bCs w:val="1"/>
                <w:color w:val="auto"/>
              </w:rPr>
              <w:t>Financing Facilities</w:t>
            </w: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vMerge w:val="continue"/>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vMerge w:val="continue"/>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7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
        </w:trPr>
        <w:tc>
          <w:tcPr>
            <w:tcW w:w="27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3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0"/>
        </w:trPr>
        <w:tc>
          <w:tcPr>
            <w:tcW w:w="2820" w:type="dxa"/>
            <w:vAlign w:val="bottom"/>
            <w:gridSpan w:val="2"/>
          </w:tcPr>
          <w:p>
            <w:pPr>
              <w:ind w:left="20"/>
              <w:spacing w:after="0"/>
              <w:rPr>
                <w:sz w:val="20"/>
                <w:szCs w:val="20"/>
                <w:color w:val="auto"/>
              </w:rPr>
            </w:pPr>
            <w:r>
              <w:rPr>
                <w:rFonts w:ascii="Arial" w:cs="Arial" w:eastAsia="Arial" w:hAnsi="Arial"/>
                <w:sz w:val="17"/>
                <w:szCs w:val="17"/>
                <w:color w:val="auto"/>
              </w:rPr>
              <w:t>Weighted average interest rate (7)</w:t>
            </w: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1.65 %</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1.54 %</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320" w:right="160" w:hanging="317"/>
        <w:spacing w:after="0" w:line="274" w:lineRule="auto"/>
        <w:tabs>
          <w:tab w:leader="none" w:pos="3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amortization date of our facilities is the date on which the revolving period ends under each advance facility note and repayment of the outstanding balance must begin if the note is not renewed or extended. The maturity date is the date on which all outstanding balances must be repaid. In all of our advance facilities, there are multiple notes outstanding. After the amortization date for each note, all collections that represent the repayment of advances pledged to the facility must be applied ratably to each outstanding amortizing note to reduce the balance and, as such, the collection of advances allocated to the amortizing note may not be used to fund new advances.</w:t>
      </w:r>
    </w:p>
    <w:p>
      <w:pPr>
        <w:ind w:left="320" w:right="220" w:hanging="317"/>
        <w:spacing w:after="0" w:line="269" w:lineRule="auto"/>
        <w:tabs>
          <w:tab w:leader="none" w:pos="3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committed borrowing capacity under the OMART and OGAF facilities is available to us provided that we have sufficient eligible collateral to pledge. At June 30, 2022, none of the available borrowing capacity of the OMART and OGAF advance financing notes could be used based on the amount of eligible collateral.</w:t>
      </w:r>
    </w:p>
    <w:p>
      <w:pPr>
        <w:ind w:left="320" w:hanging="317"/>
        <w:spacing w:after="0"/>
        <w:tabs>
          <w:tab w:leader="none" w:pos="3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On June 30, 2022, the amortization date was extended to August 15, 2022. Interest is computed based on the lender’s cost of funds plus applicable margin.</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35" w:name="page36"/>
    <w:bookmarkEnd w:id="35"/>
    <w:p>
      <w:pPr>
        <w:ind w:left="320" w:hanging="317"/>
        <w:spacing w:after="0"/>
        <w:tabs>
          <w:tab w:leader="none" w:pos="3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interest rates on the individual classes of notes range between 1.28% to 5.42%.</w:t>
      </w:r>
    </w:p>
    <w:p>
      <w:pPr>
        <w:ind w:left="320" w:right="360" w:hanging="317"/>
        <w:spacing w:after="0" w:line="250" w:lineRule="auto"/>
        <w:tabs>
          <w:tab w:leader="none" w:pos="3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Interest is computed based on the lender’s cost of funds plus applicable margin. On January 31, 2022, we amended the Ocwen Freddie Advance Funding (OFAF) advance facility to include Fannie Mae advances as eligible collateral and renamed the facility Ocwen GSE Advance Funding (OGAF).</w:t>
      </w:r>
    </w:p>
    <w:p>
      <w:pPr>
        <w:ind w:left="320" w:right="40" w:hanging="317"/>
        <w:spacing w:after="0" w:line="223" w:lineRule="auto"/>
        <w:tabs>
          <w:tab w:leader="none" w:pos="3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On May 2, 2022, we entered into a loan and security agreement and issued a $1.7 million promissory note to the lender. The facility has total uncommitted borrowing capacity of $20.0 million to finance the acquisition of advances in connection with the early buyout of certain fixed-rate, fully-amortizing FHA-insured residential mortgage loans, at an interest rate of 1M Term Secured Overnight Financing Rate (SOFR) plus applicable margin. At June 30, 2022, none of the available borrowing capacity of the facility could be used based on the amount of eligible collateral.</w:t>
      </w:r>
    </w:p>
    <w:p>
      <w:pPr>
        <w:spacing w:after="0" w:line="1" w:lineRule="exact"/>
        <w:rPr>
          <w:rFonts w:ascii="Arial" w:cs="Arial" w:eastAsia="Arial" w:hAnsi="Arial"/>
          <w:sz w:val="16"/>
          <w:szCs w:val="16"/>
          <w:color w:val="auto"/>
        </w:rPr>
      </w:pPr>
    </w:p>
    <w:p>
      <w:pPr>
        <w:ind w:left="320" w:right="260" w:hanging="317"/>
        <w:spacing w:after="0" w:line="237" w:lineRule="auto"/>
        <w:tabs>
          <w:tab w:leader="none" w:pos="3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weighted average interest rate, excluding the effect of the amortization of prepaid lender fees, is computed using the outstanding balance of each respective note and its interest rate at the financial statement date. At June 30, 2022 and December 31, 2021, the balance of unamortized prepaid lender fees was $0.3 million and $1.3 million, respectively, and are included in Other assets in our consolidated balance sheets.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180" w:type="dxa"/>
            <w:vAlign w:val="bottom"/>
            <w:gridSpan w:val="2"/>
          </w:tcPr>
          <w:p>
            <w:pPr>
              <w:ind w:left="20"/>
              <w:spacing w:after="0"/>
              <w:rPr>
                <w:sz w:val="20"/>
                <w:szCs w:val="20"/>
                <w:color w:val="auto"/>
              </w:rPr>
            </w:pPr>
            <w:r>
              <w:rPr>
                <w:rFonts w:ascii="Arial" w:cs="Arial" w:eastAsia="Arial" w:hAnsi="Arial"/>
                <w:sz w:val="17"/>
                <w:szCs w:val="17"/>
                <w:b w:val="1"/>
                <w:bCs w:val="1"/>
                <w:color w:val="auto"/>
              </w:rPr>
              <w:t>Mortgage Loan Warehouse Facilities</w:t>
            </w: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40" w:type="dxa"/>
            <w:vAlign w:val="bottom"/>
            <w:gridSpan w:val="5"/>
          </w:tcPr>
          <w:p>
            <w:pPr>
              <w:ind w:left="80"/>
              <w:spacing w:after="0"/>
              <w:rPr>
                <w:sz w:val="20"/>
                <w:szCs w:val="20"/>
                <w:color w:val="auto"/>
              </w:rPr>
            </w:pPr>
            <w:r>
              <w:rPr>
                <w:rFonts w:ascii="Arial" w:cs="Arial" w:eastAsia="Arial" w:hAnsi="Arial"/>
                <w:sz w:val="17"/>
                <w:szCs w:val="17"/>
                <w:b w:val="1"/>
                <w:bCs w:val="1"/>
                <w:color w:val="auto"/>
              </w:rPr>
              <w:t>Available Borrowing Capacity</w:t>
            </w:r>
          </w:p>
        </w:tc>
        <w:tc>
          <w:tcPr>
            <w:tcW w:w="120" w:type="dxa"/>
            <w:vAlign w:val="bottom"/>
          </w:tcPr>
          <w:p>
            <w:pPr>
              <w:spacing w:after="0"/>
              <w:rPr>
                <w:sz w:val="19"/>
                <w:szCs w:val="19"/>
                <w:color w:val="auto"/>
              </w:rPr>
            </w:pPr>
          </w:p>
        </w:tc>
        <w:tc>
          <w:tcPr>
            <w:tcW w:w="2600" w:type="dxa"/>
            <w:vAlign w:val="bottom"/>
            <w:gridSpan w:val="4"/>
          </w:tcPr>
          <w:p>
            <w:pPr>
              <w:jc w:val="right"/>
              <w:ind w:right="494"/>
              <w:spacing w:after="0"/>
              <w:rPr>
                <w:sz w:val="20"/>
                <w:szCs w:val="20"/>
                <w:color w:val="auto"/>
              </w:rPr>
            </w:pPr>
            <w:r>
              <w:rPr>
                <w:rFonts w:ascii="Arial" w:cs="Arial" w:eastAsia="Arial" w:hAnsi="Arial"/>
                <w:sz w:val="17"/>
                <w:szCs w:val="17"/>
                <w:b w:val="1"/>
                <w:bCs w:val="1"/>
                <w:color w:val="auto"/>
              </w:rPr>
              <w:t>Outstanding Balance</w:t>
            </w:r>
          </w:p>
        </w:tc>
        <w:tc>
          <w:tcPr>
            <w:tcW w:w="0" w:type="dxa"/>
            <w:vAlign w:val="bottom"/>
          </w:tcPr>
          <w:p>
            <w:pPr>
              <w:spacing w:after="0"/>
              <w:rPr>
                <w:sz w:val="1"/>
                <w:szCs w:val="1"/>
                <w:color w:val="auto"/>
              </w:rPr>
            </w:pPr>
          </w:p>
        </w:tc>
      </w:tr>
      <w:tr>
        <w:trPr>
          <w:trHeight w:val="213"/>
        </w:trPr>
        <w:tc>
          <w:tcPr>
            <w:tcW w:w="3080" w:type="dxa"/>
            <w:vAlign w:val="bottom"/>
            <w:tcBorders>
              <w:bottom w:val="single" w:sz="8" w:color="auto"/>
            </w:tcBorders>
          </w:tcPr>
          <w:p>
            <w:pPr>
              <w:ind w:left="940"/>
              <w:spacing w:after="0"/>
              <w:rPr>
                <w:sz w:val="20"/>
                <w:szCs w:val="20"/>
                <w:color w:val="auto"/>
              </w:rPr>
            </w:pPr>
            <w:r>
              <w:rPr>
                <w:rFonts w:ascii="Arial" w:cs="Arial" w:eastAsia="Arial" w:hAnsi="Arial"/>
                <w:sz w:val="17"/>
                <w:szCs w:val="17"/>
                <w:b w:val="1"/>
                <w:bCs w:val="1"/>
                <w:color w:val="auto"/>
              </w:rPr>
              <w:t>Borrowing Type</w:t>
            </w:r>
          </w:p>
        </w:tc>
        <w:tc>
          <w:tcPr>
            <w:tcW w:w="10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2"/>
              </w:rPr>
              <w:t>Collateral</w:t>
            </w:r>
          </w:p>
        </w:tc>
        <w:tc>
          <w:tcPr>
            <w:tcW w:w="1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rPr>
              <w:t>Maturity</w:t>
            </w:r>
          </w:p>
        </w:tc>
        <w:tc>
          <w:tcPr>
            <w:tcW w:w="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17"/>
                <w:szCs w:val="17"/>
                <w:b w:val="1"/>
                <w:bCs w:val="1"/>
                <w:color w:val="auto"/>
                <w:w w:val="93"/>
              </w:rPr>
              <w:t>Uncommitted</w:t>
            </w:r>
          </w:p>
        </w:tc>
        <w:tc>
          <w:tcPr>
            <w:tcW w:w="80" w:type="dxa"/>
            <w:vAlign w:val="bottom"/>
            <w:tcBorders>
              <w:top w:val="single" w:sz="8" w:color="auto"/>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w w:val="99"/>
              </w:rPr>
              <w:t>Committed (1)</w:t>
            </w: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7"/>
                <w:szCs w:val="17"/>
                <w:b w:val="1"/>
                <w:bCs w:val="1"/>
                <w:color w:val="auto"/>
                <w:w w:val="92"/>
              </w:rPr>
              <w:t>June 30, 2022</w:t>
            </w:r>
          </w:p>
        </w:tc>
        <w:tc>
          <w:tcPr>
            <w:tcW w:w="100" w:type="dxa"/>
            <w:vAlign w:val="bottom"/>
            <w:tcBorders>
              <w:top w:val="single" w:sz="8" w:color="auto"/>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17"/>
                <w:szCs w:val="17"/>
                <w:b w:val="1"/>
                <w:bCs w:val="1"/>
                <w:color w:val="auto"/>
                <w:w w:val="91"/>
              </w:rPr>
              <w:t>Dec. 31, 2021</w:t>
            </w:r>
          </w:p>
        </w:tc>
        <w:tc>
          <w:tcPr>
            <w:tcW w:w="0" w:type="dxa"/>
            <w:vAlign w:val="bottom"/>
          </w:tcPr>
          <w:p>
            <w:pPr>
              <w:spacing w:after="0"/>
              <w:rPr>
                <w:sz w:val="1"/>
                <w:szCs w:val="1"/>
                <w:color w:val="auto"/>
              </w:rPr>
            </w:pPr>
          </w:p>
        </w:tc>
      </w:tr>
      <w:tr>
        <w:trPr>
          <w:trHeight w:val="161"/>
        </w:trPr>
        <w:tc>
          <w:tcPr>
            <w:tcW w:w="3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center"/>
              <w:ind w:right="100"/>
              <w:spacing w:after="0" w:line="162" w:lineRule="exact"/>
              <w:rPr>
                <w:sz w:val="20"/>
                <w:szCs w:val="20"/>
                <w:color w:val="auto"/>
              </w:rPr>
            </w:pPr>
            <w:r>
              <w:rPr>
                <w:rFonts w:ascii="Arial" w:cs="Arial" w:eastAsia="Arial" w:hAnsi="Arial"/>
                <w:sz w:val="17"/>
                <w:szCs w:val="17"/>
                <w:color w:val="auto"/>
                <w:w w:val="92"/>
              </w:rPr>
              <w:t>Loans held for</w:t>
            </w: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center"/>
              <w:ind w:right="100"/>
              <w:spacing w:after="0" w:line="168" w:lineRule="exact"/>
              <w:rPr>
                <w:sz w:val="20"/>
                <w:szCs w:val="20"/>
                <w:color w:val="auto"/>
              </w:rPr>
            </w:pPr>
            <w:r>
              <w:rPr>
                <w:rFonts w:ascii="Arial" w:cs="Arial" w:eastAsia="Arial" w:hAnsi="Arial"/>
                <w:sz w:val="17"/>
                <w:szCs w:val="17"/>
                <w:color w:val="auto"/>
                <w:w w:val="92"/>
              </w:rPr>
              <w:t>sale (LHFS),</w:t>
            </w: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180" w:type="dxa"/>
            <w:vAlign w:val="bottom"/>
            <w:gridSpan w:val="2"/>
            <w:vMerge w:val="restart"/>
            <w:shd w:val="clear" w:color="auto" w:fill="CCEEFF"/>
          </w:tcPr>
          <w:p>
            <w:pPr>
              <w:ind w:left="20"/>
              <w:spacing w:after="0"/>
              <w:rPr>
                <w:sz w:val="20"/>
                <w:szCs w:val="20"/>
                <w:color w:val="auto"/>
              </w:rPr>
            </w:pPr>
            <w:r>
              <w:rPr>
                <w:rFonts w:ascii="Arial" w:cs="Arial" w:eastAsia="Arial" w:hAnsi="Arial"/>
                <w:sz w:val="17"/>
                <w:szCs w:val="17"/>
                <w:color w:val="auto"/>
              </w:rPr>
              <w:t>Master repurchase agreement (2)</w:t>
            </w:r>
          </w:p>
        </w:tc>
        <w:tc>
          <w:tcPr>
            <w:tcW w:w="1380" w:type="dxa"/>
            <w:vAlign w:val="bottom"/>
            <w:gridSpan w:val="2"/>
            <w:shd w:val="clear" w:color="auto" w:fill="CCEEFF"/>
          </w:tcPr>
          <w:p>
            <w:pPr>
              <w:jc w:val="center"/>
              <w:ind w:right="100"/>
              <w:spacing w:after="0" w:line="168" w:lineRule="exact"/>
              <w:rPr>
                <w:sz w:val="20"/>
                <w:szCs w:val="20"/>
                <w:color w:val="auto"/>
              </w:rPr>
            </w:pPr>
            <w:r>
              <w:rPr>
                <w:rFonts w:ascii="Arial" w:cs="Arial" w:eastAsia="Arial" w:hAnsi="Arial"/>
                <w:sz w:val="17"/>
                <w:szCs w:val="17"/>
                <w:color w:val="auto"/>
                <w:w w:val="89"/>
              </w:rPr>
              <w:t>Receivables and</w:t>
            </w:r>
          </w:p>
        </w:tc>
        <w:tc>
          <w:tcPr>
            <w:tcW w:w="116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7"/>
                <w:szCs w:val="17"/>
                <w:color w:val="auto"/>
                <w:w w:val="92"/>
              </w:rPr>
              <w:t>Aug. 2022</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115,000</w:t>
            </w:r>
          </w:p>
        </w:tc>
        <w:tc>
          <w:tcPr>
            <w:tcW w:w="80" w:type="dxa"/>
            <w:vAlign w:val="bottom"/>
            <w:shd w:val="clear" w:color="auto" w:fill="CCEEFF"/>
          </w:tcPr>
          <w:p>
            <w:pPr>
              <w:spacing w:after="0"/>
              <w:rPr>
                <w:sz w:val="14"/>
                <w:szCs w:val="14"/>
                <w:color w:val="auto"/>
              </w:rPr>
            </w:pPr>
          </w:p>
        </w:tc>
        <w:tc>
          <w:tcPr>
            <w:tcW w:w="360" w:type="dxa"/>
            <w:vAlign w:val="bottom"/>
            <w:vMerge w:val="restart"/>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71,047</w:t>
            </w:r>
          </w:p>
        </w:tc>
        <w:tc>
          <w:tcPr>
            <w:tcW w:w="10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vMerge w:val="restart"/>
            <w:shd w:val="clear" w:color="auto" w:fill="CCEEFF"/>
          </w:tcPr>
          <w:p>
            <w:pPr>
              <w:jc w:val="right"/>
              <w:ind w:right="114"/>
              <w:spacing w:after="0"/>
              <w:rPr>
                <w:sz w:val="20"/>
                <w:szCs w:val="20"/>
                <w:color w:val="auto"/>
              </w:rPr>
            </w:pPr>
            <w:r>
              <w:rPr>
                <w:rFonts w:ascii="Arial" w:cs="Arial" w:eastAsia="Arial" w:hAnsi="Arial"/>
                <w:sz w:val="17"/>
                <w:szCs w:val="17"/>
                <w:color w:val="auto"/>
              </w:rPr>
              <w:t>88,953</w:t>
            </w:r>
          </w:p>
        </w:tc>
        <w:tc>
          <w:tcPr>
            <w:tcW w:w="10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vMerge w:val="restart"/>
            <w:shd w:val="clear" w:color="auto" w:fill="CCEEFF"/>
          </w:tcPr>
          <w:p>
            <w:pPr>
              <w:jc w:val="right"/>
              <w:ind w:right="114"/>
              <w:spacing w:after="0"/>
              <w:rPr>
                <w:sz w:val="20"/>
                <w:szCs w:val="20"/>
                <w:color w:val="auto"/>
              </w:rPr>
            </w:pPr>
            <w:r>
              <w:rPr>
                <w:rFonts w:ascii="Arial" w:cs="Arial" w:eastAsia="Arial" w:hAnsi="Arial"/>
                <w:sz w:val="17"/>
                <w:szCs w:val="17"/>
                <w:color w:val="auto"/>
              </w:rPr>
              <w:t>109,437</w:t>
            </w:r>
          </w:p>
        </w:tc>
        <w:tc>
          <w:tcPr>
            <w:tcW w:w="0" w:type="dxa"/>
            <w:vAlign w:val="bottom"/>
          </w:tcPr>
          <w:p>
            <w:pPr>
              <w:spacing w:after="0"/>
              <w:rPr>
                <w:sz w:val="1"/>
                <w:szCs w:val="1"/>
                <w:color w:val="auto"/>
              </w:rPr>
            </w:pPr>
          </w:p>
        </w:tc>
      </w:tr>
      <w:tr>
        <w:trPr>
          <w:trHeight w:val="219"/>
        </w:trPr>
        <w:tc>
          <w:tcPr>
            <w:tcW w:w="3180" w:type="dxa"/>
            <w:vAlign w:val="bottom"/>
            <w:gridSpan w:val="2"/>
            <w:vMerge w:val="continue"/>
            <w:shd w:val="clear" w:color="auto" w:fill="CCEEFF"/>
          </w:tcPr>
          <w:p>
            <w:pPr>
              <w:spacing w:after="0"/>
              <w:rPr>
                <w:sz w:val="19"/>
                <w:szCs w:val="19"/>
                <w:color w:val="auto"/>
              </w:rPr>
            </w:pPr>
          </w:p>
        </w:tc>
        <w:tc>
          <w:tcPr>
            <w:tcW w:w="1380" w:type="dxa"/>
            <w:vAlign w:val="bottom"/>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97"/>
              </w:rPr>
              <w:t>REO</w:t>
            </w:r>
          </w:p>
        </w:tc>
        <w:tc>
          <w:tcPr>
            <w:tcW w:w="1160" w:type="dxa"/>
            <w:vAlign w:val="bottom"/>
            <w:gridSpan w:val="2"/>
            <w:vMerge w:val="continue"/>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3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tcPr>
          <w:p>
            <w:pPr>
              <w:jc w:val="center"/>
              <w:ind w:right="80"/>
              <w:spacing w:after="0" w:line="168" w:lineRule="exact"/>
              <w:rPr>
                <w:sz w:val="20"/>
                <w:szCs w:val="20"/>
                <w:color w:val="auto"/>
              </w:rPr>
            </w:pPr>
            <w:r>
              <w:rPr>
                <w:rFonts w:ascii="Arial" w:cs="Arial" w:eastAsia="Arial" w:hAnsi="Arial"/>
                <w:sz w:val="17"/>
                <w:szCs w:val="17"/>
                <w:color w:val="auto"/>
                <w:w w:val="92"/>
              </w:rPr>
              <w:t>LHFS and Loans</w:t>
            </w: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tcPr>
          <w:p>
            <w:pPr>
              <w:jc w:val="center"/>
              <w:ind w:right="80"/>
              <w:spacing w:after="0" w:line="168" w:lineRule="exact"/>
              <w:rPr>
                <w:sz w:val="20"/>
                <w:szCs w:val="20"/>
                <w:color w:val="auto"/>
              </w:rPr>
            </w:pPr>
            <w:r>
              <w:rPr>
                <w:rFonts w:ascii="Arial" w:cs="Arial" w:eastAsia="Arial" w:hAnsi="Arial"/>
                <w:sz w:val="17"/>
                <w:szCs w:val="17"/>
                <w:color w:val="auto"/>
                <w:w w:val="97"/>
              </w:rPr>
              <w:t>Held for</w:t>
            </w: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180" w:type="dxa"/>
            <w:vAlign w:val="bottom"/>
            <w:gridSpan w:val="2"/>
            <w:vMerge w:val="restart"/>
          </w:tcPr>
          <w:p>
            <w:pPr>
              <w:ind w:left="20"/>
              <w:spacing w:after="0"/>
              <w:rPr>
                <w:sz w:val="20"/>
                <w:szCs w:val="20"/>
                <w:color w:val="auto"/>
              </w:rPr>
            </w:pPr>
            <w:r>
              <w:rPr>
                <w:rFonts w:ascii="Arial" w:cs="Arial" w:eastAsia="Arial" w:hAnsi="Arial"/>
                <w:sz w:val="17"/>
                <w:szCs w:val="17"/>
                <w:color w:val="auto"/>
              </w:rPr>
              <w:t>Master repurchase agreement (3)</w:t>
            </w:r>
          </w:p>
        </w:tc>
        <w:tc>
          <w:tcPr>
            <w:tcW w:w="1380" w:type="dxa"/>
            <w:vAlign w:val="bottom"/>
            <w:gridSpan w:val="2"/>
          </w:tcPr>
          <w:p>
            <w:pPr>
              <w:jc w:val="center"/>
              <w:ind w:right="100"/>
              <w:spacing w:after="0" w:line="168" w:lineRule="exact"/>
              <w:rPr>
                <w:sz w:val="20"/>
                <w:szCs w:val="20"/>
                <w:color w:val="auto"/>
              </w:rPr>
            </w:pPr>
            <w:r>
              <w:rPr>
                <w:rFonts w:ascii="Arial" w:cs="Arial" w:eastAsia="Arial" w:hAnsi="Arial"/>
                <w:sz w:val="17"/>
                <w:szCs w:val="17"/>
                <w:color w:val="auto"/>
                <w:w w:val="91"/>
              </w:rPr>
              <w:t>Investment</w:t>
            </w:r>
          </w:p>
        </w:tc>
        <w:tc>
          <w:tcPr>
            <w:tcW w:w="1160" w:type="dxa"/>
            <w:vAlign w:val="bottom"/>
            <w:gridSpan w:val="2"/>
            <w:vMerge w:val="restart"/>
          </w:tcPr>
          <w:p>
            <w:pPr>
              <w:jc w:val="center"/>
              <w:ind w:right="80"/>
              <w:spacing w:after="0"/>
              <w:rPr>
                <w:sz w:val="20"/>
                <w:szCs w:val="20"/>
                <w:color w:val="auto"/>
              </w:rPr>
            </w:pPr>
            <w:r>
              <w:rPr>
                <w:rFonts w:ascii="Arial" w:cs="Arial" w:eastAsia="Arial" w:hAnsi="Arial"/>
                <w:sz w:val="17"/>
                <w:szCs w:val="17"/>
                <w:color w:val="auto"/>
                <w:w w:val="92"/>
              </w:rPr>
              <w:t>Dec. 2022</w:t>
            </w:r>
          </w:p>
        </w:tc>
        <w:tc>
          <w:tcPr>
            <w:tcW w:w="16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Arial" w:cs="Arial" w:eastAsia="Arial" w:hAnsi="Arial"/>
                <w:sz w:val="17"/>
                <w:szCs w:val="17"/>
                <w:color w:val="auto"/>
              </w:rPr>
              <w:t>250,000</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7"/>
                <w:szCs w:val="17"/>
                <w:color w:val="auto"/>
              </w:rPr>
              <w:t>112,213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vMerge w:val="restart"/>
          </w:tcPr>
          <w:p>
            <w:pPr>
              <w:jc w:val="right"/>
              <w:ind w:right="114"/>
              <w:spacing w:after="0"/>
              <w:rPr>
                <w:sz w:val="20"/>
                <w:szCs w:val="20"/>
                <w:color w:val="auto"/>
              </w:rPr>
            </w:pPr>
            <w:r>
              <w:rPr>
                <w:rFonts w:ascii="Arial" w:cs="Arial" w:eastAsia="Arial" w:hAnsi="Arial"/>
                <w:sz w:val="17"/>
                <w:szCs w:val="17"/>
                <w:color w:val="auto"/>
              </w:rPr>
              <w:t>87,787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vMerge w:val="restart"/>
          </w:tcPr>
          <w:p>
            <w:pPr>
              <w:jc w:val="right"/>
              <w:ind w:right="114"/>
              <w:spacing w:after="0"/>
              <w:rPr>
                <w:sz w:val="20"/>
                <w:szCs w:val="20"/>
                <w:color w:val="auto"/>
              </w:rPr>
            </w:pPr>
            <w:r>
              <w:rPr>
                <w:rFonts w:ascii="Arial" w:cs="Arial" w:eastAsia="Arial" w:hAnsi="Arial"/>
                <w:sz w:val="17"/>
                <w:szCs w:val="17"/>
                <w:color w:val="auto"/>
              </w:rPr>
              <w:t>160,882</w:t>
            </w:r>
          </w:p>
        </w:tc>
        <w:tc>
          <w:tcPr>
            <w:tcW w:w="0" w:type="dxa"/>
            <w:vAlign w:val="bottom"/>
          </w:tcPr>
          <w:p>
            <w:pPr>
              <w:spacing w:after="0"/>
              <w:rPr>
                <w:sz w:val="1"/>
                <w:szCs w:val="1"/>
                <w:color w:val="auto"/>
              </w:rPr>
            </w:pPr>
          </w:p>
        </w:tc>
      </w:tr>
      <w:tr>
        <w:trPr>
          <w:trHeight w:val="219"/>
        </w:trPr>
        <w:tc>
          <w:tcPr>
            <w:tcW w:w="3180" w:type="dxa"/>
            <w:vAlign w:val="bottom"/>
            <w:gridSpan w:val="2"/>
            <w:vMerge w:val="continue"/>
          </w:tcPr>
          <w:p>
            <w:pPr>
              <w:spacing w:after="0"/>
              <w:rPr>
                <w:sz w:val="19"/>
                <w:szCs w:val="19"/>
                <w:color w:val="auto"/>
              </w:rPr>
            </w:pPr>
          </w:p>
        </w:tc>
        <w:tc>
          <w:tcPr>
            <w:tcW w:w="1380" w:type="dxa"/>
            <w:vAlign w:val="bottom"/>
            <w:gridSpan w:val="2"/>
          </w:tcPr>
          <w:p>
            <w:pPr>
              <w:jc w:val="center"/>
              <w:ind w:right="80"/>
              <w:spacing w:after="0"/>
              <w:rPr>
                <w:sz w:val="20"/>
                <w:szCs w:val="20"/>
                <w:color w:val="auto"/>
              </w:rPr>
            </w:pPr>
            <w:r>
              <w:rPr>
                <w:rFonts w:ascii="Arial" w:cs="Arial" w:eastAsia="Arial" w:hAnsi="Arial"/>
                <w:sz w:val="17"/>
                <w:szCs w:val="17"/>
                <w:color w:val="auto"/>
              </w:rPr>
              <w:t>(LHFI)</w:t>
            </w:r>
          </w:p>
        </w:tc>
        <w:tc>
          <w:tcPr>
            <w:tcW w:w="116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1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Master repurchase agreement (4)</w:t>
            </w:r>
          </w:p>
        </w:tc>
        <w:tc>
          <w:tcPr>
            <w:tcW w:w="1380" w:type="dxa"/>
            <w:vAlign w:val="bottom"/>
            <w:gridSpan w:val="2"/>
            <w:shd w:val="clear" w:color="auto" w:fill="CCEEFF"/>
          </w:tcPr>
          <w:p>
            <w:pPr>
              <w:jc w:val="center"/>
              <w:ind w:right="80"/>
              <w:spacing w:after="0"/>
              <w:rPr>
                <w:sz w:val="20"/>
                <w:szCs w:val="20"/>
                <w:color w:val="auto"/>
              </w:rPr>
            </w:pPr>
            <w:r>
              <w:rPr>
                <w:rFonts w:ascii="Arial" w:cs="Arial" w:eastAsia="Arial" w:hAnsi="Arial"/>
                <w:sz w:val="17"/>
                <w:szCs w:val="17"/>
                <w:color w:val="auto"/>
                <w:w w:val="96"/>
              </w:rPr>
              <w:t>LHFS</w:t>
            </w:r>
          </w:p>
        </w:tc>
        <w:tc>
          <w:tcPr>
            <w:tcW w:w="1160" w:type="dxa"/>
            <w:vAlign w:val="bottom"/>
            <w:gridSpan w:val="2"/>
            <w:shd w:val="clear" w:color="auto" w:fill="CCEEFF"/>
          </w:tcPr>
          <w:p>
            <w:pPr>
              <w:jc w:val="center"/>
              <w:ind w:right="80"/>
              <w:spacing w:after="0"/>
              <w:rPr>
                <w:sz w:val="20"/>
                <w:szCs w:val="20"/>
                <w:color w:val="auto"/>
              </w:rPr>
            </w:pPr>
            <w:r>
              <w:rPr>
                <w:rFonts w:ascii="Arial" w:cs="Arial" w:eastAsia="Arial" w:hAnsi="Arial"/>
                <w:sz w:val="17"/>
                <w:szCs w:val="17"/>
                <w:color w:val="auto"/>
                <w:w w:val="98"/>
              </w:rPr>
              <w:t>N/A</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50,000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3180" w:type="dxa"/>
            <w:vAlign w:val="bottom"/>
            <w:gridSpan w:val="2"/>
          </w:tcPr>
          <w:p>
            <w:pPr>
              <w:ind w:left="20"/>
              <w:spacing w:after="0"/>
              <w:rPr>
                <w:sz w:val="20"/>
                <w:szCs w:val="20"/>
                <w:color w:val="auto"/>
              </w:rPr>
            </w:pPr>
            <w:r>
              <w:rPr>
                <w:rFonts w:ascii="Arial" w:cs="Arial" w:eastAsia="Arial" w:hAnsi="Arial"/>
                <w:sz w:val="17"/>
                <w:szCs w:val="17"/>
                <w:color w:val="auto"/>
              </w:rPr>
              <w:t>Participation agreement (5)</w:t>
            </w:r>
          </w:p>
        </w:tc>
        <w:tc>
          <w:tcPr>
            <w:tcW w:w="1380" w:type="dxa"/>
            <w:vAlign w:val="bottom"/>
            <w:gridSpan w:val="2"/>
          </w:tcPr>
          <w:p>
            <w:pPr>
              <w:jc w:val="center"/>
              <w:ind w:right="80"/>
              <w:spacing w:after="0"/>
              <w:rPr>
                <w:sz w:val="20"/>
                <w:szCs w:val="20"/>
                <w:color w:val="auto"/>
              </w:rPr>
            </w:pPr>
            <w:r>
              <w:rPr>
                <w:rFonts w:ascii="Arial" w:cs="Arial" w:eastAsia="Arial" w:hAnsi="Arial"/>
                <w:sz w:val="17"/>
                <w:szCs w:val="17"/>
                <w:color w:val="auto"/>
                <w:w w:val="96"/>
              </w:rPr>
              <w:t>LHFS</w:t>
            </w:r>
          </w:p>
        </w:tc>
        <w:tc>
          <w:tcPr>
            <w:tcW w:w="1160" w:type="dxa"/>
            <w:vAlign w:val="bottom"/>
            <w:gridSpan w:val="2"/>
          </w:tcPr>
          <w:p>
            <w:pPr>
              <w:jc w:val="center"/>
              <w:ind w:right="80"/>
              <w:spacing w:after="0"/>
              <w:rPr>
                <w:sz w:val="20"/>
                <w:szCs w:val="20"/>
                <w:color w:val="auto"/>
              </w:rPr>
            </w:pPr>
            <w:r>
              <w:rPr>
                <w:rFonts w:ascii="Arial" w:cs="Arial" w:eastAsia="Arial" w:hAnsi="Arial"/>
                <w:sz w:val="17"/>
                <w:szCs w:val="17"/>
                <w:color w:val="auto"/>
                <w:w w:val="90"/>
              </w:rPr>
              <w:t>June 2023</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150,000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180" w:type="dxa"/>
            <w:vAlign w:val="bottom"/>
          </w:tcPr>
          <w:p>
            <w:pPr>
              <w:jc w:val="right"/>
              <w:ind w:right="114"/>
              <w:spacing w:after="0"/>
              <w:rPr>
                <w:sz w:val="20"/>
                <w:szCs w:val="20"/>
                <w:color w:val="auto"/>
              </w:rPr>
            </w:pPr>
            <w:r>
              <w:rPr>
                <w:rFonts w:ascii="Arial" w:cs="Arial" w:eastAsia="Arial" w:hAnsi="Arial"/>
                <w:sz w:val="17"/>
                <w:szCs w:val="17"/>
                <w:color w:val="auto"/>
              </w:rPr>
              <w:t>45,186</w:t>
            </w:r>
          </w:p>
        </w:tc>
        <w:tc>
          <w:tcPr>
            <w:tcW w:w="0" w:type="dxa"/>
            <w:vAlign w:val="bottom"/>
          </w:tcPr>
          <w:p>
            <w:pPr>
              <w:spacing w:after="0"/>
              <w:rPr>
                <w:sz w:val="1"/>
                <w:szCs w:val="1"/>
                <w:color w:val="auto"/>
              </w:rPr>
            </w:pPr>
          </w:p>
        </w:tc>
      </w:tr>
      <w:tr>
        <w:trPr>
          <w:trHeight w:val="220"/>
        </w:trPr>
        <w:tc>
          <w:tcPr>
            <w:tcW w:w="31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Master repurchase agreement (5)</w:t>
            </w:r>
          </w:p>
        </w:tc>
        <w:tc>
          <w:tcPr>
            <w:tcW w:w="1380" w:type="dxa"/>
            <w:vAlign w:val="bottom"/>
            <w:gridSpan w:val="2"/>
            <w:shd w:val="clear" w:color="auto" w:fill="CCEEFF"/>
          </w:tcPr>
          <w:p>
            <w:pPr>
              <w:jc w:val="center"/>
              <w:ind w:right="80"/>
              <w:spacing w:after="0"/>
              <w:rPr>
                <w:sz w:val="20"/>
                <w:szCs w:val="20"/>
                <w:color w:val="auto"/>
              </w:rPr>
            </w:pPr>
            <w:r>
              <w:rPr>
                <w:rFonts w:ascii="Arial" w:cs="Arial" w:eastAsia="Arial" w:hAnsi="Arial"/>
                <w:sz w:val="17"/>
                <w:szCs w:val="17"/>
                <w:color w:val="auto"/>
                <w:w w:val="96"/>
              </w:rPr>
              <w:t>LHFS</w:t>
            </w:r>
          </w:p>
        </w:tc>
        <w:tc>
          <w:tcPr>
            <w:tcW w:w="1160" w:type="dxa"/>
            <w:vAlign w:val="bottom"/>
            <w:gridSpan w:val="2"/>
            <w:shd w:val="clear" w:color="auto" w:fill="CCEEFF"/>
          </w:tcPr>
          <w:p>
            <w:pPr>
              <w:jc w:val="center"/>
              <w:ind w:right="80"/>
              <w:spacing w:after="0"/>
              <w:rPr>
                <w:sz w:val="20"/>
                <w:szCs w:val="20"/>
                <w:color w:val="auto"/>
              </w:rPr>
            </w:pPr>
            <w:r>
              <w:rPr>
                <w:rFonts w:ascii="Arial" w:cs="Arial" w:eastAsia="Arial" w:hAnsi="Arial"/>
                <w:sz w:val="17"/>
                <w:szCs w:val="17"/>
                <w:color w:val="auto"/>
                <w:w w:val="90"/>
              </w:rPr>
              <w:t>June 2023</w:t>
            </w: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42,415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130,585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1,766</w:t>
            </w:r>
          </w:p>
        </w:tc>
        <w:tc>
          <w:tcPr>
            <w:tcW w:w="0" w:type="dxa"/>
            <w:vAlign w:val="bottom"/>
          </w:tcPr>
          <w:p>
            <w:pPr>
              <w:spacing w:after="0"/>
              <w:rPr>
                <w:sz w:val="1"/>
                <w:szCs w:val="1"/>
                <w:color w:val="auto"/>
              </w:rPr>
            </w:pPr>
          </w:p>
        </w:tc>
      </w:tr>
      <w:tr>
        <w:trPr>
          <w:trHeight w:val="220"/>
        </w:trPr>
        <w:tc>
          <w:tcPr>
            <w:tcW w:w="3180" w:type="dxa"/>
            <w:vAlign w:val="bottom"/>
            <w:gridSpan w:val="2"/>
          </w:tcPr>
          <w:p>
            <w:pPr>
              <w:ind w:left="20"/>
              <w:spacing w:after="0"/>
              <w:rPr>
                <w:sz w:val="20"/>
                <w:szCs w:val="20"/>
                <w:color w:val="auto"/>
              </w:rPr>
            </w:pPr>
            <w:r>
              <w:rPr>
                <w:rFonts w:ascii="Arial" w:cs="Arial" w:eastAsia="Arial" w:hAnsi="Arial"/>
                <w:sz w:val="17"/>
                <w:szCs w:val="17"/>
                <w:color w:val="auto"/>
              </w:rPr>
              <w:t>Master repurchase agreement</w:t>
            </w:r>
          </w:p>
        </w:tc>
        <w:tc>
          <w:tcPr>
            <w:tcW w:w="1380" w:type="dxa"/>
            <w:vAlign w:val="bottom"/>
            <w:gridSpan w:val="2"/>
          </w:tcPr>
          <w:p>
            <w:pPr>
              <w:jc w:val="center"/>
              <w:ind w:right="80"/>
              <w:spacing w:after="0"/>
              <w:rPr>
                <w:sz w:val="20"/>
                <w:szCs w:val="20"/>
                <w:color w:val="auto"/>
              </w:rPr>
            </w:pPr>
            <w:r>
              <w:rPr>
                <w:rFonts w:ascii="Arial" w:cs="Arial" w:eastAsia="Arial" w:hAnsi="Arial"/>
                <w:sz w:val="17"/>
                <w:szCs w:val="17"/>
                <w:color w:val="auto"/>
                <w:w w:val="96"/>
              </w:rPr>
              <w:t>LHFS</w:t>
            </w:r>
          </w:p>
        </w:tc>
        <w:tc>
          <w:tcPr>
            <w:tcW w:w="1160" w:type="dxa"/>
            <w:vAlign w:val="bottom"/>
            <w:gridSpan w:val="2"/>
          </w:tcPr>
          <w:p>
            <w:pPr>
              <w:jc w:val="center"/>
              <w:ind w:right="80"/>
              <w:spacing w:after="0"/>
              <w:rPr>
                <w:sz w:val="20"/>
                <w:szCs w:val="20"/>
                <w:color w:val="auto"/>
              </w:rPr>
            </w:pPr>
            <w:r>
              <w:rPr>
                <w:rFonts w:ascii="Arial" w:cs="Arial" w:eastAsia="Arial" w:hAnsi="Arial"/>
                <w:sz w:val="17"/>
                <w:szCs w:val="17"/>
                <w:color w:val="auto"/>
                <w:w w:val="90"/>
              </w:rPr>
              <w:t>June 2023</w:t>
            </w:r>
          </w:p>
        </w:tc>
        <w:tc>
          <w:tcPr>
            <w:tcW w:w="16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1,000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180" w:type="dxa"/>
            <w:vAlign w:val="bottom"/>
          </w:tcPr>
          <w:p>
            <w:pPr>
              <w:jc w:val="right"/>
              <w:ind w:right="114"/>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31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Mortgage warehouse agreement (6)</w:t>
            </w:r>
          </w:p>
        </w:tc>
        <w:tc>
          <w:tcPr>
            <w:tcW w:w="1380" w:type="dxa"/>
            <w:vAlign w:val="bottom"/>
            <w:gridSpan w:val="2"/>
            <w:shd w:val="clear" w:color="auto" w:fill="CCEEFF"/>
          </w:tcPr>
          <w:p>
            <w:pPr>
              <w:jc w:val="center"/>
              <w:ind w:right="80"/>
              <w:spacing w:after="0"/>
              <w:rPr>
                <w:sz w:val="20"/>
                <w:szCs w:val="20"/>
                <w:color w:val="auto"/>
              </w:rPr>
            </w:pPr>
            <w:r>
              <w:rPr>
                <w:rFonts w:ascii="Arial" w:cs="Arial" w:eastAsia="Arial" w:hAnsi="Arial"/>
                <w:sz w:val="17"/>
                <w:szCs w:val="17"/>
                <w:color w:val="auto"/>
                <w:w w:val="96"/>
              </w:rPr>
              <w:t>LHFS and LHFI</w:t>
            </w:r>
          </w:p>
        </w:tc>
        <w:tc>
          <w:tcPr>
            <w:tcW w:w="1160" w:type="dxa"/>
            <w:vAlign w:val="bottom"/>
            <w:gridSpan w:val="2"/>
            <w:shd w:val="clear" w:color="auto" w:fill="CCEEFF"/>
          </w:tcPr>
          <w:p>
            <w:pPr>
              <w:jc w:val="center"/>
              <w:ind w:right="80"/>
              <w:spacing w:after="0"/>
              <w:rPr>
                <w:sz w:val="20"/>
                <w:szCs w:val="20"/>
                <w:color w:val="auto"/>
              </w:rPr>
            </w:pPr>
            <w:r>
              <w:rPr>
                <w:rFonts w:ascii="Arial" w:cs="Arial" w:eastAsia="Arial" w:hAnsi="Arial"/>
                <w:sz w:val="17"/>
                <w:szCs w:val="17"/>
                <w:color w:val="auto"/>
                <w:w w:val="94"/>
              </w:rPr>
              <w:t>Mar. 2023</w:t>
            </w: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36,742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13,258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11,792</w:t>
            </w:r>
          </w:p>
        </w:tc>
        <w:tc>
          <w:tcPr>
            <w:tcW w:w="0" w:type="dxa"/>
            <w:vAlign w:val="bottom"/>
          </w:tcPr>
          <w:p>
            <w:pPr>
              <w:spacing w:after="0"/>
              <w:rPr>
                <w:sz w:val="1"/>
                <w:szCs w:val="1"/>
                <w:color w:val="auto"/>
              </w:rPr>
            </w:pPr>
          </w:p>
        </w:tc>
      </w:tr>
      <w:tr>
        <w:trPr>
          <w:trHeight w:val="220"/>
        </w:trPr>
        <w:tc>
          <w:tcPr>
            <w:tcW w:w="3180" w:type="dxa"/>
            <w:vAlign w:val="bottom"/>
            <w:gridSpan w:val="2"/>
          </w:tcPr>
          <w:p>
            <w:pPr>
              <w:ind w:left="20"/>
              <w:spacing w:after="0"/>
              <w:rPr>
                <w:sz w:val="20"/>
                <w:szCs w:val="20"/>
                <w:color w:val="auto"/>
              </w:rPr>
            </w:pPr>
            <w:r>
              <w:rPr>
                <w:rFonts w:ascii="Arial" w:cs="Arial" w:eastAsia="Arial" w:hAnsi="Arial"/>
                <w:sz w:val="17"/>
                <w:szCs w:val="17"/>
                <w:color w:val="auto"/>
              </w:rPr>
              <w:t>Mortgage warehouse agreement (7)</w:t>
            </w:r>
          </w:p>
        </w:tc>
        <w:tc>
          <w:tcPr>
            <w:tcW w:w="1380" w:type="dxa"/>
            <w:vAlign w:val="bottom"/>
            <w:gridSpan w:val="2"/>
          </w:tcPr>
          <w:p>
            <w:pPr>
              <w:jc w:val="center"/>
              <w:ind w:right="80"/>
              <w:spacing w:after="0"/>
              <w:rPr>
                <w:sz w:val="20"/>
                <w:szCs w:val="20"/>
                <w:color w:val="auto"/>
              </w:rPr>
            </w:pPr>
            <w:r>
              <w:rPr>
                <w:rFonts w:ascii="Arial" w:cs="Arial" w:eastAsia="Arial" w:hAnsi="Arial"/>
                <w:sz w:val="17"/>
                <w:szCs w:val="17"/>
                <w:color w:val="auto"/>
                <w:w w:val="96"/>
              </w:rPr>
              <w:t>LHFS and LHFI</w:t>
            </w:r>
          </w:p>
        </w:tc>
        <w:tc>
          <w:tcPr>
            <w:tcW w:w="1160" w:type="dxa"/>
            <w:vAlign w:val="bottom"/>
            <w:gridSpan w:val="2"/>
          </w:tcPr>
          <w:p>
            <w:pPr>
              <w:jc w:val="center"/>
              <w:ind w:right="80"/>
              <w:spacing w:after="0"/>
              <w:rPr>
                <w:sz w:val="20"/>
                <w:szCs w:val="20"/>
                <w:color w:val="auto"/>
              </w:rPr>
            </w:pPr>
            <w:r>
              <w:rPr>
                <w:rFonts w:ascii="Arial" w:cs="Arial" w:eastAsia="Arial" w:hAnsi="Arial"/>
                <w:sz w:val="17"/>
                <w:szCs w:val="17"/>
                <w:color w:val="auto"/>
                <w:w w:val="94"/>
              </w:rPr>
              <w:t>Mar. 2023</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146,523</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180" w:type="dxa"/>
            <w:vAlign w:val="bottom"/>
          </w:tcPr>
          <w:p>
            <w:pPr>
              <w:jc w:val="right"/>
              <w:ind w:right="114"/>
              <w:spacing w:after="0"/>
              <w:rPr>
                <w:sz w:val="20"/>
                <w:szCs w:val="20"/>
                <w:color w:val="auto"/>
              </w:rPr>
            </w:pPr>
            <w:r>
              <w:rPr>
                <w:rFonts w:ascii="Arial" w:cs="Arial" w:eastAsia="Arial" w:hAnsi="Arial"/>
                <w:sz w:val="17"/>
                <w:szCs w:val="17"/>
                <w:color w:val="auto"/>
              </w:rPr>
              <w:t>57,477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ind w:right="114"/>
              <w:spacing w:after="0"/>
              <w:rPr>
                <w:sz w:val="20"/>
                <w:szCs w:val="20"/>
                <w:color w:val="auto"/>
              </w:rPr>
            </w:pPr>
            <w:r>
              <w:rPr>
                <w:rFonts w:ascii="Arial" w:cs="Arial" w:eastAsia="Arial" w:hAnsi="Arial"/>
                <w:sz w:val="17"/>
                <w:szCs w:val="17"/>
                <w:color w:val="auto"/>
              </w:rPr>
              <w:t>87,813</w:t>
            </w:r>
          </w:p>
        </w:tc>
        <w:tc>
          <w:tcPr>
            <w:tcW w:w="0" w:type="dxa"/>
            <w:vAlign w:val="bottom"/>
          </w:tcPr>
          <w:p>
            <w:pPr>
              <w:spacing w:after="0"/>
              <w:rPr>
                <w:sz w:val="1"/>
                <w:szCs w:val="1"/>
                <w:color w:val="auto"/>
              </w:rPr>
            </w:pPr>
          </w:p>
        </w:tc>
      </w:tr>
      <w:tr>
        <w:trPr>
          <w:trHeight w:val="168"/>
        </w:trPr>
        <w:tc>
          <w:tcPr>
            <w:tcW w:w="3180" w:type="dxa"/>
            <w:vAlign w:val="bottom"/>
            <w:gridSpan w:val="2"/>
            <w:vMerge w:val="restart"/>
            <w:shd w:val="clear" w:color="auto" w:fill="CCEEFF"/>
          </w:tcPr>
          <w:p>
            <w:pPr>
              <w:ind w:left="20"/>
              <w:spacing w:after="0"/>
              <w:rPr>
                <w:sz w:val="20"/>
                <w:szCs w:val="20"/>
                <w:color w:val="auto"/>
              </w:rPr>
            </w:pPr>
            <w:r>
              <w:rPr>
                <w:rFonts w:ascii="Arial" w:cs="Arial" w:eastAsia="Arial" w:hAnsi="Arial"/>
                <w:sz w:val="17"/>
                <w:szCs w:val="17"/>
                <w:color w:val="auto"/>
              </w:rPr>
              <w:t>Mortgage warehouse agreement (8)</w:t>
            </w:r>
          </w:p>
        </w:tc>
        <w:tc>
          <w:tcPr>
            <w:tcW w:w="1380" w:type="dxa"/>
            <w:vAlign w:val="bottom"/>
            <w:gridSpan w:val="2"/>
            <w:shd w:val="clear" w:color="auto" w:fill="CCEEFF"/>
          </w:tcPr>
          <w:p>
            <w:pPr>
              <w:jc w:val="center"/>
              <w:ind w:right="100"/>
              <w:spacing w:after="0" w:line="168" w:lineRule="exact"/>
              <w:rPr>
                <w:sz w:val="20"/>
                <w:szCs w:val="20"/>
                <w:color w:val="auto"/>
              </w:rPr>
            </w:pPr>
            <w:r>
              <w:rPr>
                <w:rFonts w:ascii="Arial" w:cs="Arial" w:eastAsia="Arial" w:hAnsi="Arial"/>
                <w:sz w:val="17"/>
                <w:szCs w:val="17"/>
                <w:color w:val="auto"/>
                <w:w w:val="94"/>
              </w:rPr>
              <w:t>LHFS and</w:t>
            </w:r>
          </w:p>
        </w:tc>
        <w:tc>
          <w:tcPr>
            <w:tcW w:w="1080" w:type="dxa"/>
            <w:vAlign w:val="bottom"/>
            <w:vMerge w:val="restart"/>
            <w:shd w:val="clear" w:color="auto" w:fill="CCEEFF"/>
          </w:tcPr>
          <w:p>
            <w:pPr>
              <w:jc w:val="center"/>
              <w:spacing w:after="0"/>
              <w:rPr>
                <w:sz w:val="20"/>
                <w:szCs w:val="20"/>
                <w:color w:val="auto"/>
              </w:rPr>
            </w:pPr>
            <w:r>
              <w:rPr>
                <w:rFonts w:ascii="Arial" w:cs="Arial" w:eastAsia="Arial" w:hAnsi="Arial"/>
                <w:sz w:val="17"/>
                <w:szCs w:val="17"/>
                <w:color w:val="auto"/>
                <w:w w:val="96"/>
              </w:rPr>
              <w:t>(8)</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200,764</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ind w:right="114"/>
              <w:spacing w:after="0"/>
              <w:rPr>
                <w:sz w:val="20"/>
                <w:szCs w:val="20"/>
                <w:color w:val="auto"/>
              </w:rPr>
            </w:pPr>
            <w:r>
              <w:rPr>
                <w:rFonts w:ascii="Arial" w:cs="Arial" w:eastAsia="Arial" w:hAnsi="Arial"/>
                <w:sz w:val="17"/>
                <w:szCs w:val="17"/>
                <w:color w:val="auto"/>
              </w:rPr>
              <w:t>29,236</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ind w:right="114"/>
              <w:spacing w:after="0"/>
              <w:rPr>
                <w:sz w:val="20"/>
                <w:szCs w:val="20"/>
                <w:color w:val="auto"/>
              </w:rPr>
            </w:pPr>
            <w:r>
              <w:rPr>
                <w:rFonts w:ascii="Arial" w:cs="Arial" w:eastAsia="Arial" w:hAnsi="Arial"/>
                <w:sz w:val="17"/>
                <w:szCs w:val="17"/>
                <w:color w:val="auto"/>
              </w:rPr>
              <w:t>192,023</w:t>
            </w:r>
          </w:p>
        </w:tc>
        <w:tc>
          <w:tcPr>
            <w:tcW w:w="0" w:type="dxa"/>
            <w:vAlign w:val="bottom"/>
          </w:tcPr>
          <w:p>
            <w:pPr>
              <w:spacing w:after="0"/>
              <w:rPr>
                <w:sz w:val="1"/>
                <w:szCs w:val="1"/>
                <w:color w:val="auto"/>
              </w:rPr>
            </w:pPr>
          </w:p>
        </w:tc>
      </w:tr>
      <w:tr>
        <w:trPr>
          <w:trHeight w:val="219"/>
        </w:trPr>
        <w:tc>
          <w:tcPr>
            <w:tcW w:w="3180" w:type="dxa"/>
            <w:vAlign w:val="bottom"/>
            <w:gridSpan w:val="2"/>
            <w:vMerge w:val="continue"/>
            <w:shd w:val="clear" w:color="auto" w:fill="CCEEFF"/>
          </w:tcPr>
          <w:p>
            <w:pPr>
              <w:spacing w:after="0"/>
              <w:rPr>
                <w:sz w:val="19"/>
                <w:szCs w:val="19"/>
                <w:color w:val="auto"/>
              </w:rPr>
            </w:pPr>
          </w:p>
        </w:tc>
        <w:tc>
          <w:tcPr>
            <w:tcW w:w="1380" w:type="dxa"/>
            <w:vAlign w:val="bottom"/>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90"/>
              </w:rPr>
              <w:t>Receivables</w:t>
            </w:r>
          </w:p>
        </w:tc>
        <w:tc>
          <w:tcPr>
            <w:tcW w:w="10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180" w:type="dxa"/>
            <w:vAlign w:val="bottom"/>
            <w:gridSpan w:val="2"/>
          </w:tcPr>
          <w:p>
            <w:pPr>
              <w:ind w:left="20"/>
              <w:spacing w:after="0"/>
              <w:rPr>
                <w:sz w:val="20"/>
                <w:szCs w:val="20"/>
                <w:color w:val="auto"/>
              </w:rPr>
            </w:pPr>
            <w:r>
              <w:rPr>
                <w:rFonts w:ascii="Arial" w:cs="Arial" w:eastAsia="Arial" w:hAnsi="Arial"/>
                <w:sz w:val="17"/>
                <w:szCs w:val="17"/>
                <w:color w:val="auto"/>
              </w:rPr>
              <w:t>Master repurchase agreement (9)</w:t>
            </w:r>
          </w:p>
        </w:tc>
        <w:tc>
          <w:tcPr>
            <w:tcW w:w="1380" w:type="dxa"/>
            <w:vAlign w:val="bottom"/>
            <w:gridSpan w:val="2"/>
          </w:tcPr>
          <w:p>
            <w:pPr>
              <w:jc w:val="center"/>
              <w:ind w:right="80"/>
              <w:spacing w:after="0"/>
              <w:rPr>
                <w:sz w:val="20"/>
                <w:szCs w:val="20"/>
                <w:color w:val="auto"/>
              </w:rPr>
            </w:pPr>
            <w:r>
              <w:rPr>
                <w:rFonts w:ascii="Arial" w:cs="Arial" w:eastAsia="Arial" w:hAnsi="Arial"/>
                <w:sz w:val="17"/>
                <w:szCs w:val="17"/>
                <w:color w:val="auto"/>
                <w:w w:val="96"/>
              </w:rPr>
              <w:t>LHFS</w:t>
            </w:r>
          </w:p>
        </w:tc>
        <w:tc>
          <w:tcPr>
            <w:tcW w:w="1080" w:type="dxa"/>
            <w:vAlign w:val="bottom"/>
          </w:tcPr>
          <w:p>
            <w:pPr>
              <w:jc w:val="center"/>
              <w:spacing w:after="0"/>
              <w:rPr>
                <w:sz w:val="20"/>
                <w:szCs w:val="20"/>
                <w:color w:val="auto"/>
              </w:rPr>
            </w:pPr>
            <w:r>
              <w:rPr>
                <w:rFonts w:ascii="Arial" w:cs="Arial" w:eastAsia="Arial" w:hAnsi="Arial"/>
                <w:sz w:val="17"/>
                <w:szCs w:val="17"/>
                <w:color w:val="auto"/>
                <w:w w:val="96"/>
              </w:rPr>
              <w:t>(9)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180" w:type="dxa"/>
            <w:vAlign w:val="bottom"/>
          </w:tcPr>
          <w:p>
            <w:pPr>
              <w:jc w:val="right"/>
              <w:ind w:right="114"/>
              <w:spacing w:after="0"/>
              <w:rPr>
                <w:sz w:val="20"/>
                <w:szCs w:val="20"/>
                <w:color w:val="auto"/>
              </w:rPr>
            </w:pPr>
            <w:r>
              <w:rPr>
                <w:rFonts w:ascii="Arial" w:cs="Arial" w:eastAsia="Arial" w:hAnsi="Arial"/>
                <w:sz w:val="17"/>
                <w:szCs w:val="17"/>
                <w:color w:val="auto"/>
              </w:rPr>
              <w:t>126,098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ind w:right="114"/>
              <w:spacing w:after="0"/>
              <w:rPr>
                <w:sz w:val="20"/>
                <w:szCs w:val="20"/>
                <w:color w:val="auto"/>
              </w:rPr>
            </w:pPr>
            <w:r>
              <w:rPr>
                <w:rFonts w:ascii="Arial" w:cs="Arial" w:eastAsia="Arial" w:hAnsi="Arial"/>
                <w:sz w:val="17"/>
                <w:szCs w:val="17"/>
                <w:color w:val="auto"/>
              </w:rPr>
              <w:t>459,344</w:t>
            </w:r>
          </w:p>
        </w:tc>
        <w:tc>
          <w:tcPr>
            <w:tcW w:w="0" w:type="dxa"/>
            <w:vAlign w:val="bottom"/>
          </w:tcPr>
          <w:p>
            <w:pPr>
              <w:spacing w:after="0"/>
              <w:rPr>
                <w:sz w:val="1"/>
                <w:szCs w:val="1"/>
                <w:color w:val="auto"/>
              </w:rPr>
            </w:pPr>
          </w:p>
        </w:tc>
      </w:tr>
      <w:tr>
        <w:trPr>
          <w:trHeight w:val="168"/>
        </w:trPr>
        <w:tc>
          <w:tcPr>
            <w:tcW w:w="3180" w:type="dxa"/>
            <w:vAlign w:val="bottom"/>
            <w:gridSpan w:val="2"/>
            <w:vMerge w:val="restart"/>
            <w:shd w:val="clear" w:color="auto" w:fill="CCEEFF"/>
          </w:tcPr>
          <w:p>
            <w:pPr>
              <w:ind w:left="20"/>
              <w:spacing w:after="0"/>
              <w:rPr>
                <w:sz w:val="20"/>
                <w:szCs w:val="20"/>
                <w:color w:val="auto"/>
              </w:rPr>
            </w:pPr>
            <w:r>
              <w:rPr>
                <w:rFonts w:ascii="Arial" w:cs="Arial" w:eastAsia="Arial" w:hAnsi="Arial"/>
                <w:sz w:val="17"/>
                <w:szCs w:val="17"/>
                <w:color w:val="auto"/>
              </w:rPr>
              <w:t>Loan and security agreement (10)</w:t>
            </w:r>
          </w:p>
        </w:tc>
        <w:tc>
          <w:tcPr>
            <w:tcW w:w="1380" w:type="dxa"/>
            <w:vAlign w:val="bottom"/>
            <w:gridSpan w:val="2"/>
            <w:shd w:val="clear" w:color="auto" w:fill="CCEEFF"/>
          </w:tcPr>
          <w:p>
            <w:pPr>
              <w:jc w:val="center"/>
              <w:ind w:right="100"/>
              <w:spacing w:after="0" w:line="168" w:lineRule="exact"/>
              <w:rPr>
                <w:sz w:val="20"/>
                <w:szCs w:val="20"/>
                <w:color w:val="auto"/>
              </w:rPr>
            </w:pPr>
            <w:r>
              <w:rPr>
                <w:rFonts w:ascii="Arial" w:cs="Arial" w:eastAsia="Arial" w:hAnsi="Arial"/>
                <w:sz w:val="17"/>
                <w:szCs w:val="17"/>
                <w:color w:val="auto"/>
                <w:w w:val="94"/>
              </w:rPr>
              <w:t>LHFS and</w:t>
            </w:r>
          </w:p>
        </w:tc>
        <w:tc>
          <w:tcPr>
            <w:tcW w:w="116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7"/>
                <w:szCs w:val="17"/>
                <w:color w:val="auto"/>
                <w:w w:val="94"/>
              </w:rPr>
              <w:t>Mar. 2023</w:t>
            </w:r>
          </w:p>
        </w:tc>
        <w:tc>
          <w:tcPr>
            <w:tcW w:w="160" w:type="dxa"/>
            <w:vAlign w:val="bottom"/>
            <w:shd w:val="clear" w:color="auto" w:fill="CCEEFF"/>
          </w:tcPr>
          <w:p>
            <w:pPr>
              <w:spacing w:after="0"/>
              <w:rPr>
                <w:sz w:val="14"/>
                <w:szCs w:val="14"/>
                <w:color w:val="auto"/>
              </w:rPr>
            </w:pPr>
          </w:p>
        </w:tc>
        <w:tc>
          <w:tcPr>
            <w:tcW w:w="13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25,133</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ind w:right="114"/>
              <w:spacing w:after="0"/>
              <w:rPr>
                <w:sz w:val="20"/>
                <w:szCs w:val="20"/>
                <w:color w:val="auto"/>
              </w:rPr>
            </w:pPr>
            <w:r>
              <w:rPr>
                <w:rFonts w:ascii="Arial" w:cs="Arial" w:eastAsia="Arial" w:hAnsi="Arial"/>
                <w:sz w:val="17"/>
                <w:szCs w:val="17"/>
                <w:color w:val="auto"/>
              </w:rPr>
              <w:t>24,867</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ind w:right="114"/>
              <w:spacing w:after="0"/>
              <w:rPr>
                <w:sz w:val="20"/>
                <w:szCs w:val="20"/>
                <w:color w:val="auto"/>
              </w:rPr>
            </w:pPr>
            <w:r>
              <w:rPr>
                <w:rFonts w:ascii="Arial" w:cs="Arial" w:eastAsia="Arial" w:hAnsi="Arial"/>
                <w:sz w:val="17"/>
                <w:szCs w:val="17"/>
                <w:color w:val="auto"/>
              </w:rPr>
              <w:t>16,834</w:t>
            </w:r>
          </w:p>
        </w:tc>
        <w:tc>
          <w:tcPr>
            <w:tcW w:w="0" w:type="dxa"/>
            <w:vAlign w:val="bottom"/>
          </w:tcPr>
          <w:p>
            <w:pPr>
              <w:spacing w:after="0"/>
              <w:rPr>
                <w:sz w:val="1"/>
                <w:szCs w:val="1"/>
                <w:color w:val="auto"/>
              </w:rPr>
            </w:pPr>
          </w:p>
        </w:tc>
      </w:tr>
      <w:tr>
        <w:trPr>
          <w:trHeight w:val="219"/>
        </w:trPr>
        <w:tc>
          <w:tcPr>
            <w:tcW w:w="3180" w:type="dxa"/>
            <w:vAlign w:val="bottom"/>
            <w:gridSpan w:val="2"/>
            <w:vMerge w:val="continue"/>
            <w:shd w:val="clear" w:color="auto" w:fill="CCEEFF"/>
          </w:tcPr>
          <w:p>
            <w:pPr>
              <w:spacing w:after="0"/>
              <w:rPr>
                <w:sz w:val="19"/>
                <w:szCs w:val="19"/>
                <w:color w:val="auto"/>
              </w:rPr>
            </w:pPr>
          </w:p>
        </w:tc>
        <w:tc>
          <w:tcPr>
            <w:tcW w:w="1380" w:type="dxa"/>
            <w:vAlign w:val="bottom"/>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90"/>
              </w:rPr>
              <w:t>Receivables</w:t>
            </w:r>
          </w:p>
        </w:tc>
        <w:tc>
          <w:tcPr>
            <w:tcW w:w="116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2"/>
            <w:vMerge w:val="continue"/>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180" w:type="dxa"/>
            <w:vAlign w:val="bottom"/>
            <w:gridSpan w:val="2"/>
          </w:tcPr>
          <w:p>
            <w:pPr>
              <w:ind w:left="20"/>
              <w:spacing w:after="0"/>
              <w:rPr>
                <w:sz w:val="20"/>
                <w:szCs w:val="20"/>
                <w:color w:val="auto"/>
              </w:rPr>
            </w:pPr>
            <w:r>
              <w:rPr>
                <w:rFonts w:ascii="Arial" w:cs="Arial" w:eastAsia="Arial" w:hAnsi="Arial"/>
                <w:sz w:val="17"/>
                <w:szCs w:val="17"/>
                <w:color w:val="auto"/>
              </w:rPr>
              <w:t>Master repurchase agreement (11)</w:t>
            </w:r>
          </w:p>
        </w:tc>
        <w:tc>
          <w:tcPr>
            <w:tcW w:w="1380" w:type="dxa"/>
            <w:vAlign w:val="bottom"/>
            <w:gridSpan w:val="2"/>
          </w:tcPr>
          <w:p>
            <w:pPr>
              <w:jc w:val="center"/>
              <w:ind w:right="80"/>
              <w:spacing w:after="0"/>
              <w:rPr>
                <w:sz w:val="20"/>
                <w:szCs w:val="20"/>
                <w:color w:val="auto"/>
              </w:rPr>
            </w:pPr>
            <w:r>
              <w:rPr>
                <w:rFonts w:ascii="Arial" w:cs="Arial" w:eastAsia="Arial" w:hAnsi="Arial"/>
                <w:sz w:val="17"/>
                <w:szCs w:val="17"/>
                <w:color w:val="auto"/>
                <w:w w:val="96"/>
              </w:rPr>
              <w:t>LHFS</w:t>
            </w:r>
          </w:p>
        </w:tc>
        <w:tc>
          <w:tcPr>
            <w:tcW w:w="1160" w:type="dxa"/>
            <w:vAlign w:val="bottom"/>
            <w:gridSpan w:val="2"/>
          </w:tcPr>
          <w:p>
            <w:pPr>
              <w:jc w:val="center"/>
              <w:ind w:right="80"/>
              <w:spacing w:after="0"/>
              <w:rPr>
                <w:sz w:val="20"/>
                <w:szCs w:val="20"/>
                <w:color w:val="auto"/>
              </w:rPr>
            </w:pPr>
            <w:r>
              <w:rPr>
                <w:rFonts w:ascii="Arial" w:cs="Arial" w:eastAsia="Arial" w:hAnsi="Arial"/>
                <w:sz w:val="17"/>
                <w:szCs w:val="17"/>
                <w:color w:val="auto"/>
                <w:w w:val="92"/>
              </w:rPr>
              <w:t>Apr. 2023</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128,993</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180" w:type="dxa"/>
            <w:vAlign w:val="bottom"/>
          </w:tcPr>
          <w:p>
            <w:pPr>
              <w:jc w:val="right"/>
              <w:ind w:right="114"/>
              <w:spacing w:after="0"/>
              <w:rPr>
                <w:sz w:val="20"/>
                <w:szCs w:val="20"/>
                <w:color w:val="auto"/>
              </w:rPr>
            </w:pPr>
            <w:r>
              <w:rPr>
                <w:rFonts w:ascii="Arial" w:cs="Arial" w:eastAsia="Arial" w:hAnsi="Arial"/>
                <w:sz w:val="17"/>
                <w:szCs w:val="17"/>
                <w:color w:val="auto"/>
              </w:rPr>
              <w:t>221,007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ind w:right="114"/>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8"/>
        </w:trPr>
        <w:tc>
          <w:tcPr>
            <w:tcW w:w="3180" w:type="dxa"/>
            <w:vAlign w:val="bottom"/>
            <w:tcBorders>
              <w:top w:val="single" w:sz="8" w:color="CCEEFF"/>
              <w:bottom w:val="single" w:sz="8" w:color="CCEEFF"/>
            </w:tcBorders>
            <w:gridSpan w:val="2"/>
            <w:shd w:val="clear" w:color="auto" w:fill="CCEEFF"/>
          </w:tcPr>
          <w:p>
            <w:pPr>
              <w:ind w:left="120"/>
              <w:spacing w:after="0"/>
              <w:rPr>
                <w:sz w:val="20"/>
                <w:szCs w:val="20"/>
                <w:color w:val="auto"/>
              </w:rPr>
            </w:pPr>
            <w:r>
              <w:rPr>
                <w:rFonts w:ascii="Arial" w:cs="Arial" w:eastAsia="Arial" w:hAnsi="Arial"/>
                <w:sz w:val="17"/>
                <w:szCs w:val="17"/>
                <w:b w:val="1"/>
                <w:bCs w:val="1"/>
                <w:color w:val="auto"/>
                <w:w w:val="92"/>
              </w:rPr>
              <w:t>Total mortgage loan warehouse facilities</w:t>
            </w:r>
          </w:p>
        </w:tc>
        <w:tc>
          <w:tcPr>
            <w:tcW w:w="12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8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1,041,280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288,549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Borders>
              <w:top w:val="single" w:sz="8" w:color="auto"/>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779,270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tcBorders>
              <w:top w:val="single" w:sz="8" w:color="auto"/>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1,085,076</w:t>
            </w: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30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31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Weighted average interest rate (12)</w:t>
            </w: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3.25 %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2.61 %</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320" w:right="280" w:hanging="317"/>
        <w:spacing w:after="0" w:line="243" w:lineRule="auto"/>
        <w:tabs>
          <w:tab w:leader="none" w:pos="3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Of the borrowing capacity on mortgage loan warehouse facilities extended on a committed basis, $1.9 million of the available borrowing capacity could be used at June 30, 2022 based on the amount of eligible collateral that could be pledged.</w:t>
      </w:r>
    </w:p>
    <w:p>
      <w:pPr>
        <w:spacing w:after="0" w:line="1" w:lineRule="exact"/>
        <w:rPr>
          <w:rFonts w:ascii="Arial" w:cs="Arial" w:eastAsia="Arial" w:hAnsi="Arial"/>
          <w:sz w:val="16"/>
          <w:szCs w:val="16"/>
          <w:color w:val="auto"/>
        </w:rPr>
      </w:pPr>
    </w:p>
    <w:p>
      <w:pPr>
        <w:ind w:left="320" w:right="60" w:hanging="317"/>
        <w:spacing w:after="0" w:line="269" w:lineRule="auto"/>
        <w:tabs>
          <w:tab w:leader="none" w:pos="3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maximum borrowing under this agreement is $275.0 million, of which $160.0 million is available on a committed basis and the remainder is available at the discretion of the lender. On June 29, 2022, the maturity date of the facility was extended to August 1, 2022 and the interest rate was modified from 1ML plus applicable margin to 1M Term SOFR plus applicable margin. On July 29, 2022, the total maximum borrowing under this agreement was reduced to $175.0 million and the maturity date was extended to August 31, 2022. The borrowing available on a committed basis was reduced to $50.0 million and uncommitted capacity was increased to $125.0 million.</w:t>
      </w:r>
    </w:p>
    <w:p>
      <w:pPr>
        <w:spacing w:after="0" w:line="1" w:lineRule="exact"/>
        <w:rPr>
          <w:rFonts w:ascii="Arial" w:cs="Arial" w:eastAsia="Arial" w:hAnsi="Arial"/>
          <w:sz w:val="14"/>
          <w:szCs w:val="14"/>
          <w:color w:val="auto"/>
        </w:rPr>
      </w:pPr>
    </w:p>
    <w:p>
      <w:pPr>
        <w:ind w:left="320" w:right="100" w:hanging="317"/>
        <w:spacing w:after="0" w:line="235" w:lineRule="auto"/>
        <w:tabs>
          <w:tab w:leader="none" w:pos="3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maximum borrowing under this agreement is $450.0 million, of which $200.0 million is available on a committed basis and the remainder is available on an uncommitted basis. The interest rate for this facility was 1ML plus applicable margin.</w:t>
      </w:r>
    </w:p>
    <w:p>
      <w:pPr>
        <w:spacing w:after="0" w:line="1" w:lineRule="exact"/>
        <w:rPr>
          <w:rFonts w:ascii="Arial" w:cs="Arial" w:eastAsia="Arial" w:hAnsi="Arial"/>
          <w:sz w:val="16"/>
          <w:szCs w:val="16"/>
          <w:color w:val="auto"/>
        </w:rPr>
      </w:pPr>
    </w:p>
    <w:p>
      <w:pPr>
        <w:ind w:left="320" w:right="180" w:hanging="317"/>
        <w:spacing w:after="0" w:line="227" w:lineRule="auto"/>
        <w:tabs>
          <w:tab w:leader="none" w:pos="3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lender provides financing for up to $50.0 million at the discretion of the lender. The agreement has no stated maturity date. Interest on this facility is based on the SOFR. The interest rate for this facility is SOFR plus applicable margin, with a SOFR floor of 25 bps.</w:t>
      </w:r>
    </w:p>
    <w:p>
      <w:pPr>
        <w:ind w:left="320" w:right="120" w:hanging="317"/>
        <w:spacing w:after="0" w:line="224" w:lineRule="auto"/>
        <w:tabs>
          <w:tab w:leader="none" w:pos="3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uncommitted borrowing capacity under the participation agreement is $150.0 million. On June 23, 2022, the maturity date of the participation agreement was extended to June 22 2023. Also on June 23, 2022, the committed borrowing capacity under the repurchase agreement was increased from $100.0 million to $173.0 million, the maturity date was extended to June 22, 2023, and, the interest rate was modified to 1M Term SOFR plus applicable margin, with an interest rate floor for Ginnie Mae modifications, Ginnie Mae buyouts</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36" w:name="page37"/>
    <w:bookmarkEnd w:id="36"/>
    <w:p>
      <w:pPr>
        <w:ind w:left="320" w:right="20"/>
        <w:spacing w:after="0" w:line="257" w:lineRule="auto"/>
        <w:rPr>
          <w:sz w:val="20"/>
          <w:szCs w:val="20"/>
          <w:color w:val="auto"/>
        </w:rPr>
      </w:pPr>
      <w:r>
        <w:rPr>
          <w:rFonts w:ascii="Arial" w:cs="Arial" w:eastAsia="Arial" w:hAnsi="Arial"/>
          <w:sz w:val="14"/>
          <w:szCs w:val="14"/>
          <w:color w:val="auto"/>
        </w:rPr>
        <w:t>and RMBS bond clean-up loans. The previous interest rate on the repurchase agreement was the stated interest rate of the mortgage loans, less applicable margin with an interest rate floor for new originations and less applicable margin with an interest rate floor for Ginnie Mae modifications, Ginnie Mae buyouts and RMBS bond clean-up loans. The interest rate on the participation agreement was modified to the greater of the stated interest rate of the mortgage loans less an agreed upon servicing fee percentage or the 1M Term SOFR, plus the applicable margin. The previous interest rate was the stated interest rate of the mortgage loans, less applicable margin with an interest rate floor for new originations. The agreements allow the lender to acquire a 100% beneficial interest in the underlying mortgage loans.</w:t>
      </w:r>
    </w:p>
    <w:p>
      <w:pPr>
        <w:spacing w:after="0" w:line="3" w:lineRule="exact"/>
        <w:rPr>
          <w:sz w:val="20"/>
          <w:szCs w:val="20"/>
          <w:color w:val="auto"/>
        </w:rPr>
      </w:pPr>
    </w:p>
    <w:p>
      <w:pPr>
        <w:ind w:left="320" w:right="80" w:hanging="317"/>
        <w:spacing w:after="0" w:line="235" w:lineRule="auto"/>
        <w:tabs>
          <w:tab w:leader="none" w:pos="3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Under this agreement, the lender provides financing for up to $50.0 million on a committed basis. The interest rate for this facility was modified to 1M Term SOFR plus applicable margin with an interest rate floor. On January 14, 2022, the maturity date of this facility was extended to March 16, 2022 when it was further extended to March 16, 2023.</w:t>
      </w:r>
    </w:p>
    <w:p>
      <w:pPr>
        <w:spacing w:after="0" w:line="2" w:lineRule="exact"/>
        <w:rPr>
          <w:rFonts w:ascii="Arial" w:cs="Arial" w:eastAsia="Arial" w:hAnsi="Arial"/>
          <w:sz w:val="16"/>
          <w:szCs w:val="16"/>
          <w:color w:val="auto"/>
        </w:rPr>
      </w:pPr>
    </w:p>
    <w:p>
      <w:pPr>
        <w:ind w:left="320" w:right="120" w:hanging="317"/>
        <w:spacing w:after="0" w:line="269" w:lineRule="auto"/>
        <w:tabs>
          <w:tab w:leader="none" w:pos="3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Under this agreement, the lender provides financing for up to $204.0 million on an uncommitted basis. On February 20, 2022, the interest rate for this facility was modified to 1M Term SOFR plus applicable margin, with an interest rate floor. On June 16, 2022, the maturity date of the facility was extended to March 16, 2023.</w:t>
      </w:r>
    </w:p>
    <w:p>
      <w:pPr>
        <w:ind w:left="320" w:hanging="317"/>
        <w:spacing w:after="0" w:line="269" w:lineRule="auto"/>
        <w:tabs>
          <w:tab w:leader="none" w:pos="3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total borrowing capacity of this facility, all of which is uncommitted, was increased from $200.0 million to $250.0 million on January 5, 2022. The agreement has no stated maturity date, however each transaction has a maximum duration of four years. The cost of this line is set at each transaction date and is based on the interest rate and type of the collateral. On May 2, 2022, $20.0 million of the uncommitted capacity of this facility was assigned to a new EBO advance facility.</w:t>
      </w:r>
    </w:p>
    <w:p>
      <w:pPr>
        <w:spacing w:after="0" w:line="1" w:lineRule="exact"/>
        <w:rPr>
          <w:rFonts w:ascii="Arial" w:cs="Arial" w:eastAsia="Arial" w:hAnsi="Arial"/>
          <w:sz w:val="14"/>
          <w:szCs w:val="14"/>
          <w:color w:val="auto"/>
        </w:rPr>
      </w:pPr>
    </w:p>
    <w:p>
      <w:pPr>
        <w:ind w:left="320" w:right="60" w:hanging="317"/>
        <w:spacing w:after="0" w:line="235" w:lineRule="auto"/>
        <w:tabs>
          <w:tab w:leader="none" w:pos="3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This repurchase agreement provides borrowing at our discretion up to a certain maximum amount of capacity on a rolling 30-day committed basis. This facility is structured as a gestation repurchase facility whereby dry Agency mortgage loans are transferred to a trust which issues a trust certificate that is pledged as the collateral for the borrowings. See Note 2 – Securitizations and Variable Interest Entities for additional information. Each certificate is renewed monthly and the interest rate for this facility is 1ML plus applicable margin. During first quarter of 2022, we voluntarily reduced the trust certificates by $175.0 million and by an additional $150.0 million during second quarter of 2022.</w:t>
      </w:r>
    </w:p>
    <w:p>
      <w:pPr>
        <w:spacing w:after="0" w:line="3" w:lineRule="exact"/>
        <w:rPr>
          <w:rFonts w:ascii="Arial" w:cs="Arial" w:eastAsia="Arial" w:hAnsi="Arial"/>
          <w:sz w:val="16"/>
          <w:szCs w:val="16"/>
          <w:color w:val="auto"/>
        </w:rPr>
      </w:pPr>
    </w:p>
    <w:p>
      <w:pPr>
        <w:ind w:left="320" w:right="100" w:hanging="317"/>
        <w:spacing w:after="0" w:line="235" w:lineRule="auto"/>
        <w:tabs>
          <w:tab w:leader="none" w:pos="3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This revolving facility agreement provides up to $50.0 million of committed borrowing capacity secured by eligible HECM loans that are active buyouts (ABO), as defined in the agreement. On April 29, 2022, the maturity date was extended to March 16, 2023 and the interest rate was modified from Prime Rate plus applicable margin (with an interest rate floor) to 1M Term SOFR plus applicable margin, with an interest rate floor..</w:t>
      </w:r>
    </w:p>
    <w:p>
      <w:pPr>
        <w:spacing w:after="0" w:line="2" w:lineRule="exact"/>
        <w:rPr>
          <w:rFonts w:ascii="Arial" w:cs="Arial" w:eastAsia="Arial" w:hAnsi="Arial"/>
          <w:sz w:val="16"/>
          <w:szCs w:val="16"/>
          <w:color w:val="auto"/>
        </w:rPr>
      </w:pPr>
    </w:p>
    <w:p>
      <w:pPr>
        <w:ind w:left="320" w:right="20" w:hanging="317"/>
        <w:spacing w:after="0" w:line="235" w:lineRule="auto"/>
        <w:tabs>
          <w:tab w:leader="none" w:pos="314" w:val="left"/>
        </w:tabs>
        <w:numPr>
          <w:ilvl w:val="0"/>
          <w:numId w:val="24"/>
        </w:numPr>
        <w:rPr>
          <w:rFonts w:ascii="Arial" w:cs="Arial" w:eastAsia="Arial" w:hAnsi="Arial"/>
          <w:sz w:val="16"/>
          <w:szCs w:val="16"/>
          <w:color w:val="auto"/>
        </w:rPr>
      </w:pPr>
      <w:r>
        <w:rPr>
          <w:rFonts w:ascii="Arial" w:cs="Arial" w:eastAsia="Arial" w:hAnsi="Arial"/>
          <w:sz w:val="16"/>
          <w:szCs w:val="16"/>
          <w:color w:val="auto"/>
        </w:rPr>
        <w:t>On April 11, 2022, we entered into a warehouse line (master repurchase agreement) with a total borrowing capacity of $350.0 million, of which $100.0 million is committed, to finance loans held for sale and loans held for investment at an interest rate of daily simple SOFR plus applicable margin.</w:t>
      </w:r>
    </w:p>
    <w:p>
      <w:pPr>
        <w:spacing w:after="0" w:line="1" w:lineRule="exact"/>
        <w:rPr>
          <w:rFonts w:ascii="Arial" w:cs="Arial" w:eastAsia="Arial" w:hAnsi="Arial"/>
          <w:sz w:val="16"/>
          <w:szCs w:val="16"/>
          <w:color w:val="auto"/>
        </w:rPr>
      </w:pPr>
    </w:p>
    <w:p>
      <w:pPr>
        <w:ind w:left="320" w:right="260" w:hanging="317"/>
        <w:spacing w:after="0" w:line="318" w:lineRule="auto"/>
        <w:tabs>
          <w:tab w:leader="none" w:pos="320" w:val="left"/>
        </w:tabs>
        <w:numPr>
          <w:ilvl w:val="0"/>
          <w:numId w:val="24"/>
        </w:numPr>
        <w:rPr>
          <w:rFonts w:ascii="Arial" w:cs="Arial" w:eastAsia="Arial" w:hAnsi="Arial"/>
          <w:sz w:val="13"/>
          <w:szCs w:val="13"/>
          <w:color w:val="auto"/>
        </w:rPr>
      </w:pPr>
      <w:r>
        <w:rPr>
          <w:rFonts w:ascii="Arial" w:cs="Arial" w:eastAsia="Arial" w:hAnsi="Arial"/>
          <w:sz w:val="13"/>
          <w:szCs w:val="13"/>
          <w:color w:val="auto"/>
        </w:rPr>
        <w:t>1ML was 1.79% and 0.10% at June 30, 2022 and December 31, 2021, respectively. Prime Rate was 3.25% at December 31, 2021, 1M Term SOFR was 1.69% and 0.55% at June 30, 2022 and December 31, 2021, respectively. The weighted average interest rate excludes the effect of the amortization of prepaid lender fees. At June 30, 2022 and December 31, 2021, unamortized prepaid lender fees were $1.1 million and $1.2 million, respectively, and are included in Other assets in our consolidated balance sheets.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880" w:type="dxa"/>
            <w:vAlign w:val="bottom"/>
          </w:tcPr>
          <w:p>
            <w:pPr>
              <w:ind w:left="20"/>
              <w:spacing w:after="0"/>
              <w:rPr>
                <w:sz w:val="20"/>
                <w:szCs w:val="20"/>
                <w:color w:val="auto"/>
              </w:rPr>
            </w:pPr>
            <w:r>
              <w:rPr>
                <w:rFonts w:ascii="Arial" w:cs="Arial" w:eastAsia="Arial" w:hAnsi="Arial"/>
                <w:sz w:val="17"/>
                <w:szCs w:val="17"/>
                <w:b w:val="1"/>
                <w:bCs w:val="1"/>
                <w:color w:val="auto"/>
              </w:rPr>
              <w:t>MSR financing facilities, net</w:t>
            </w:r>
          </w:p>
        </w:tc>
        <w:tc>
          <w:tcPr>
            <w:tcW w:w="1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gridSpan w:val="4"/>
          </w:tcPr>
          <w:p>
            <w:pPr>
              <w:jc w:val="right"/>
              <w:ind w:right="274"/>
              <w:spacing w:after="0"/>
              <w:rPr>
                <w:sz w:val="20"/>
                <w:szCs w:val="20"/>
                <w:color w:val="auto"/>
              </w:rPr>
            </w:pPr>
            <w:r>
              <w:rPr>
                <w:rFonts w:ascii="Arial" w:cs="Arial" w:eastAsia="Arial" w:hAnsi="Arial"/>
                <w:sz w:val="17"/>
                <w:szCs w:val="17"/>
                <w:b w:val="1"/>
                <w:bCs w:val="1"/>
                <w:color w:val="auto"/>
              </w:rPr>
              <w:t>Available Borrowing Capacity</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gridSpan w:val="4"/>
          </w:tcPr>
          <w:p>
            <w:pPr>
              <w:jc w:val="right"/>
              <w:ind w:right="614"/>
              <w:spacing w:after="0"/>
              <w:rPr>
                <w:sz w:val="20"/>
                <w:szCs w:val="20"/>
                <w:color w:val="auto"/>
              </w:rPr>
            </w:pPr>
            <w:r>
              <w:rPr>
                <w:rFonts w:ascii="Arial" w:cs="Arial" w:eastAsia="Arial" w:hAnsi="Arial"/>
                <w:sz w:val="17"/>
                <w:szCs w:val="17"/>
                <w:b w:val="1"/>
                <w:bCs w:val="1"/>
                <w:color w:val="auto"/>
              </w:rPr>
              <w:t>Outstanding Balance</w:t>
            </w:r>
          </w:p>
        </w:tc>
        <w:tc>
          <w:tcPr>
            <w:tcW w:w="0" w:type="dxa"/>
            <w:vAlign w:val="bottom"/>
          </w:tcPr>
          <w:p>
            <w:pPr>
              <w:spacing w:after="0"/>
              <w:rPr>
                <w:sz w:val="1"/>
                <w:szCs w:val="1"/>
                <w:color w:val="auto"/>
              </w:rPr>
            </w:pPr>
          </w:p>
        </w:tc>
      </w:tr>
      <w:tr>
        <w:trPr>
          <w:trHeight w:val="161"/>
        </w:trPr>
        <w:tc>
          <w:tcPr>
            <w:tcW w:w="2880" w:type="dxa"/>
            <w:vAlign w:val="bottom"/>
            <w:vMerge w:val="restart"/>
          </w:tcPr>
          <w:p>
            <w:pPr>
              <w:ind w:left="780"/>
              <w:spacing w:after="0"/>
              <w:rPr>
                <w:sz w:val="20"/>
                <w:szCs w:val="20"/>
                <w:color w:val="auto"/>
              </w:rPr>
            </w:pPr>
            <w:r>
              <w:rPr>
                <w:rFonts w:ascii="Arial" w:cs="Arial" w:eastAsia="Arial" w:hAnsi="Arial"/>
                <w:sz w:val="17"/>
                <w:szCs w:val="17"/>
                <w:b w:val="1"/>
                <w:bCs w:val="1"/>
                <w:color w:val="auto"/>
              </w:rPr>
              <w:t>Borrowing Type</w:t>
            </w:r>
          </w:p>
        </w:tc>
        <w:tc>
          <w:tcPr>
            <w:tcW w:w="1140" w:type="dxa"/>
            <w:vAlign w:val="bottom"/>
            <w:vMerge w:val="restart"/>
          </w:tcPr>
          <w:p>
            <w:pPr>
              <w:jc w:val="center"/>
              <w:spacing w:after="0"/>
              <w:rPr>
                <w:sz w:val="20"/>
                <w:szCs w:val="20"/>
                <w:color w:val="auto"/>
              </w:rPr>
            </w:pPr>
            <w:r>
              <w:rPr>
                <w:rFonts w:ascii="Arial" w:cs="Arial" w:eastAsia="Arial" w:hAnsi="Arial"/>
                <w:sz w:val="17"/>
                <w:szCs w:val="17"/>
                <w:b w:val="1"/>
                <w:bCs w:val="1"/>
                <w:color w:val="auto"/>
                <w:w w:val="95"/>
              </w:rPr>
              <w:t>Collateral</w:t>
            </w:r>
          </w:p>
        </w:tc>
        <w:tc>
          <w:tcPr>
            <w:tcW w:w="1220" w:type="dxa"/>
            <w:vAlign w:val="bottom"/>
            <w:vMerge w:val="restart"/>
          </w:tcPr>
          <w:p>
            <w:pPr>
              <w:ind w:left="240"/>
              <w:spacing w:after="0"/>
              <w:rPr>
                <w:sz w:val="20"/>
                <w:szCs w:val="20"/>
                <w:color w:val="auto"/>
              </w:rPr>
            </w:pPr>
            <w:r>
              <w:rPr>
                <w:rFonts w:ascii="Arial" w:cs="Arial" w:eastAsia="Arial" w:hAnsi="Arial"/>
                <w:sz w:val="17"/>
                <w:szCs w:val="17"/>
                <w:b w:val="1"/>
                <w:bCs w:val="1"/>
                <w:color w:val="auto"/>
              </w:rPr>
              <w:t>Maturity</w:t>
            </w:r>
          </w:p>
        </w:tc>
        <w:tc>
          <w:tcPr>
            <w:tcW w:w="160" w:type="dxa"/>
            <w:vAlign w:val="bottom"/>
          </w:tcPr>
          <w:p>
            <w:pPr>
              <w:spacing w:after="0"/>
              <w:rPr>
                <w:sz w:val="13"/>
                <w:szCs w:val="13"/>
                <w:color w:val="auto"/>
              </w:rPr>
            </w:pPr>
          </w:p>
        </w:tc>
        <w:tc>
          <w:tcPr>
            <w:tcW w:w="1280" w:type="dxa"/>
            <w:vAlign w:val="bottom"/>
            <w:vMerge w:val="restart"/>
          </w:tcPr>
          <w:p>
            <w:pPr>
              <w:jc w:val="right"/>
              <w:ind w:right="134"/>
              <w:spacing w:after="0"/>
              <w:rPr>
                <w:sz w:val="20"/>
                <w:szCs w:val="20"/>
                <w:color w:val="auto"/>
              </w:rPr>
            </w:pPr>
            <w:r>
              <w:rPr>
                <w:rFonts w:ascii="Arial" w:cs="Arial" w:eastAsia="Arial" w:hAnsi="Arial"/>
                <w:sz w:val="17"/>
                <w:szCs w:val="17"/>
                <w:b w:val="1"/>
                <w:bCs w:val="1"/>
                <w:color w:val="auto"/>
                <w:w w:val="95"/>
              </w:rPr>
              <w:t>Uncommitted</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vMerge w:val="restart"/>
          </w:tcPr>
          <w:p>
            <w:pPr>
              <w:jc w:val="right"/>
              <w:ind w:right="94"/>
              <w:spacing w:after="0"/>
              <w:rPr>
                <w:sz w:val="20"/>
                <w:szCs w:val="20"/>
                <w:color w:val="auto"/>
              </w:rPr>
            </w:pPr>
            <w:r>
              <w:rPr>
                <w:rFonts w:ascii="Arial" w:cs="Arial" w:eastAsia="Arial" w:hAnsi="Arial"/>
                <w:sz w:val="17"/>
                <w:szCs w:val="17"/>
                <w:b w:val="1"/>
                <w:bCs w:val="1"/>
                <w:color w:val="auto"/>
                <w:w w:val="94"/>
              </w:rPr>
              <w:t>Committed (1)</w:t>
            </w:r>
          </w:p>
        </w:tc>
        <w:tc>
          <w:tcPr>
            <w:tcW w:w="10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vMerge w:val="restart"/>
          </w:tcPr>
          <w:p>
            <w:pPr>
              <w:jc w:val="right"/>
              <w:ind w:right="134"/>
              <w:spacing w:after="0"/>
              <w:rPr>
                <w:sz w:val="20"/>
                <w:szCs w:val="20"/>
                <w:color w:val="auto"/>
              </w:rPr>
            </w:pPr>
            <w:r>
              <w:rPr>
                <w:rFonts w:ascii="Arial" w:cs="Arial" w:eastAsia="Arial" w:hAnsi="Arial"/>
                <w:sz w:val="17"/>
                <w:szCs w:val="17"/>
                <w:b w:val="1"/>
                <w:bCs w:val="1"/>
                <w:color w:val="auto"/>
                <w:w w:val="92"/>
              </w:rPr>
              <w:t>June 30, 2022</w:t>
            </w:r>
          </w:p>
        </w:tc>
        <w:tc>
          <w:tcPr>
            <w:tcW w:w="10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tcPr>
          <w:p>
            <w:pPr>
              <w:jc w:val="right"/>
              <w:ind w:right="114"/>
              <w:spacing w:after="0" w:line="161" w:lineRule="exact"/>
              <w:rPr>
                <w:sz w:val="20"/>
                <w:szCs w:val="20"/>
                <w:color w:val="auto"/>
              </w:rPr>
            </w:pPr>
            <w:r>
              <w:rPr>
                <w:rFonts w:ascii="Arial" w:cs="Arial" w:eastAsia="Arial" w:hAnsi="Arial"/>
                <w:sz w:val="17"/>
                <w:szCs w:val="17"/>
                <w:b w:val="1"/>
                <w:bCs w:val="1"/>
                <w:color w:val="auto"/>
                <w:w w:val="94"/>
              </w:rPr>
              <w:t>December 31,</w:t>
            </w:r>
          </w:p>
        </w:tc>
        <w:tc>
          <w:tcPr>
            <w:tcW w:w="0" w:type="dxa"/>
            <w:vAlign w:val="bottom"/>
          </w:tcPr>
          <w:p>
            <w:pPr>
              <w:spacing w:after="0"/>
              <w:rPr>
                <w:sz w:val="1"/>
                <w:szCs w:val="1"/>
                <w:color w:val="auto"/>
              </w:rPr>
            </w:pPr>
          </w:p>
        </w:tc>
      </w:tr>
      <w:tr>
        <w:trPr>
          <w:trHeight w:val="220"/>
        </w:trPr>
        <w:tc>
          <w:tcPr>
            <w:tcW w:w="2880" w:type="dxa"/>
            <w:vAlign w:val="bottom"/>
            <w:tcBorders>
              <w:bottom w:val="single" w:sz="8" w:color="CCEEFF"/>
            </w:tcBorders>
            <w:vMerge w:val="continue"/>
          </w:tcPr>
          <w:p>
            <w:pPr>
              <w:spacing w:after="0"/>
              <w:rPr>
                <w:sz w:val="19"/>
                <w:szCs w:val="19"/>
                <w:color w:val="auto"/>
              </w:rPr>
            </w:pPr>
          </w:p>
        </w:tc>
        <w:tc>
          <w:tcPr>
            <w:tcW w:w="1140" w:type="dxa"/>
            <w:vAlign w:val="bottom"/>
            <w:tcBorders>
              <w:bottom w:val="single" w:sz="8" w:color="CCEEFF"/>
            </w:tcBorders>
            <w:vMerge w:val="continue"/>
          </w:tcPr>
          <w:p>
            <w:pPr>
              <w:spacing w:after="0"/>
              <w:rPr>
                <w:sz w:val="19"/>
                <w:szCs w:val="19"/>
                <w:color w:val="auto"/>
              </w:rPr>
            </w:pPr>
          </w:p>
        </w:tc>
        <w:tc>
          <w:tcPr>
            <w:tcW w:w="1220" w:type="dxa"/>
            <w:vAlign w:val="bottom"/>
            <w:tcBorders>
              <w:bottom w:val="single" w:sz="8" w:color="CCEEFF"/>
            </w:tcBorders>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54"/>
              <w:spacing w:after="0"/>
              <w:rPr>
                <w:sz w:val="20"/>
                <w:szCs w:val="20"/>
                <w:color w:val="auto"/>
              </w:rPr>
            </w:pPr>
            <w:r>
              <w:rPr>
                <w:rFonts w:ascii="Arial" w:cs="Arial" w:eastAsia="Arial" w:hAnsi="Arial"/>
                <w:sz w:val="17"/>
                <w:szCs w:val="17"/>
                <w:b w:val="1"/>
                <w:bCs w:val="1"/>
                <w:color w:val="auto"/>
              </w:rPr>
              <w:t>2021</w:t>
            </w:r>
          </w:p>
        </w:tc>
        <w:tc>
          <w:tcPr>
            <w:tcW w:w="0" w:type="dxa"/>
            <w:vAlign w:val="bottom"/>
          </w:tcPr>
          <w:p>
            <w:pPr>
              <w:spacing w:after="0"/>
              <w:rPr>
                <w:sz w:val="1"/>
                <w:szCs w:val="1"/>
                <w:color w:val="auto"/>
              </w:rPr>
            </w:pPr>
          </w:p>
        </w:tc>
      </w:tr>
      <w:tr>
        <w:trPr>
          <w:trHeight w:val="213"/>
        </w:trPr>
        <w:tc>
          <w:tcPr>
            <w:tcW w:w="2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Agency MSR financing facility (2)</w:t>
            </w:r>
          </w:p>
        </w:tc>
        <w:tc>
          <w:tcPr>
            <w:tcW w:w="11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MSRs</w:t>
            </w:r>
          </w:p>
        </w:tc>
        <w:tc>
          <w:tcPr>
            <w:tcW w:w="1220" w:type="dxa"/>
            <w:vAlign w:val="bottom"/>
            <w:shd w:val="clear" w:color="auto" w:fill="CCEEFF"/>
          </w:tcPr>
          <w:p>
            <w:pPr>
              <w:ind w:left="240"/>
              <w:spacing w:after="0"/>
              <w:rPr>
                <w:sz w:val="20"/>
                <w:szCs w:val="20"/>
                <w:color w:val="auto"/>
              </w:rPr>
            </w:pPr>
            <w:r>
              <w:rPr>
                <w:rFonts w:ascii="Arial" w:cs="Arial" w:eastAsia="Arial" w:hAnsi="Arial"/>
                <w:sz w:val="17"/>
                <w:szCs w:val="17"/>
                <w:color w:val="auto"/>
              </w:rPr>
              <w:t>June 2023</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60,963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389,037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317,523</w:t>
            </w:r>
          </w:p>
        </w:tc>
        <w:tc>
          <w:tcPr>
            <w:tcW w:w="0" w:type="dxa"/>
            <w:vAlign w:val="bottom"/>
          </w:tcPr>
          <w:p>
            <w:pPr>
              <w:spacing w:after="0"/>
              <w:rPr>
                <w:sz w:val="1"/>
                <w:szCs w:val="1"/>
                <w:color w:val="auto"/>
              </w:rPr>
            </w:pPr>
          </w:p>
        </w:tc>
      </w:tr>
      <w:tr>
        <w:trPr>
          <w:trHeight w:val="168"/>
        </w:trPr>
        <w:tc>
          <w:tcPr>
            <w:tcW w:w="2880" w:type="dxa"/>
            <w:vAlign w:val="bottom"/>
            <w:vMerge w:val="restart"/>
          </w:tcPr>
          <w:p>
            <w:pPr>
              <w:ind w:left="20"/>
              <w:spacing w:after="0"/>
              <w:rPr>
                <w:sz w:val="20"/>
                <w:szCs w:val="20"/>
                <w:color w:val="auto"/>
              </w:rPr>
            </w:pPr>
            <w:r>
              <w:rPr>
                <w:rFonts w:ascii="Arial" w:cs="Arial" w:eastAsia="Arial" w:hAnsi="Arial"/>
                <w:sz w:val="17"/>
                <w:szCs w:val="17"/>
                <w:color w:val="auto"/>
              </w:rPr>
              <w:t>Ginnie Mae MSR financing facility (3)</w:t>
            </w:r>
          </w:p>
        </w:tc>
        <w:tc>
          <w:tcPr>
            <w:tcW w:w="1140" w:type="dxa"/>
            <w:vAlign w:val="bottom"/>
          </w:tcPr>
          <w:p>
            <w:pPr>
              <w:jc w:val="center"/>
              <w:spacing w:after="0" w:line="168" w:lineRule="exact"/>
              <w:rPr>
                <w:sz w:val="20"/>
                <w:szCs w:val="20"/>
                <w:color w:val="auto"/>
              </w:rPr>
            </w:pPr>
            <w:r>
              <w:rPr>
                <w:rFonts w:ascii="Arial" w:cs="Arial" w:eastAsia="Arial" w:hAnsi="Arial"/>
                <w:sz w:val="17"/>
                <w:szCs w:val="17"/>
                <w:color w:val="auto"/>
                <w:w w:val="90"/>
              </w:rPr>
              <w:t>MSRs,</w:t>
            </w:r>
          </w:p>
        </w:tc>
        <w:tc>
          <w:tcPr>
            <w:tcW w:w="1220" w:type="dxa"/>
            <w:vAlign w:val="bottom"/>
            <w:vMerge w:val="restart"/>
          </w:tcPr>
          <w:p>
            <w:pPr>
              <w:ind w:left="240"/>
              <w:spacing w:after="0"/>
              <w:rPr>
                <w:sz w:val="20"/>
                <w:szCs w:val="20"/>
                <w:color w:val="auto"/>
              </w:rPr>
            </w:pPr>
            <w:r>
              <w:rPr>
                <w:rFonts w:ascii="Arial" w:cs="Arial" w:eastAsia="Arial" w:hAnsi="Arial"/>
                <w:sz w:val="17"/>
                <w:szCs w:val="17"/>
                <w:color w:val="auto"/>
              </w:rPr>
              <w:t>Feb. 2023</w:t>
            </w:r>
          </w:p>
        </w:tc>
        <w:tc>
          <w:tcPr>
            <w:tcW w:w="160" w:type="dxa"/>
            <w:vAlign w:val="bottom"/>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Arial" w:cs="Arial" w:eastAsia="Arial" w:hAnsi="Arial"/>
                <w:sz w:val="17"/>
                <w:szCs w:val="17"/>
                <w:color w:val="auto"/>
              </w:rPr>
              <w:t>49,525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vMerge w:val="restart"/>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Arial" w:cs="Arial" w:eastAsia="Arial" w:hAnsi="Arial"/>
                <w:sz w:val="17"/>
                <w:szCs w:val="17"/>
                <w:color w:val="auto"/>
              </w:rPr>
              <w:t>125,475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Arial" w:cs="Arial" w:eastAsia="Arial" w:hAnsi="Arial"/>
                <w:sz w:val="17"/>
                <w:szCs w:val="17"/>
                <w:color w:val="auto"/>
              </w:rPr>
              <w:t>131,694</w:t>
            </w:r>
          </w:p>
        </w:tc>
        <w:tc>
          <w:tcPr>
            <w:tcW w:w="0" w:type="dxa"/>
            <w:vAlign w:val="bottom"/>
          </w:tcPr>
          <w:p>
            <w:pPr>
              <w:spacing w:after="0"/>
              <w:rPr>
                <w:sz w:val="1"/>
                <w:szCs w:val="1"/>
                <w:color w:val="auto"/>
              </w:rPr>
            </w:pPr>
          </w:p>
        </w:tc>
      </w:tr>
      <w:tr>
        <w:trPr>
          <w:trHeight w:val="219"/>
        </w:trPr>
        <w:tc>
          <w:tcPr>
            <w:tcW w:w="2880" w:type="dxa"/>
            <w:vAlign w:val="bottom"/>
            <w:vMerge w:val="continue"/>
          </w:tcPr>
          <w:p>
            <w:pPr>
              <w:spacing w:after="0"/>
              <w:rPr>
                <w:sz w:val="19"/>
                <w:szCs w:val="19"/>
                <w:color w:val="auto"/>
              </w:rPr>
            </w:pPr>
          </w:p>
        </w:tc>
        <w:tc>
          <w:tcPr>
            <w:tcW w:w="1140" w:type="dxa"/>
            <w:vAlign w:val="bottom"/>
          </w:tcPr>
          <w:p>
            <w:pPr>
              <w:jc w:val="center"/>
              <w:ind w:right="14"/>
              <w:spacing w:after="0"/>
              <w:rPr>
                <w:sz w:val="20"/>
                <w:szCs w:val="20"/>
                <w:color w:val="auto"/>
              </w:rPr>
            </w:pPr>
            <w:r>
              <w:rPr>
                <w:rFonts w:ascii="Arial" w:cs="Arial" w:eastAsia="Arial" w:hAnsi="Arial"/>
                <w:sz w:val="17"/>
                <w:szCs w:val="17"/>
                <w:color w:val="auto"/>
                <w:w w:val="91"/>
              </w:rPr>
              <w:t>Advances</w:t>
            </w:r>
          </w:p>
        </w:tc>
        <w:tc>
          <w:tcPr>
            <w:tcW w:w="122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2880" w:type="dxa"/>
            <w:vAlign w:val="bottom"/>
            <w:shd w:val="clear" w:color="auto" w:fill="CCEEFF"/>
          </w:tcPr>
          <w:p>
            <w:pPr>
              <w:ind w:left="20"/>
              <w:spacing w:after="0" w:line="168" w:lineRule="exact"/>
              <w:rPr>
                <w:sz w:val="20"/>
                <w:szCs w:val="20"/>
                <w:color w:val="auto"/>
              </w:rPr>
            </w:pPr>
            <w:r>
              <w:rPr>
                <w:rFonts w:ascii="Arial" w:cs="Arial" w:eastAsia="Arial" w:hAnsi="Arial"/>
                <w:sz w:val="17"/>
                <w:szCs w:val="17"/>
                <w:color w:val="auto"/>
              </w:rPr>
              <w:t>Ocwen Excess Spread-Collateralized</w:t>
            </w:r>
          </w:p>
        </w:tc>
        <w:tc>
          <w:tcPr>
            <w:tcW w:w="1140" w:type="dxa"/>
            <w:vAlign w:val="bottom"/>
            <w:vMerge w:val="restart"/>
            <w:shd w:val="clear" w:color="auto" w:fill="CCEEFF"/>
          </w:tcPr>
          <w:p>
            <w:pPr>
              <w:jc w:val="center"/>
              <w:spacing w:after="0"/>
              <w:rPr>
                <w:sz w:val="20"/>
                <w:szCs w:val="20"/>
                <w:color w:val="auto"/>
              </w:rPr>
            </w:pPr>
            <w:r>
              <w:rPr>
                <w:rFonts w:ascii="Arial" w:cs="Arial" w:eastAsia="Arial" w:hAnsi="Arial"/>
                <w:sz w:val="17"/>
                <w:szCs w:val="17"/>
                <w:color w:val="auto"/>
                <w:w w:val="90"/>
              </w:rPr>
              <w:t>MSRs</w:t>
            </w:r>
          </w:p>
        </w:tc>
        <w:tc>
          <w:tcPr>
            <w:tcW w:w="1220" w:type="dxa"/>
            <w:vAlign w:val="bottom"/>
            <w:vMerge w:val="restart"/>
            <w:shd w:val="clear" w:color="auto" w:fill="CCEEFF"/>
          </w:tcPr>
          <w:p>
            <w:pPr>
              <w:ind w:left="240"/>
              <w:spacing w:after="0"/>
              <w:rPr>
                <w:sz w:val="20"/>
                <w:szCs w:val="20"/>
                <w:color w:val="auto"/>
              </w:rPr>
            </w:pPr>
            <w:r>
              <w:rPr>
                <w:rFonts w:ascii="Arial" w:cs="Arial" w:eastAsia="Arial" w:hAnsi="Arial"/>
                <w:sz w:val="17"/>
                <w:szCs w:val="17"/>
                <w:color w:val="auto"/>
              </w:rPr>
              <w:t>Feb. 2025</w:t>
            </w:r>
          </w:p>
        </w:tc>
        <w:tc>
          <w:tcPr>
            <w:tcW w:w="160" w:type="dxa"/>
            <w:vAlign w:val="bottom"/>
            <w:shd w:val="clear" w:color="auto" w:fill="CCEEFF"/>
          </w:tcPr>
          <w:p>
            <w:pPr>
              <w:spacing w:after="0"/>
              <w:rPr>
                <w:sz w:val="14"/>
                <w:szCs w:val="14"/>
                <w:color w:val="auto"/>
              </w:rPr>
            </w:pPr>
          </w:p>
        </w:tc>
        <w:tc>
          <w:tcPr>
            <w:tcW w:w="13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4"/>
                <w:szCs w:val="14"/>
                <w:color w:val="auto"/>
              </w:rPr>
            </w:pPr>
          </w:p>
        </w:tc>
        <w:tc>
          <w:tcPr>
            <w:tcW w:w="13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67,131</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41,663</w:t>
            </w:r>
          </w:p>
        </w:tc>
        <w:tc>
          <w:tcPr>
            <w:tcW w:w="0" w:type="dxa"/>
            <w:vAlign w:val="bottom"/>
          </w:tcPr>
          <w:p>
            <w:pPr>
              <w:spacing w:after="0"/>
              <w:rPr>
                <w:sz w:val="1"/>
                <w:szCs w:val="1"/>
                <w:color w:val="auto"/>
              </w:rPr>
            </w:pPr>
          </w:p>
        </w:tc>
      </w:tr>
      <w:tr>
        <w:trPr>
          <w:trHeight w:val="219"/>
        </w:trPr>
        <w:tc>
          <w:tcPr>
            <w:tcW w:w="28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Notes, Series 2019/2022-PLS1 (4)</w:t>
            </w:r>
          </w:p>
        </w:tc>
        <w:tc>
          <w:tcPr>
            <w:tcW w:w="1140" w:type="dxa"/>
            <w:vAlign w:val="bottom"/>
            <w:vMerge w:val="continue"/>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2880" w:type="dxa"/>
            <w:vAlign w:val="bottom"/>
          </w:tcPr>
          <w:p>
            <w:pPr>
              <w:ind w:left="20"/>
              <w:spacing w:after="0" w:line="168" w:lineRule="exact"/>
              <w:rPr>
                <w:sz w:val="20"/>
                <w:szCs w:val="20"/>
                <w:color w:val="auto"/>
              </w:rPr>
            </w:pPr>
            <w:r>
              <w:rPr>
                <w:rFonts w:ascii="Arial" w:cs="Arial" w:eastAsia="Arial" w:hAnsi="Arial"/>
                <w:sz w:val="17"/>
                <w:szCs w:val="17"/>
                <w:color w:val="auto"/>
                <w:w w:val="95"/>
              </w:rPr>
              <w:t>Secured Notes, Ocwen Asset Servicing</w:t>
            </w:r>
          </w:p>
        </w:tc>
        <w:tc>
          <w:tcPr>
            <w:tcW w:w="1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880" w:type="dxa"/>
            <w:vAlign w:val="bottom"/>
          </w:tcPr>
          <w:p>
            <w:pPr>
              <w:ind w:left="180"/>
              <w:spacing w:after="0" w:line="168" w:lineRule="exact"/>
              <w:rPr>
                <w:sz w:val="20"/>
                <w:szCs w:val="20"/>
                <w:color w:val="auto"/>
              </w:rPr>
            </w:pPr>
            <w:r>
              <w:rPr>
                <w:rFonts w:ascii="Arial" w:cs="Arial" w:eastAsia="Arial" w:hAnsi="Arial"/>
                <w:sz w:val="17"/>
                <w:szCs w:val="17"/>
                <w:color w:val="auto"/>
                <w:w w:val="98"/>
              </w:rPr>
              <w:t>Income Series Notes, Series 2014-1</w:t>
            </w:r>
          </w:p>
        </w:tc>
        <w:tc>
          <w:tcPr>
            <w:tcW w:w="1140" w:type="dxa"/>
            <w:vAlign w:val="bottom"/>
            <w:vMerge w:val="restart"/>
          </w:tcPr>
          <w:p>
            <w:pPr>
              <w:jc w:val="center"/>
              <w:spacing w:after="0"/>
              <w:rPr>
                <w:sz w:val="20"/>
                <w:szCs w:val="20"/>
                <w:color w:val="auto"/>
              </w:rPr>
            </w:pPr>
            <w:r>
              <w:rPr>
                <w:rFonts w:ascii="Arial" w:cs="Arial" w:eastAsia="Arial" w:hAnsi="Arial"/>
                <w:sz w:val="17"/>
                <w:szCs w:val="17"/>
                <w:color w:val="auto"/>
                <w:w w:val="90"/>
              </w:rPr>
              <w:t>MSRs</w:t>
            </w:r>
          </w:p>
        </w:tc>
        <w:tc>
          <w:tcPr>
            <w:tcW w:w="1220" w:type="dxa"/>
            <w:vAlign w:val="bottom"/>
            <w:vMerge w:val="restart"/>
          </w:tcPr>
          <w:p>
            <w:pPr>
              <w:ind w:left="240"/>
              <w:spacing w:after="0"/>
              <w:rPr>
                <w:sz w:val="20"/>
                <w:szCs w:val="20"/>
                <w:color w:val="auto"/>
              </w:rPr>
            </w:pPr>
            <w:r>
              <w:rPr>
                <w:rFonts w:ascii="Arial" w:cs="Arial" w:eastAsia="Arial" w:hAnsi="Arial"/>
                <w:sz w:val="17"/>
                <w:szCs w:val="17"/>
                <w:color w:val="auto"/>
              </w:rPr>
              <w:t>Feb. 2028</w:t>
            </w:r>
          </w:p>
        </w:tc>
        <w:tc>
          <w:tcPr>
            <w:tcW w:w="160" w:type="dxa"/>
            <w:vAlign w:val="bottom"/>
          </w:tcPr>
          <w:p>
            <w:pPr>
              <w:spacing w:after="0"/>
              <w:rPr>
                <w:sz w:val="14"/>
                <w:szCs w:val="14"/>
                <w:color w:val="auto"/>
              </w:rPr>
            </w:pPr>
          </w:p>
        </w:tc>
        <w:tc>
          <w:tcPr>
            <w:tcW w:w="1380" w:type="dxa"/>
            <w:vAlign w:val="bottom"/>
            <w:gridSpan w:val="2"/>
            <w:vMerge w:val="restart"/>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4"/>
                <w:szCs w:val="14"/>
                <w:color w:val="auto"/>
              </w:rPr>
            </w:pPr>
          </w:p>
        </w:tc>
        <w:tc>
          <w:tcPr>
            <w:tcW w:w="1380" w:type="dxa"/>
            <w:vAlign w:val="bottom"/>
            <w:gridSpan w:val="2"/>
            <w:vMerge w:val="restart"/>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Arial" w:cs="Arial" w:eastAsia="Arial" w:hAnsi="Arial"/>
                <w:sz w:val="17"/>
                <w:szCs w:val="17"/>
                <w:color w:val="auto"/>
              </w:rPr>
              <w:t>36,047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Arial" w:cs="Arial" w:eastAsia="Arial" w:hAnsi="Arial"/>
                <w:sz w:val="17"/>
                <w:szCs w:val="17"/>
                <w:color w:val="auto"/>
              </w:rPr>
              <w:t>39,529</w:t>
            </w:r>
          </w:p>
        </w:tc>
        <w:tc>
          <w:tcPr>
            <w:tcW w:w="0" w:type="dxa"/>
            <w:vAlign w:val="bottom"/>
          </w:tcPr>
          <w:p>
            <w:pPr>
              <w:spacing w:after="0"/>
              <w:rPr>
                <w:sz w:val="1"/>
                <w:szCs w:val="1"/>
                <w:color w:val="auto"/>
              </w:rPr>
            </w:pPr>
          </w:p>
        </w:tc>
      </w:tr>
      <w:tr>
        <w:trPr>
          <w:trHeight w:val="219"/>
        </w:trPr>
        <w:tc>
          <w:tcPr>
            <w:tcW w:w="2880" w:type="dxa"/>
            <w:vAlign w:val="bottom"/>
          </w:tcPr>
          <w:p>
            <w:pPr>
              <w:ind w:left="180"/>
              <w:spacing w:after="0"/>
              <w:rPr>
                <w:sz w:val="20"/>
                <w:szCs w:val="20"/>
                <w:color w:val="auto"/>
              </w:rPr>
            </w:pPr>
            <w:r>
              <w:rPr>
                <w:rFonts w:ascii="Arial" w:cs="Arial" w:eastAsia="Arial" w:hAnsi="Arial"/>
                <w:sz w:val="17"/>
                <w:szCs w:val="17"/>
                <w:color w:val="auto"/>
              </w:rPr>
              <w:t>(5)</w:t>
            </w:r>
          </w:p>
        </w:tc>
        <w:tc>
          <w:tcPr>
            <w:tcW w:w="1140" w:type="dxa"/>
            <w:vAlign w:val="bottom"/>
            <w:vMerge w:val="continue"/>
          </w:tcPr>
          <w:p>
            <w:pPr>
              <w:spacing w:after="0"/>
              <w:rPr>
                <w:sz w:val="19"/>
                <w:szCs w:val="19"/>
                <w:color w:val="auto"/>
              </w:rPr>
            </w:pPr>
          </w:p>
        </w:tc>
        <w:tc>
          <w:tcPr>
            <w:tcW w:w="122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2880" w:type="dxa"/>
            <w:vAlign w:val="bottom"/>
            <w:shd w:val="clear" w:color="auto" w:fill="CCEEFF"/>
          </w:tcPr>
          <w:p>
            <w:pPr>
              <w:ind w:left="20"/>
              <w:spacing w:after="0" w:line="168" w:lineRule="exact"/>
              <w:rPr>
                <w:sz w:val="20"/>
                <w:szCs w:val="20"/>
                <w:color w:val="auto"/>
              </w:rPr>
            </w:pPr>
            <w:r>
              <w:rPr>
                <w:rFonts w:ascii="Arial" w:cs="Arial" w:eastAsia="Arial" w:hAnsi="Arial"/>
                <w:sz w:val="17"/>
                <w:szCs w:val="17"/>
                <w:color w:val="auto"/>
              </w:rPr>
              <w:t>Agency MSR financing facility -</w:t>
            </w:r>
          </w:p>
        </w:tc>
        <w:tc>
          <w:tcPr>
            <w:tcW w:w="1140" w:type="dxa"/>
            <w:vAlign w:val="bottom"/>
            <w:vMerge w:val="restart"/>
            <w:shd w:val="clear" w:color="auto" w:fill="CCEEFF"/>
          </w:tcPr>
          <w:p>
            <w:pPr>
              <w:jc w:val="center"/>
              <w:spacing w:after="0"/>
              <w:rPr>
                <w:sz w:val="20"/>
                <w:szCs w:val="20"/>
                <w:color w:val="auto"/>
              </w:rPr>
            </w:pPr>
            <w:r>
              <w:rPr>
                <w:rFonts w:ascii="Arial" w:cs="Arial" w:eastAsia="Arial" w:hAnsi="Arial"/>
                <w:sz w:val="17"/>
                <w:szCs w:val="17"/>
                <w:color w:val="auto"/>
                <w:w w:val="90"/>
              </w:rPr>
              <w:t>MSRs</w:t>
            </w:r>
          </w:p>
        </w:tc>
        <w:tc>
          <w:tcPr>
            <w:tcW w:w="1220" w:type="dxa"/>
            <w:vAlign w:val="bottom"/>
            <w:vMerge w:val="restart"/>
            <w:shd w:val="clear" w:color="auto" w:fill="CCEEFF"/>
          </w:tcPr>
          <w:p>
            <w:pPr>
              <w:ind w:left="240"/>
              <w:spacing w:after="0"/>
              <w:rPr>
                <w:sz w:val="20"/>
                <w:szCs w:val="20"/>
                <w:color w:val="auto"/>
              </w:rPr>
            </w:pPr>
            <w:r>
              <w:rPr>
                <w:rFonts w:ascii="Arial" w:cs="Arial" w:eastAsia="Arial" w:hAnsi="Arial"/>
                <w:sz w:val="17"/>
                <w:szCs w:val="17"/>
                <w:color w:val="auto"/>
              </w:rPr>
              <w:t>June 2026</w:t>
            </w:r>
          </w:p>
        </w:tc>
        <w:tc>
          <w:tcPr>
            <w:tcW w:w="160" w:type="dxa"/>
            <w:vAlign w:val="bottom"/>
            <w:shd w:val="clear" w:color="auto" w:fill="CCEEFF"/>
          </w:tcPr>
          <w:p>
            <w:pPr>
              <w:spacing w:after="0"/>
              <w:rPr>
                <w:sz w:val="14"/>
                <w:szCs w:val="14"/>
                <w:color w:val="auto"/>
              </w:rPr>
            </w:pPr>
          </w:p>
        </w:tc>
        <w:tc>
          <w:tcPr>
            <w:tcW w:w="13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7,929</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277,071</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277,071</w:t>
            </w:r>
          </w:p>
        </w:tc>
        <w:tc>
          <w:tcPr>
            <w:tcW w:w="0" w:type="dxa"/>
            <w:vAlign w:val="bottom"/>
          </w:tcPr>
          <w:p>
            <w:pPr>
              <w:spacing w:after="0"/>
              <w:rPr>
                <w:sz w:val="1"/>
                <w:szCs w:val="1"/>
                <w:color w:val="auto"/>
              </w:rPr>
            </w:pPr>
          </w:p>
        </w:tc>
      </w:tr>
      <w:tr>
        <w:trPr>
          <w:trHeight w:val="219"/>
        </w:trPr>
        <w:tc>
          <w:tcPr>
            <w:tcW w:w="28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revolving loan (6)</w:t>
            </w:r>
          </w:p>
        </w:tc>
        <w:tc>
          <w:tcPr>
            <w:tcW w:w="1140" w:type="dxa"/>
            <w:vAlign w:val="bottom"/>
            <w:vMerge w:val="continue"/>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2880" w:type="dxa"/>
            <w:vAlign w:val="bottom"/>
          </w:tcPr>
          <w:p>
            <w:pPr>
              <w:ind w:left="20"/>
              <w:spacing w:after="0" w:line="168" w:lineRule="exact"/>
              <w:rPr>
                <w:sz w:val="20"/>
                <w:szCs w:val="20"/>
                <w:color w:val="auto"/>
              </w:rPr>
            </w:pPr>
            <w:r>
              <w:rPr>
                <w:rFonts w:ascii="Arial" w:cs="Arial" w:eastAsia="Arial" w:hAnsi="Arial"/>
                <w:sz w:val="17"/>
                <w:szCs w:val="17"/>
                <w:color w:val="auto"/>
              </w:rPr>
              <w:t>Agency MSR financing facility - term</w:t>
            </w:r>
          </w:p>
        </w:tc>
        <w:tc>
          <w:tcPr>
            <w:tcW w:w="1140" w:type="dxa"/>
            <w:vAlign w:val="bottom"/>
            <w:vMerge w:val="restart"/>
          </w:tcPr>
          <w:p>
            <w:pPr>
              <w:jc w:val="center"/>
              <w:spacing w:after="0"/>
              <w:rPr>
                <w:sz w:val="20"/>
                <w:szCs w:val="20"/>
                <w:color w:val="auto"/>
              </w:rPr>
            </w:pPr>
            <w:r>
              <w:rPr>
                <w:rFonts w:ascii="Arial" w:cs="Arial" w:eastAsia="Arial" w:hAnsi="Arial"/>
                <w:sz w:val="17"/>
                <w:szCs w:val="17"/>
                <w:color w:val="auto"/>
                <w:w w:val="90"/>
              </w:rPr>
              <w:t>MSRs</w:t>
            </w:r>
          </w:p>
        </w:tc>
        <w:tc>
          <w:tcPr>
            <w:tcW w:w="1220" w:type="dxa"/>
            <w:vAlign w:val="bottom"/>
            <w:vMerge w:val="restart"/>
          </w:tcPr>
          <w:p>
            <w:pPr>
              <w:ind w:left="240"/>
              <w:spacing w:after="0"/>
              <w:rPr>
                <w:sz w:val="20"/>
                <w:szCs w:val="20"/>
                <w:color w:val="auto"/>
              </w:rPr>
            </w:pPr>
            <w:r>
              <w:rPr>
                <w:rFonts w:ascii="Arial" w:cs="Arial" w:eastAsia="Arial" w:hAnsi="Arial"/>
                <w:sz w:val="17"/>
                <w:szCs w:val="17"/>
                <w:color w:val="auto"/>
              </w:rPr>
              <w:t>June 2023</w:t>
            </w:r>
          </w:p>
        </w:tc>
        <w:tc>
          <w:tcPr>
            <w:tcW w:w="160" w:type="dxa"/>
            <w:vAlign w:val="bottom"/>
          </w:tcPr>
          <w:p>
            <w:pPr>
              <w:spacing w:after="0"/>
              <w:rPr>
                <w:sz w:val="14"/>
                <w:szCs w:val="14"/>
                <w:color w:val="auto"/>
              </w:rPr>
            </w:pPr>
          </w:p>
        </w:tc>
        <w:tc>
          <w:tcPr>
            <w:tcW w:w="1380" w:type="dxa"/>
            <w:vAlign w:val="bottom"/>
            <w:gridSpan w:val="2"/>
            <w:vMerge w:val="restart"/>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4"/>
                <w:szCs w:val="14"/>
                <w:color w:val="auto"/>
              </w:rPr>
            </w:pPr>
          </w:p>
        </w:tc>
        <w:tc>
          <w:tcPr>
            <w:tcW w:w="1380" w:type="dxa"/>
            <w:vAlign w:val="bottom"/>
            <w:gridSpan w:val="2"/>
            <w:vMerge w:val="restart"/>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Arial" w:cs="Arial" w:eastAsia="Arial" w:hAnsi="Arial"/>
                <w:sz w:val="17"/>
                <w:szCs w:val="17"/>
                <w:color w:val="auto"/>
              </w:rPr>
              <w:t>94,178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Arial" w:cs="Arial" w:eastAsia="Arial" w:hAnsi="Arial"/>
                <w:sz w:val="17"/>
                <w:szCs w:val="17"/>
                <w:color w:val="auto"/>
              </w:rPr>
              <w:t>94,178</w:t>
            </w:r>
          </w:p>
        </w:tc>
        <w:tc>
          <w:tcPr>
            <w:tcW w:w="0" w:type="dxa"/>
            <w:vAlign w:val="bottom"/>
          </w:tcPr>
          <w:p>
            <w:pPr>
              <w:spacing w:after="0"/>
              <w:rPr>
                <w:sz w:val="1"/>
                <w:szCs w:val="1"/>
                <w:color w:val="auto"/>
              </w:rPr>
            </w:pPr>
          </w:p>
        </w:tc>
      </w:tr>
      <w:tr>
        <w:trPr>
          <w:trHeight w:val="219"/>
        </w:trPr>
        <w:tc>
          <w:tcPr>
            <w:tcW w:w="2880" w:type="dxa"/>
            <w:vAlign w:val="bottom"/>
          </w:tcPr>
          <w:p>
            <w:pPr>
              <w:ind w:left="180"/>
              <w:spacing w:after="0"/>
              <w:rPr>
                <w:sz w:val="20"/>
                <w:szCs w:val="20"/>
                <w:color w:val="auto"/>
              </w:rPr>
            </w:pPr>
            <w:r>
              <w:rPr>
                <w:rFonts w:ascii="Arial" w:cs="Arial" w:eastAsia="Arial" w:hAnsi="Arial"/>
                <w:sz w:val="17"/>
                <w:szCs w:val="17"/>
                <w:color w:val="auto"/>
              </w:rPr>
              <w:t>loan (6)</w:t>
            </w:r>
          </w:p>
        </w:tc>
        <w:tc>
          <w:tcPr>
            <w:tcW w:w="1140" w:type="dxa"/>
            <w:vAlign w:val="bottom"/>
            <w:vMerge w:val="continue"/>
          </w:tcPr>
          <w:p>
            <w:pPr>
              <w:spacing w:after="0"/>
              <w:rPr>
                <w:sz w:val="19"/>
                <w:szCs w:val="19"/>
                <w:color w:val="auto"/>
              </w:rPr>
            </w:pPr>
          </w:p>
        </w:tc>
        <w:tc>
          <w:tcPr>
            <w:tcW w:w="122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288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7"/>
                <w:szCs w:val="17"/>
                <w:b w:val="1"/>
                <w:bCs w:val="1"/>
                <w:color w:val="auto"/>
              </w:rPr>
              <w:t>Total MSR financing facilities</w:t>
            </w:r>
          </w:p>
        </w:tc>
        <w:tc>
          <w:tcPr>
            <w:tcW w:w="1140" w:type="dxa"/>
            <w:vAlign w:val="bottom"/>
            <w:tcBorders>
              <w:top w:val="single" w:sz="8" w:color="CCEEFF"/>
              <w:bottom w:val="single" w:sz="8" w:color="CCEEFF"/>
            </w:tcBorders>
            <w:shd w:val="clear" w:color="auto" w:fill="CCEEFF"/>
          </w:tcPr>
          <w:p>
            <w:pPr>
              <w:spacing w:after="0"/>
              <w:rPr>
                <w:sz w:val="20"/>
                <w:szCs w:val="20"/>
                <w:color w:val="auto"/>
              </w:rPr>
            </w:pPr>
          </w:p>
        </w:tc>
        <w:tc>
          <w:tcPr>
            <w:tcW w:w="12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49,525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68,892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988,939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2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901,658</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gridSpan w:val="3"/>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2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5240" w:type="dxa"/>
            <w:vAlign w:val="bottom"/>
            <w:gridSpan w:val="3"/>
            <w:shd w:val="clear" w:color="auto" w:fill="CCEEFF"/>
          </w:tcPr>
          <w:p>
            <w:pPr>
              <w:ind w:left="20"/>
              <w:spacing w:after="0" w:line="168" w:lineRule="exact"/>
              <w:rPr>
                <w:sz w:val="20"/>
                <w:szCs w:val="20"/>
                <w:color w:val="auto"/>
              </w:rPr>
            </w:pPr>
            <w:r>
              <w:rPr>
                <w:rFonts w:ascii="Arial" w:cs="Arial" w:eastAsia="Arial" w:hAnsi="Arial"/>
                <w:sz w:val="17"/>
                <w:szCs w:val="17"/>
                <w:color w:val="auto"/>
                <w:w w:val="93"/>
              </w:rPr>
              <w:t>Unamortized debt issuance costs - PLS Notes and Agency MSR financing</w:t>
            </w:r>
          </w:p>
        </w:tc>
        <w:tc>
          <w:tcPr>
            <w:tcW w:w="16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(1,227)</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(898)</w:t>
            </w:r>
          </w:p>
        </w:tc>
        <w:tc>
          <w:tcPr>
            <w:tcW w:w="0" w:type="dxa"/>
            <w:vAlign w:val="bottom"/>
          </w:tcPr>
          <w:p>
            <w:pPr>
              <w:spacing w:after="0"/>
              <w:rPr>
                <w:sz w:val="1"/>
                <w:szCs w:val="1"/>
                <w:color w:val="auto"/>
              </w:rPr>
            </w:pPr>
          </w:p>
        </w:tc>
      </w:tr>
      <w:tr>
        <w:trPr>
          <w:trHeight w:val="219"/>
        </w:trPr>
        <w:tc>
          <w:tcPr>
            <w:tcW w:w="28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 term loan (7)</w:t>
            </w:r>
          </w:p>
        </w:tc>
        <w:tc>
          <w:tcPr>
            <w:tcW w:w="1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880" w:type="dxa"/>
            <w:vAlign w:val="bottom"/>
          </w:tcPr>
          <w:p>
            <w:pPr>
              <w:ind w:left="120"/>
              <w:spacing w:after="0"/>
              <w:rPr>
                <w:sz w:val="20"/>
                <w:szCs w:val="20"/>
                <w:color w:val="auto"/>
              </w:rPr>
            </w:pPr>
            <w:r>
              <w:rPr>
                <w:rFonts w:ascii="Arial" w:cs="Arial" w:eastAsia="Arial" w:hAnsi="Arial"/>
                <w:sz w:val="17"/>
                <w:szCs w:val="17"/>
                <w:b w:val="1"/>
                <w:bCs w:val="1"/>
                <w:color w:val="auto"/>
              </w:rPr>
              <w:t>Total MSR financing facilities, net</w:t>
            </w:r>
          </w:p>
        </w:tc>
        <w:tc>
          <w:tcPr>
            <w:tcW w:w="1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987,712</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900,760</w:t>
            </w:r>
          </w:p>
        </w:tc>
        <w:tc>
          <w:tcPr>
            <w:tcW w:w="0" w:type="dxa"/>
            <w:vAlign w:val="bottom"/>
          </w:tcPr>
          <w:p>
            <w:pPr>
              <w:spacing w:after="0"/>
              <w:rPr>
                <w:sz w:val="1"/>
                <w:szCs w:val="1"/>
                <w:color w:val="auto"/>
              </w:rPr>
            </w:pPr>
          </w:p>
        </w:tc>
      </w:tr>
      <w:tr>
        <w:trPr>
          <w:trHeight w:val="81"/>
        </w:trPr>
        <w:tc>
          <w:tcPr>
            <w:tcW w:w="2880" w:type="dxa"/>
            <w:vAlign w:val="bottom"/>
            <w:tcBorders>
              <w:bottom w:val="single" w:sz="8" w:color="CCEEFF"/>
            </w:tcBorders>
          </w:tcPr>
          <w:p>
            <w:pPr>
              <w:spacing w:after="0"/>
              <w:rPr>
                <w:sz w:val="6"/>
                <w:szCs w:val="6"/>
                <w:color w:val="auto"/>
              </w:rPr>
            </w:pPr>
          </w:p>
        </w:tc>
        <w:tc>
          <w:tcPr>
            <w:tcW w:w="1140" w:type="dxa"/>
            <w:vAlign w:val="bottom"/>
            <w:tcBorders>
              <w:bottom w:val="single" w:sz="8" w:color="CCEEFF"/>
            </w:tcBorders>
          </w:tcPr>
          <w:p>
            <w:pPr>
              <w:spacing w:after="0"/>
              <w:rPr>
                <w:sz w:val="6"/>
                <w:szCs w:val="6"/>
                <w:color w:val="auto"/>
              </w:rPr>
            </w:pPr>
          </w:p>
        </w:tc>
        <w:tc>
          <w:tcPr>
            <w:tcW w:w="1220" w:type="dxa"/>
            <w:vAlign w:val="bottom"/>
            <w:tcBorders>
              <w:bottom w:val="single" w:sz="8" w:color="CCEEFF"/>
            </w:tcBorders>
          </w:tcPr>
          <w:p>
            <w:pPr>
              <w:spacing w:after="0"/>
              <w:rPr>
                <w:sz w:val="6"/>
                <w:szCs w:val="6"/>
                <w:color w:val="auto"/>
              </w:rPr>
            </w:pPr>
          </w:p>
        </w:tc>
        <w:tc>
          <w:tcPr>
            <w:tcW w:w="160" w:type="dxa"/>
            <w:vAlign w:val="bottom"/>
            <w:tcBorders>
              <w:bottom w:val="single" w:sz="8" w:color="CCEEFF"/>
            </w:tcBorders>
          </w:tcPr>
          <w:p>
            <w:pPr>
              <w:spacing w:after="0"/>
              <w:rPr>
                <w:sz w:val="6"/>
                <w:szCs w:val="6"/>
                <w:color w:val="auto"/>
              </w:rPr>
            </w:pPr>
          </w:p>
        </w:tc>
        <w:tc>
          <w:tcPr>
            <w:tcW w:w="1280" w:type="dxa"/>
            <w:vAlign w:val="bottom"/>
            <w:tcBorders>
              <w:bottom w:val="single" w:sz="8" w:color="CCEEFF"/>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1280" w:type="dxa"/>
            <w:vAlign w:val="bottom"/>
            <w:tcBorders>
              <w:bottom w:val="single" w:sz="8" w:color="CCEEFF"/>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0"/>
        </w:trPr>
        <w:tc>
          <w:tcPr>
            <w:tcW w:w="2880" w:type="dxa"/>
            <w:vAlign w:val="bottom"/>
            <w:tcBorders>
              <w:top w:val="single" w:sz="8" w:color="CCEEFF"/>
            </w:tcBorders>
          </w:tcPr>
          <w:p>
            <w:pPr>
              <w:ind w:left="20"/>
              <w:spacing w:after="0"/>
              <w:rPr>
                <w:sz w:val="20"/>
                <w:szCs w:val="20"/>
                <w:color w:val="auto"/>
              </w:rPr>
            </w:pPr>
            <w:r>
              <w:rPr>
                <w:rFonts w:ascii="Arial" w:cs="Arial" w:eastAsia="Arial" w:hAnsi="Arial"/>
                <w:sz w:val="17"/>
                <w:szCs w:val="17"/>
                <w:color w:val="auto"/>
              </w:rPr>
              <w:t>Weighted average interest rate (8) (9)</w:t>
            </w:r>
          </w:p>
        </w:tc>
        <w:tc>
          <w:tcPr>
            <w:tcW w:w="1140" w:type="dxa"/>
            <w:vAlign w:val="bottom"/>
            <w:tcBorders>
              <w:top w:val="single" w:sz="8" w:color="CCEEFF"/>
            </w:tcBorders>
          </w:tcPr>
          <w:p>
            <w:pPr>
              <w:spacing w:after="0"/>
              <w:rPr>
                <w:sz w:val="19"/>
                <w:szCs w:val="19"/>
                <w:color w:val="auto"/>
              </w:rPr>
            </w:pPr>
          </w:p>
        </w:tc>
        <w:tc>
          <w:tcPr>
            <w:tcW w:w="122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128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28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1260" w:type="dxa"/>
            <w:vAlign w:val="bottom"/>
            <w:tcBorders>
              <w:top w:val="single" w:sz="8" w:color="CCEEFF"/>
            </w:tcBorders>
          </w:tcPr>
          <w:p>
            <w:pPr>
              <w:jc w:val="right"/>
              <w:ind w:right="394"/>
              <w:spacing w:after="0"/>
              <w:rPr>
                <w:sz w:val="20"/>
                <w:szCs w:val="20"/>
                <w:color w:val="auto"/>
              </w:rPr>
            </w:pPr>
            <w:r>
              <w:rPr>
                <w:rFonts w:ascii="Arial" w:cs="Arial" w:eastAsia="Arial" w:hAnsi="Arial"/>
                <w:sz w:val="17"/>
                <w:szCs w:val="17"/>
                <w:color w:val="auto"/>
              </w:rPr>
              <w:t>5.36%</w:t>
            </w:r>
          </w:p>
        </w:tc>
        <w:tc>
          <w:tcPr>
            <w:tcW w:w="10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1260" w:type="dxa"/>
            <w:vAlign w:val="bottom"/>
            <w:tcBorders>
              <w:top w:val="single" w:sz="8" w:color="CCEEFF"/>
            </w:tcBorders>
          </w:tcPr>
          <w:p>
            <w:pPr>
              <w:jc w:val="right"/>
              <w:ind w:right="394"/>
              <w:spacing w:after="0"/>
              <w:rPr>
                <w:sz w:val="20"/>
                <w:szCs w:val="20"/>
                <w:color w:val="auto"/>
              </w:rPr>
            </w:pPr>
            <w:r>
              <w:rPr>
                <w:rFonts w:ascii="Arial" w:cs="Arial" w:eastAsia="Arial" w:hAnsi="Arial"/>
                <w:sz w:val="17"/>
                <w:szCs w:val="17"/>
                <w:color w:val="auto"/>
              </w:rPr>
              <w:t>3.71%</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320" w:right="100" w:hanging="317"/>
        <w:spacing w:after="0" w:line="251" w:lineRule="auto"/>
        <w:tabs>
          <w:tab w:leader="none" w:pos="3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Of the borrowing capacity on MSR financing facilities extended on a committed basis, $10.6 million of the available borrowing capacity could be used at June 30, 2022 based on the amount of eligible collateral that could be pledged.</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37" w:name="page38"/>
    <w:bookmarkEnd w:id="37"/>
    <w:p>
      <w:pPr>
        <w:ind w:left="320" w:right="40" w:hanging="317"/>
        <w:spacing w:after="0" w:line="273" w:lineRule="auto"/>
        <w:tabs>
          <w:tab w:leader="none" w:pos="3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PMC’s obligations under this facility are secured by a lien on the related MSRs. Ocwen guarantees the obligations of PMC under this facility. On June 30, 2022, the maturity date was extended to June 30, 2023, the maximum amount which we may borrow pursuant to the repurchase agreements was increased to $450.0 million (from $350.0 million) on a committed basis and the interest rate was modified from 1ML plus applicable margin to 1M Term SOFR plus applicable margin. See Note 2 – Securitizations and Variable Interest Entities for additional information. We are subject to daily margining requirements under the terms of the facility. Declines in fair value of our MSRs due to declines in market interest rates, assumption updates or other factors require that we provide additional collateral to our lenders under these facilities.</w:t>
      </w:r>
    </w:p>
    <w:p>
      <w:pPr>
        <w:ind w:left="320" w:right="80" w:hanging="317"/>
        <w:spacing w:after="0" w:line="269" w:lineRule="auto"/>
        <w:tabs>
          <w:tab w:leader="none" w:pos="3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In connection with this facility, PMC entered into a repurchase agreement pursuant to which PMC has sold a participation certificate representing certain economic interests in the Ginnie Mae MSRs and servicing advances and has agreed to repurchase such participation certificate at a future date at the repurchase price set forth in the repurchase agreement. PMC’s obligations under this facility are secured by a lien on the related Ginnie Mae MSRs and servicing advances. Ocwen guarantees the obligations of PMC under the facility. See (2) above regarding daily margining requirements. On January 31, 2022, the maturity date of this facility was extended to February 28, 2022. On February 28, 2022, the maturity date was extended to February 28, 2023, the borrowing capacity was increased from $150.0 million to $175.0 million ($50.0 million available on a committed basis) and the interest rate was modified to adjusted daily simple SOFR plus applicable margin (adjusted SOFR floor of 25 bps).</w:t>
      </w:r>
    </w:p>
    <w:p>
      <w:pPr>
        <w:spacing w:after="0" w:line="2" w:lineRule="exact"/>
        <w:rPr>
          <w:rFonts w:ascii="Arial" w:cs="Arial" w:eastAsia="Arial" w:hAnsi="Arial"/>
          <w:sz w:val="14"/>
          <w:szCs w:val="14"/>
          <w:color w:val="auto"/>
        </w:rPr>
      </w:pPr>
    </w:p>
    <w:p>
      <w:pPr>
        <w:ind w:left="320" w:right="60" w:hanging="317"/>
        <w:spacing w:after="0" w:line="235" w:lineRule="auto"/>
        <w:tabs>
          <w:tab w:leader="none" w:pos="3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PLS Issuer’s obligations under the facility are secured by a lien on the related PLS MSRs. Ocwen guarantees the obligations of PLS Issuer under the facility. The Class A PLS Notes issued pursuant to the credit agreement had an initial principal amount of $100.0 million and a fixed interest rate of 5.07%. On March 15, 2022, we replaced the existing notes with a new series of notes (Series 2022-PLS1) at an initial principal amount of $75.0 million and a fixed interest rate of 5.114%. The principal balance amortizes in accordance with a predetermined schedule subject to modification under certain events, with a final payment due in February 2025. See Note 2 – Securitizations and Variable Interest Entities for additional information.</w:t>
      </w:r>
    </w:p>
    <w:p>
      <w:pPr>
        <w:spacing w:after="0" w:line="3" w:lineRule="exact"/>
        <w:rPr>
          <w:rFonts w:ascii="Arial" w:cs="Arial" w:eastAsia="Arial" w:hAnsi="Arial"/>
          <w:sz w:val="16"/>
          <w:szCs w:val="16"/>
          <w:color w:val="auto"/>
        </w:rPr>
      </w:pPr>
    </w:p>
    <w:p>
      <w:pPr>
        <w:ind w:left="320" w:right="100" w:hanging="317"/>
        <w:spacing w:after="0" w:line="235" w:lineRule="auto"/>
        <w:tabs>
          <w:tab w:leader="none" w:pos="3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OASIS noteholders are entitled to receive a monthly payment equal to the sum of: (a) 21 basis points of the UPB of the reference pool of Freddie Mac mortgages; (b) any termination payment amounts; (c) any excess refinance amounts; and (d) the note redemption amounts, each as defined in the indenture supplement for the notes. Monthly amortization of the liability is estimated using the proportion of monthly projected service fees on the underlying MSRs as a percentage of lifetime projected fees, adjusted for the term of the notes.</w:t>
      </w:r>
    </w:p>
    <w:p>
      <w:pPr>
        <w:spacing w:after="0" w:line="2" w:lineRule="exact"/>
        <w:rPr>
          <w:rFonts w:ascii="Arial" w:cs="Arial" w:eastAsia="Arial" w:hAnsi="Arial"/>
          <w:sz w:val="16"/>
          <w:szCs w:val="16"/>
          <w:color w:val="auto"/>
        </w:rPr>
      </w:pPr>
    </w:p>
    <w:p>
      <w:pPr>
        <w:ind w:left="320" w:right="40" w:hanging="317"/>
        <w:spacing w:after="0" w:line="235" w:lineRule="auto"/>
        <w:tabs>
          <w:tab w:leader="none" w:pos="3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This facility includes a $94.2 million ($135.0 million original balance) term loan and a $285.0 million revolving loan secured by a lien on PMC’s Agency MSRs. See (2) above regarding daily margining requirements. The interest rate for this facility is the 1-year swap rate plus applicable margin.</w:t>
      </w:r>
    </w:p>
    <w:p>
      <w:pPr>
        <w:spacing w:after="0" w:line="1" w:lineRule="exact"/>
        <w:rPr>
          <w:rFonts w:ascii="Arial" w:cs="Arial" w:eastAsia="Arial" w:hAnsi="Arial"/>
          <w:sz w:val="16"/>
          <w:szCs w:val="16"/>
          <w:color w:val="auto"/>
        </w:rPr>
      </w:pPr>
    </w:p>
    <w:p>
      <w:pPr>
        <w:ind w:left="320" w:right="160" w:hanging="317"/>
        <w:spacing w:after="0" w:line="235" w:lineRule="auto"/>
        <w:tabs>
          <w:tab w:leader="none" w:pos="3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At June 30, 2022 and December 31, 2021, unamortized debt issuance costs included $1.2 million and $0.9 million, respectively. on the PLS Notes and the Agency MSR financing facility - term loan. At June 30, 2022 and December 31, 2021, unamortized prepaid lender fees related to revolving type MSR financing facilities were $5.4 million and $4.7 million, respectively, and are included in Other assets in our consolidated balance sheets.</w:t>
      </w:r>
    </w:p>
    <w:p>
      <w:pPr>
        <w:spacing w:after="0" w:line="2" w:lineRule="exact"/>
        <w:rPr>
          <w:rFonts w:ascii="Arial" w:cs="Arial" w:eastAsia="Arial" w:hAnsi="Arial"/>
          <w:sz w:val="16"/>
          <w:szCs w:val="16"/>
          <w:color w:val="auto"/>
        </w:rPr>
      </w:pPr>
    </w:p>
    <w:p>
      <w:pPr>
        <w:ind w:left="320" w:hanging="317"/>
        <w:spacing w:after="0" w:line="235" w:lineRule="auto"/>
        <w:tabs>
          <w:tab w:leader="none" w:pos="3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Weighted average interest rate at, excluding the effect of the amortization of debt issuance costs and prepaid lender fees.</w:t>
      </w:r>
    </w:p>
    <w:p>
      <w:pPr>
        <w:ind w:left="320" w:right="380" w:hanging="317"/>
        <w:spacing w:after="0" w:line="238" w:lineRule="auto"/>
        <w:tabs>
          <w:tab w:leader="none" w:pos="3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1ML was 1.79% and 0.10% at June 30, 2022 and December 31, 2021, respectively. The 1-year swap rate was 3.48% and 0.19% at June 30, 2022 and December 31, 2021, respectively. 1M Term SOFR was 1.69% and 0.55% at June 30, 2022 and December 31, 2021, respectively.</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9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Outstanding Balance</w:t>
            </w:r>
          </w:p>
        </w:tc>
        <w:tc>
          <w:tcPr>
            <w:tcW w:w="7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93"/>
        </w:trPr>
        <w:tc>
          <w:tcPr>
            <w:tcW w:w="4900" w:type="dxa"/>
            <w:vAlign w:val="bottom"/>
          </w:tcPr>
          <w:p>
            <w:pPr>
              <w:ind w:left="20"/>
              <w:spacing w:after="0"/>
              <w:rPr>
                <w:sz w:val="20"/>
                <w:szCs w:val="20"/>
                <w:color w:val="auto"/>
              </w:rPr>
            </w:pPr>
            <w:r>
              <w:rPr>
                <w:rFonts w:ascii="Arial" w:cs="Arial" w:eastAsia="Arial" w:hAnsi="Arial"/>
                <w:sz w:val="17"/>
                <w:szCs w:val="17"/>
                <w:b w:val="1"/>
                <w:bCs w:val="1"/>
                <w:color w:val="auto"/>
              </w:rPr>
              <w:t>Senior Notes</w:t>
            </w:r>
          </w:p>
        </w:tc>
        <w:tc>
          <w:tcPr>
            <w:tcW w:w="162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93"/>
              </w:rPr>
              <w:t>Interest Rate (1)</w:t>
            </w:r>
          </w:p>
        </w:tc>
        <w:tc>
          <w:tcPr>
            <w:tcW w:w="1580" w:type="dxa"/>
            <w:vAlign w:val="bottom"/>
          </w:tcPr>
          <w:p>
            <w:pPr>
              <w:jc w:val="center"/>
              <w:spacing w:after="0"/>
              <w:rPr>
                <w:sz w:val="20"/>
                <w:szCs w:val="20"/>
                <w:color w:val="auto"/>
              </w:rPr>
            </w:pPr>
            <w:r>
              <w:rPr>
                <w:rFonts w:ascii="Arial" w:cs="Arial" w:eastAsia="Arial" w:hAnsi="Arial"/>
                <w:sz w:val="17"/>
                <w:szCs w:val="17"/>
                <w:b w:val="1"/>
                <w:bCs w:val="1"/>
                <w:color w:val="auto"/>
                <w:w w:val="99"/>
              </w:rPr>
              <w:t>Maturity</w:t>
            </w:r>
          </w:p>
        </w:tc>
        <w:tc>
          <w:tcPr>
            <w:tcW w:w="180" w:type="dxa"/>
            <w:vAlign w:val="bottom"/>
          </w:tcPr>
          <w:p>
            <w:pPr>
              <w:spacing w:after="0"/>
              <w:rPr>
                <w:sz w:val="24"/>
                <w:szCs w:val="24"/>
                <w:color w:val="auto"/>
              </w:rPr>
            </w:pPr>
          </w:p>
        </w:tc>
        <w:tc>
          <w:tcPr>
            <w:tcW w:w="1440" w:type="dxa"/>
            <w:vAlign w:val="bottom"/>
            <w:gridSpan w:val="2"/>
          </w:tcPr>
          <w:p>
            <w:pPr>
              <w:ind w:left="80"/>
              <w:spacing w:after="0"/>
              <w:rPr>
                <w:sz w:val="20"/>
                <w:szCs w:val="20"/>
                <w:color w:val="auto"/>
              </w:rPr>
            </w:pPr>
            <w:r>
              <w:rPr>
                <w:rFonts w:ascii="Arial" w:cs="Arial" w:eastAsia="Arial" w:hAnsi="Arial"/>
                <w:sz w:val="17"/>
                <w:szCs w:val="17"/>
                <w:b w:val="1"/>
                <w:bCs w:val="1"/>
                <w:color w:val="auto"/>
              </w:rPr>
              <w:t>June 30, 2022</w:t>
            </w:r>
          </w:p>
        </w:tc>
        <w:tc>
          <w:tcPr>
            <w:tcW w:w="1520" w:type="dxa"/>
            <w:vAlign w:val="bottom"/>
            <w:gridSpan w:val="2"/>
          </w:tcPr>
          <w:p>
            <w:pPr>
              <w:jc w:val="right"/>
              <w:spacing w:after="0"/>
              <w:rPr>
                <w:sz w:val="20"/>
                <w:szCs w:val="20"/>
                <w:color w:val="auto"/>
              </w:rPr>
            </w:pPr>
            <w:r>
              <w:rPr>
                <w:rFonts w:ascii="Arial" w:cs="Arial" w:eastAsia="Arial" w:hAnsi="Arial"/>
                <w:sz w:val="17"/>
                <w:szCs w:val="17"/>
                <w:b w:val="1"/>
                <w:bCs w:val="1"/>
                <w:color w:val="auto"/>
                <w:w w:val="94"/>
              </w:rPr>
              <w:t>December 31, 2021</w:t>
            </w:r>
          </w:p>
        </w:tc>
        <w:tc>
          <w:tcPr>
            <w:tcW w:w="0" w:type="dxa"/>
            <w:vAlign w:val="bottom"/>
          </w:tcPr>
          <w:p>
            <w:pPr>
              <w:spacing w:after="0"/>
              <w:rPr>
                <w:sz w:val="1"/>
                <w:szCs w:val="1"/>
                <w:color w:val="auto"/>
              </w:rPr>
            </w:pPr>
          </w:p>
        </w:tc>
      </w:tr>
      <w:tr>
        <w:trPr>
          <w:trHeight w:val="213"/>
        </w:trPr>
        <w:tc>
          <w:tcPr>
            <w:tcW w:w="490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PMC Senior Secured Notes</w:t>
            </w:r>
          </w:p>
        </w:tc>
        <w:tc>
          <w:tcPr>
            <w:tcW w:w="15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0"/>
              </w:rPr>
              <w:t>7.875%</w:t>
            </w:r>
          </w:p>
        </w:tc>
        <w:tc>
          <w:tcPr>
            <w:tcW w:w="10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1"/>
              </w:rPr>
              <w:t>March 2026</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375,000</w:t>
            </w:r>
          </w:p>
        </w:tc>
        <w:tc>
          <w:tcPr>
            <w:tcW w:w="1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ind w:right="614"/>
              <w:spacing w:after="0"/>
              <w:rPr>
                <w:sz w:val="20"/>
                <w:szCs w:val="20"/>
                <w:color w:val="auto"/>
              </w:rPr>
            </w:pPr>
            <w:r>
              <w:rPr>
                <w:rFonts w:ascii="Arial" w:cs="Arial" w:eastAsia="Arial" w:hAnsi="Arial"/>
                <w:sz w:val="17"/>
                <w:szCs w:val="17"/>
                <w:color w:val="auto"/>
                <w:w w:val="84"/>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400,000</w:t>
            </w:r>
          </w:p>
        </w:tc>
        <w:tc>
          <w:tcPr>
            <w:tcW w:w="0" w:type="dxa"/>
            <w:vAlign w:val="bottom"/>
          </w:tcPr>
          <w:p>
            <w:pPr>
              <w:spacing w:after="0"/>
              <w:rPr>
                <w:sz w:val="1"/>
                <w:szCs w:val="1"/>
                <w:color w:val="auto"/>
              </w:rPr>
            </w:pPr>
          </w:p>
        </w:tc>
      </w:tr>
      <w:tr>
        <w:trPr>
          <w:trHeight w:val="168"/>
        </w:trPr>
        <w:tc>
          <w:tcPr>
            <w:tcW w:w="4900" w:type="dxa"/>
            <w:vAlign w:val="bottom"/>
          </w:tcPr>
          <w:p>
            <w:pPr>
              <w:spacing w:after="0"/>
              <w:rPr>
                <w:sz w:val="14"/>
                <w:szCs w:val="14"/>
                <w:color w:val="auto"/>
              </w:rPr>
            </w:pPr>
          </w:p>
        </w:tc>
        <w:tc>
          <w:tcPr>
            <w:tcW w:w="1620" w:type="dxa"/>
            <w:vAlign w:val="bottom"/>
            <w:gridSpan w:val="2"/>
          </w:tcPr>
          <w:p>
            <w:pPr>
              <w:jc w:val="center"/>
              <w:ind w:right="100"/>
              <w:spacing w:after="0" w:line="168" w:lineRule="exact"/>
              <w:rPr>
                <w:sz w:val="20"/>
                <w:szCs w:val="20"/>
                <w:color w:val="auto"/>
              </w:rPr>
            </w:pPr>
            <w:r>
              <w:rPr>
                <w:rFonts w:ascii="Arial" w:cs="Arial" w:eastAsia="Arial" w:hAnsi="Arial"/>
                <w:sz w:val="17"/>
                <w:szCs w:val="17"/>
                <w:color w:val="auto"/>
                <w:w w:val="91"/>
              </w:rPr>
              <w:t>12% paid in cash or</w:t>
            </w:r>
          </w:p>
        </w:tc>
        <w:tc>
          <w:tcPr>
            <w:tcW w:w="1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900" w:type="dxa"/>
            <w:vAlign w:val="bottom"/>
            <w:vMerge w:val="restart"/>
          </w:tcPr>
          <w:p>
            <w:pPr>
              <w:ind w:left="120"/>
              <w:spacing w:after="0"/>
              <w:rPr>
                <w:sz w:val="20"/>
                <w:szCs w:val="20"/>
                <w:color w:val="auto"/>
              </w:rPr>
            </w:pPr>
            <w:r>
              <w:rPr>
                <w:rFonts w:ascii="Arial" w:cs="Arial" w:eastAsia="Arial" w:hAnsi="Arial"/>
                <w:sz w:val="17"/>
                <w:szCs w:val="17"/>
                <w:color w:val="auto"/>
              </w:rPr>
              <w:t>OFC Senior Secured Notes (due to related parties)</w:t>
            </w:r>
          </w:p>
        </w:tc>
        <w:tc>
          <w:tcPr>
            <w:tcW w:w="1620" w:type="dxa"/>
            <w:vAlign w:val="bottom"/>
            <w:gridSpan w:val="2"/>
          </w:tcPr>
          <w:p>
            <w:pPr>
              <w:jc w:val="center"/>
              <w:ind w:right="80"/>
              <w:spacing w:after="0" w:line="168" w:lineRule="exact"/>
              <w:rPr>
                <w:sz w:val="20"/>
                <w:szCs w:val="20"/>
                <w:color w:val="auto"/>
              </w:rPr>
            </w:pPr>
            <w:r>
              <w:rPr>
                <w:rFonts w:ascii="Arial" w:cs="Arial" w:eastAsia="Arial" w:hAnsi="Arial"/>
                <w:sz w:val="17"/>
                <w:szCs w:val="17"/>
                <w:color w:val="auto"/>
                <w:w w:val="94"/>
              </w:rPr>
              <w:t>13.25% paid-in-kind</w:t>
            </w:r>
          </w:p>
        </w:tc>
        <w:tc>
          <w:tcPr>
            <w:tcW w:w="1580" w:type="dxa"/>
            <w:vAlign w:val="bottom"/>
            <w:vMerge w:val="restart"/>
          </w:tcPr>
          <w:p>
            <w:pPr>
              <w:jc w:val="center"/>
              <w:spacing w:after="0"/>
              <w:rPr>
                <w:sz w:val="20"/>
                <w:szCs w:val="20"/>
                <w:color w:val="auto"/>
              </w:rPr>
            </w:pPr>
            <w:r>
              <w:rPr>
                <w:rFonts w:ascii="Arial" w:cs="Arial" w:eastAsia="Arial" w:hAnsi="Arial"/>
                <w:sz w:val="17"/>
                <w:szCs w:val="17"/>
                <w:color w:val="auto"/>
                <w:w w:val="91"/>
              </w:rPr>
              <w:t>March 2027</w:t>
            </w:r>
          </w:p>
        </w:tc>
        <w:tc>
          <w:tcPr>
            <w:tcW w:w="180" w:type="dxa"/>
            <w:vAlign w:val="bottom"/>
          </w:tcPr>
          <w:p>
            <w:pPr>
              <w:spacing w:after="0"/>
              <w:rPr>
                <w:sz w:val="14"/>
                <w:szCs w:val="14"/>
                <w:color w:val="auto"/>
              </w:rPr>
            </w:pPr>
          </w:p>
        </w:tc>
        <w:tc>
          <w:tcPr>
            <w:tcW w:w="1340" w:type="dxa"/>
            <w:vAlign w:val="bottom"/>
            <w:vMerge w:val="restart"/>
          </w:tcPr>
          <w:p>
            <w:pPr>
              <w:jc w:val="right"/>
              <w:spacing w:after="0"/>
              <w:rPr>
                <w:sz w:val="20"/>
                <w:szCs w:val="20"/>
                <w:color w:val="auto"/>
              </w:rPr>
            </w:pPr>
            <w:r>
              <w:rPr>
                <w:rFonts w:ascii="Arial" w:cs="Arial" w:eastAsia="Arial" w:hAnsi="Arial"/>
                <w:sz w:val="17"/>
                <w:szCs w:val="17"/>
                <w:color w:val="auto"/>
              </w:rPr>
              <w:t>285,000</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7"/>
                <w:szCs w:val="17"/>
                <w:color w:val="auto"/>
              </w:rPr>
              <w:t>285,000</w:t>
            </w:r>
          </w:p>
        </w:tc>
        <w:tc>
          <w:tcPr>
            <w:tcW w:w="0" w:type="dxa"/>
            <w:vAlign w:val="bottom"/>
          </w:tcPr>
          <w:p>
            <w:pPr>
              <w:spacing w:after="0"/>
              <w:rPr>
                <w:sz w:val="1"/>
                <w:szCs w:val="1"/>
                <w:color w:val="auto"/>
              </w:rPr>
            </w:pPr>
          </w:p>
        </w:tc>
      </w:tr>
      <w:tr>
        <w:trPr>
          <w:trHeight w:val="219"/>
        </w:trPr>
        <w:tc>
          <w:tcPr>
            <w:tcW w:w="4900" w:type="dxa"/>
            <w:vAlign w:val="bottom"/>
            <w:tcBorders>
              <w:bottom w:val="single" w:sz="8" w:color="CCEEFF"/>
            </w:tcBorders>
            <w:vMerge w:val="continue"/>
          </w:tcPr>
          <w:p>
            <w:pPr>
              <w:spacing w:after="0"/>
              <w:rPr>
                <w:sz w:val="19"/>
                <w:szCs w:val="19"/>
                <w:color w:val="auto"/>
              </w:rPr>
            </w:pPr>
          </w:p>
        </w:tc>
        <w:tc>
          <w:tcPr>
            <w:tcW w:w="162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7"/>
                <w:szCs w:val="17"/>
                <w:color w:val="auto"/>
                <w:w w:val="91"/>
              </w:rPr>
              <w:t>(see below)</w:t>
            </w:r>
          </w:p>
        </w:tc>
        <w:tc>
          <w:tcPr>
            <w:tcW w:w="1580" w:type="dxa"/>
            <w:vAlign w:val="bottom"/>
            <w:tcBorders>
              <w:bottom w:val="single" w:sz="8" w:color="CCEEFF"/>
            </w:tcBorders>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900" w:type="dxa"/>
            <w:vAlign w:val="bottom"/>
            <w:shd w:val="clear" w:color="auto" w:fill="CCEEFF"/>
          </w:tcPr>
          <w:p>
            <w:pPr>
              <w:ind w:left="240"/>
              <w:spacing w:after="0"/>
              <w:rPr>
                <w:sz w:val="20"/>
                <w:szCs w:val="20"/>
                <w:color w:val="auto"/>
              </w:rPr>
            </w:pPr>
            <w:r>
              <w:rPr>
                <w:rFonts w:ascii="Arial" w:cs="Arial" w:eastAsia="Arial" w:hAnsi="Arial"/>
                <w:sz w:val="17"/>
                <w:szCs w:val="17"/>
                <w:color w:val="auto"/>
              </w:rPr>
              <w:t>Principal balance</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660,000</w:t>
            </w:r>
          </w:p>
        </w:tc>
        <w:tc>
          <w:tcPr>
            <w:tcW w:w="10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685,000</w:t>
            </w:r>
          </w:p>
        </w:tc>
        <w:tc>
          <w:tcPr>
            <w:tcW w:w="0" w:type="dxa"/>
            <w:vAlign w:val="bottom"/>
          </w:tcPr>
          <w:p>
            <w:pPr>
              <w:spacing w:after="0"/>
              <w:rPr>
                <w:sz w:val="1"/>
                <w:szCs w:val="1"/>
                <w:color w:val="auto"/>
              </w:rPr>
            </w:pPr>
          </w:p>
        </w:tc>
      </w:tr>
      <w:tr>
        <w:trPr>
          <w:trHeight w:val="200"/>
        </w:trPr>
        <w:tc>
          <w:tcPr>
            <w:tcW w:w="4900" w:type="dxa"/>
            <w:vAlign w:val="bottom"/>
          </w:tcPr>
          <w:p>
            <w:pPr>
              <w:ind w:left="140"/>
              <w:spacing w:after="0"/>
              <w:rPr>
                <w:sz w:val="20"/>
                <w:szCs w:val="20"/>
                <w:color w:val="auto"/>
              </w:rPr>
            </w:pPr>
            <w:r>
              <w:rPr>
                <w:rFonts w:ascii="Arial" w:cs="Arial" w:eastAsia="Arial" w:hAnsi="Arial"/>
                <w:sz w:val="17"/>
                <w:szCs w:val="17"/>
                <w:color w:val="auto"/>
              </w:rPr>
              <w:t>Discount (2)</w:t>
            </w: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9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PMC Senior Secured Notes</w:t>
            </w: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(1,482)</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(1,758)</w:t>
            </w:r>
          </w:p>
        </w:tc>
        <w:tc>
          <w:tcPr>
            <w:tcW w:w="0" w:type="dxa"/>
            <w:vAlign w:val="bottom"/>
          </w:tcPr>
          <w:p>
            <w:pPr>
              <w:spacing w:after="0"/>
              <w:rPr>
                <w:sz w:val="1"/>
                <w:szCs w:val="1"/>
                <w:color w:val="auto"/>
              </w:rPr>
            </w:pPr>
          </w:p>
        </w:tc>
      </w:tr>
      <w:tr>
        <w:trPr>
          <w:trHeight w:val="220"/>
        </w:trPr>
        <w:tc>
          <w:tcPr>
            <w:tcW w:w="490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OFC Senior Secured Notes (3)</w:t>
            </w:r>
          </w:p>
        </w:tc>
        <w:tc>
          <w:tcPr>
            <w:tcW w:w="15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5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(50,786)</w:t>
            </w:r>
          </w:p>
        </w:tc>
        <w:tc>
          <w:tcPr>
            <w:tcW w:w="10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(54,176)</w:t>
            </w:r>
          </w:p>
        </w:tc>
        <w:tc>
          <w:tcPr>
            <w:tcW w:w="0" w:type="dxa"/>
            <w:vAlign w:val="bottom"/>
          </w:tcPr>
          <w:p>
            <w:pPr>
              <w:spacing w:after="0"/>
              <w:rPr>
                <w:sz w:val="1"/>
                <w:szCs w:val="1"/>
                <w:color w:val="auto"/>
              </w:rPr>
            </w:pPr>
          </w:p>
        </w:tc>
      </w:tr>
      <w:tr>
        <w:trPr>
          <w:trHeight w:val="213"/>
        </w:trPr>
        <w:tc>
          <w:tcPr>
            <w:tcW w:w="49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(52,268)</w:t>
            </w:r>
          </w:p>
        </w:tc>
        <w:tc>
          <w:tcPr>
            <w:tcW w:w="10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(55,934)</w:t>
            </w:r>
          </w:p>
        </w:tc>
        <w:tc>
          <w:tcPr>
            <w:tcW w:w="0" w:type="dxa"/>
            <w:vAlign w:val="bottom"/>
          </w:tcPr>
          <w:p>
            <w:pPr>
              <w:spacing w:after="0"/>
              <w:rPr>
                <w:sz w:val="1"/>
                <w:szCs w:val="1"/>
                <w:color w:val="auto"/>
              </w:rPr>
            </w:pPr>
          </w:p>
        </w:tc>
      </w:tr>
      <w:tr>
        <w:trPr>
          <w:trHeight w:val="200"/>
        </w:trPr>
        <w:tc>
          <w:tcPr>
            <w:tcW w:w="4900" w:type="dxa"/>
            <w:vAlign w:val="bottom"/>
          </w:tcPr>
          <w:p>
            <w:pPr>
              <w:ind w:left="140"/>
              <w:spacing w:after="0"/>
              <w:rPr>
                <w:sz w:val="20"/>
                <w:szCs w:val="20"/>
                <w:color w:val="auto"/>
              </w:rPr>
            </w:pPr>
            <w:r>
              <w:rPr>
                <w:rFonts w:ascii="Arial" w:cs="Arial" w:eastAsia="Arial" w:hAnsi="Arial"/>
                <w:sz w:val="17"/>
                <w:szCs w:val="17"/>
                <w:color w:val="auto"/>
              </w:rPr>
              <w:t>Unamortized debt issuance costs (2)</w:t>
            </w: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9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PMC Senior Secured Notes</w:t>
            </w: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(4,794)</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(5,687)</w:t>
            </w:r>
          </w:p>
        </w:tc>
        <w:tc>
          <w:tcPr>
            <w:tcW w:w="0" w:type="dxa"/>
            <w:vAlign w:val="bottom"/>
          </w:tcPr>
          <w:p>
            <w:pPr>
              <w:spacing w:after="0"/>
              <w:rPr>
                <w:sz w:val="1"/>
                <w:szCs w:val="1"/>
                <w:color w:val="auto"/>
              </w:rPr>
            </w:pPr>
          </w:p>
        </w:tc>
      </w:tr>
      <w:tr>
        <w:trPr>
          <w:trHeight w:val="220"/>
        </w:trPr>
        <w:tc>
          <w:tcPr>
            <w:tcW w:w="490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OFC Senior Secured Notes</w:t>
            </w:r>
          </w:p>
        </w:tc>
        <w:tc>
          <w:tcPr>
            <w:tcW w:w="15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5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(8,049)</w:t>
            </w:r>
          </w:p>
        </w:tc>
        <w:tc>
          <w:tcPr>
            <w:tcW w:w="10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(8,582)</w:t>
            </w:r>
          </w:p>
        </w:tc>
        <w:tc>
          <w:tcPr>
            <w:tcW w:w="0" w:type="dxa"/>
            <w:vAlign w:val="bottom"/>
          </w:tcPr>
          <w:p>
            <w:pPr>
              <w:spacing w:after="0"/>
              <w:rPr>
                <w:sz w:val="1"/>
                <w:szCs w:val="1"/>
                <w:color w:val="auto"/>
              </w:rPr>
            </w:pPr>
          </w:p>
        </w:tc>
      </w:tr>
      <w:tr>
        <w:trPr>
          <w:trHeight w:val="213"/>
        </w:trPr>
        <w:tc>
          <w:tcPr>
            <w:tcW w:w="49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(12,843)</w:t>
            </w:r>
          </w:p>
        </w:tc>
        <w:tc>
          <w:tcPr>
            <w:tcW w:w="10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(14,269)</w:t>
            </w:r>
          </w:p>
        </w:tc>
        <w:tc>
          <w:tcPr>
            <w:tcW w:w="0" w:type="dxa"/>
            <w:vAlign w:val="bottom"/>
          </w:tcPr>
          <w:p>
            <w:pPr>
              <w:spacing w:after="0"/>
              <w:rPr>
                <w:sz w:val="1"/>
                <w:szCs w:val="1"/>
                <w:color w:val="auto"/>
              </w:rPr>
            </w:pPr>
          </w:p>
        </w:tc>
      </w:tr>
      <w:tr>
        <w:trPr>
          <w:trHeight w:val="213"/>
        </w:trPr>
        <w:tc>
          <w:tcPr>
            <w:tcW w:w="49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594,889</w:t>
            </w:r>
          </w:p>
        </w:tc>
        <w:tc>
          <w:tcPr>
            <w:tcW w:w="100" w:type="dxa"/>
            <w:vAlign w:val="bottom"/>
          </w:tcPr>
          <w:p>
            <w:pPr>
              <w:spacing w:after="0"/>
              <w:rPr>
                <w:sz w:val="18"/>
                <w:szCs w:val="18"/>
                <w:color w:val="auto"/>
              </w:rPr>
            </w:pPr>
          </w:p>
        </w:tc>
        <w:tc>
          <w:tcPr>
            <w:tcW w:w="800" w:type="dxa"/>
            <w:vAlign w:val="bottom"/>
            <w:tcBorders>
              <w:bottom w:val="single" w:sz="8" w:color="auto"/>
            </w:tcBorders>
          </w:tcPr>
          <w:p>
            <w:pPr>
              <w:jc w:val="right"/>
              <w:ind w:right="614"/>
              <w:spacing w:after="0"/>
              <w:rPr>
                <w:sz w:val="20"/>
                <w:szCs w:val="20"/>
                <w:color w:val="auto"/>
              </w:rPr>
            </w:pPr>
            <w:r>
              <w:rPr>
                <w:rFonts w:ascii="Arial" w:cs="Arial" w:eastAsia="Arial" w:hAnsi="Arial"/>
                <w:sz w:val="17"/>
                <w:szCs w:val="17"/>
                <w:color w:val="auto"/>
                <w:w w:val="84"/>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614,797</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3" w:lineRule="exact"/>
        <w:rPr>
          <w:sz w:val="20"/>
          <w:szCs w:val="20"/>
          <w:color w:val="auto"/>
        </w:rPr>
      </w:pPr>
    </w:p>
    <w:p>
      <w:pPr>
        <w:ind w:left="320" w:hanging="317"/>
        <w:spacing w:after="0"/>
        <w:tabs>
          <w:tab w:leader="none" w:pos="3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Excluding the effect of the amortization of debt issuance costs and discount.</w:t>
      </w:r>
    </w:p>
    <w:p>
      <w:pPr>
        <w:spacing w:after="0" w:line="8" w:lineRule="exact"/>
        <w:rPr>
          <w:rFonts w:ascii="Arial" w:cs="Arial" w:eastAsia="Arial" w:hAnsi="Arial"/>
          <w:sz w:val="16"/>
          <w:szCs w:val="16"/>
          <w:color w:val="auto"/>
        </w:rPr>
      </w:pPr>
    </w:p>
    <w:p>
      <w:pPr>
        <w:ind w:left="320" w:hanging="317"/>
        <w:spacing w:after="0" w:line="235" w:lineRule="auto"/>
        <w:tabs>
          <w:tab w:leader="none" w:pos="3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discount and debt issuance costs are amortized to interest expense through the maturity of the respective notes.</w:t>
      </w:r>
    </w:p>
    <w:p>
      <w:pPr>
        <w:ind w:left="320" w:hanging="317"/>
        <w:spacing w:after="0"/>
        <w:tabs>
          <w:tab w:leader="none" w:pos="3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Includes original issue discount (OID) and additional discount related to the concurrent issuance of warrants and common stock. See below for additional information.</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38" w:name="page39"/>
    <w:bookmarkEnd w:id="38"/>
    <w:p>
      <w:pPr>
        <w:spacing w:after="0"/>
        <w:rPr>
          <w:sz w:val="20"/>
          <w:szCs w:val="20"/>
          <w:color w:val="auto"/>
        </w:rPr>
      </w:pPr>
      <w:r>
        <w:rPr>
          <w:rFonts w:ascii="Arial" w:cs="Arial" w:eastAsia="Arial" w:hAnsi="Arial"/>
          <w:sz w:val="17"/>
          <w:szCs w:val="17"/>
          <w:b w:val="1"/>
          <w:bCs w:val="1"/>
          <w:i w:val="1"/>
          <w:iCs w:val="1"/>
          <w:color w:val="auto"/>
        </w:rPr>
        <w:t>Redemption of 6.375% Senior Unsecured Notes due 2021 and 8.375% Senior Secured Notes due 2022</w:t>
      </w:r>
    </w:p>
    <w:p>
      <w:pPr>
        <w:spacing w:after="0" w:line="115" w:lineRule="exact"/>
        <w:rPr>
          <w:sz w:val="20"/>
          <w:szCs w:val="20"/>
          <w:color w:val="auto"/>
        </w:rPr>
      </w:pPr>
    </w:p>
    <w:p>
      <w:pPr>
        <w:ind w:right="280"/>
        <w:spacing w:after="0" w:line="268" w:lineRule="auto"/>
        <w:rPr>
          <w:sz w:val="20"/>
          <w:szCs w:val="20"/>
          <w:color w:val="auto"/>
        </w:rPr>
      </w:pPr>
      <w:r>
        <w:rPr>
          <w:rFonts w:ascii="Arial" w:cs="Arial" w:eastAsia="Arial" w:hAnsi="Arial"/>
          <w:sz w:val="17"/>
          <w:szCs w:val="17"/>
          <w:color w:val="auto"/>
        </w:rPr>
        <w:t>On March 4, 2021, we redeemed all of PHH’s outstanding 6.375% Senior Notes due August 2021 at a price of 100% of the principal amount, plus accrued and unpaid interest, and all of PMC’s 8.375% Senior Secured Notes due November 2022 at a price of 102.094% of the principal amount, plus accrued and unpaid interest. The redemption resulted in our recognition of a $7.1 million loss on debt extinguishment.</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Issuance of 7.875% Senior Secured Notes due 2026</w:t>
      </w:r>
    </w:p>
    <w:p>
      <w:pPr>
        <w:spacing w:after="0" w:line="115" w:lineRule="exact"/>
        <w:rPr>
          <w:sz w:val="20"/>
          <w:szCs w:val="20"/>
          <w:color w:val="auto"/>
        </w:rPr>
      </w:pPr>
    </w:p>
    <w:p>
      <w:pPr>
        <w:jc w:val="both"/>
        <w:ind w:right="100"/>
        <w:spacing w:after="0" w:line="292" w:lineRule="auto"/>
        <w:rPr>
          <w:sz w:val="20"/>
          <w:szCs w:val="20"/>
          <w:color w:val="auto"/>
        </w:rPr>
      </w:pPr>
      <w:r>
        <w:rPr>
          <w:rFonts w:ascii="Arial" w:cs="Arial" w:eastAsia="Arial" w:hAnsi="Arial"/>
          <w:sz w:val="16"/>
          <w:szCs w:val="16"/>
          <w:color w:val="auto"/>
        </w:rPr>
        <w:t>On March 4, 2021, PMC completed the issuance and sale of $400.0 million aggregate principal amount of 7.875% senior secured notes due March 15, 2026 (the PMC Senior Secured Notes) at a discount of $2.1 million. The PMC Senior Secured Notes are guaranteed on a senior secured basis by Ocwen and PHH and were sold in an offering exempt from the registration requirements of the Securities Act of 1933, as amended (the Securities Act).</w:t>
      </w:r>
    </w:p>
    <w:p>
      <w:pPr>
        <w:spacing w:after="0" w:line="52" w:lineRule="exact"/>
        <w:rPr>
          <w:sz w:val="20"/>
          <w:szCs w:val="20"/>
          <w:color w:val="auto"/>
        </w:rPr>
      </w:pPr>
    </w:p>
    <w:p>
      <w:pPr>
        <w:ind w:right="140"/>
        <w:spacing w:after="0" w:line="283" w:lineRule="auto"/>
        <w:rPr>
          <w:sz w:val="20"/>
          <w:szCs w:val="20"/>
          <w:color w:val="auto"/>
        </w:rPr>
      </w:pPr>
      <w:r>
        <w:rPr>
          <w:rFonts w:ascii="Arial" w:cs="Arial" w:eastAsia="Arial" w:hAnsi="Arial"/>
          <w:sz w:val="17"/>
          <w:szCs w:val="17"/>
          <w:color w:val="auto"/>
        </w:rPr>
        <w:t>Interest on the PMC Senior Secured Notes accrues at a rate of 7.875% per annum and is payable semi-annually in arrears on March 15 and September 15 of each year, beginning on September 15, 2021.</w:t>
      </w:r>
    </w:p>
    <w:p>
      <w:pPr>
        <w:spacing w:after="0" w:line="56"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On or after March 15, 2023, PMC may redeem some or all of the PMC Senior Secured Notes at its option at the following redemption prices, plus accrued and unpaid interest, if any, on the notes redeemed to, but excluding, the redemption date if redeemed during the 12-month period beginning on March 15th of the years indicated below:</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9300" w:type="dxa"/>
            <w:vAlign w:val="bottom"/>
            <w:gridSpan w:val="2"/>
          </w:tcPr>
          <w:p>
            <w:pPr>
              <w:ind w:left="20"/>
              <w:spacing w:after="0"/>
              <w:rPr>
                <w:sz w:val="20"/>
                <w:szCs w:val="20"/>
                <w:color w:val="auto"/>
              </w:rPr>
            </w:pPr>
            <w:r>
              <w:rPr>
                <w:rFonts w:ascii="Arial" w:cs="Arial" w:eastAsia="Arial" w:hAnsi="Arial"/>
                <w:sz w:val="17"/>
                <w:szCs w:val="17"/>
                <w:b w:val="1"/>
                <w:bCs w:val="1"/>
                <w:color w:val="auto"/>
              </w:rPr>
              <w:t>Redemption Year</w:t>
            </w:r>
          </w:p>
        </w:tc>
        <w:tc>
          <w:tcPr>
            <w:tcW w:w="1940" w:type="dxa"/>
            <w:vAlign w:val="bottom"/>
          </w:tcPr>
          <w:p>
            <w:pPr>
              <w:ind w:left="320"/>
              <w:spacing w:after="0"/>
              <w:rPr>
                <w:sz w:val="20"/>
                <w:szCs w:val="20"/>
                <w:color w:val="auto"/>
              </w:rPr>
            </w:pPr>
            <w:r>
              <w:rPr>
                <w:rFonts w:ascii="Arial" w:cs="Arial" w:eastAsia="Arial" w:hAnsi="Arial"/>
                <w:sz w:val="17"/>
                <w:szCs w:val="17"/>
                <w:b w:val="1"/>
                <w:bCs w:val="1"/>
                <w:color w:val="auto"/>
              </w:rPr>
              <w:t>Redemption Price</w:t>
            </w:r>
          </w:p>
        </w:tc>
      </w:tr>
      <w:tr>
        <w:trPr>
          <w:trHeight w:val="213"/>
        </w:trPr>
        <w:tc>
          <w:tcPr>
            <w:tcW w:w="9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2023</w:t>
            </w:r>
          </w:p>
        </w:tc>
        <w:tc>
          <w:tcPr>
            <w:tcW w:w="100" w:type="dxa"/>
            <w:vAlign w:val="bottom"/>
            <w:tcBorders>
              <w:top w:val="single" w:sz="8" w:color="CCEEFF"/>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ind w:left="1180"/>
              <w:spacing w:after="0"/>
              <w:rPr>
                <w:sz w:val="20"/>
                <w:szCs w:val="20"/>
                <w:color w:val="auto"/>
              </w:rPr>
            </w:pPr>
            <w:r>
              <w:rPr>
                <w:rFonts w:ascii="Arial" w:cs="Arial" w:eastAsia="Arial" w:hAnsi="Arial"/>
                <w:sz w:val="17"/>
                <w:szCs w:val="17"/>
                <w:color w:val="auto"/>
                <w:w w:val="90"/>
              </w:rPr>
              <w:t>103.938 %</w:t>
            </w:r>
          </w:p>
        </w:tc>
      </w:tr>
      <w:tr>
        <w:trPr>
          <w:trHeight w:val="220"/>
        </w:trPr>
        <w:tc>
          <w:tcPr>
            <w:tcW w:w="9200" w:type="dxa"/>
            <w:vAlign w:val="bottom"/>
          </w:tcPr>
          <w:p>
            <w:pPr>
              <w:ind w:left="20"/>
              <w:spacing w:after="0"/>
              <w:rPr>
                <w:sz w:val="20"/>
                <w:szCs w:val="20"/>
                <w:color w:val="auto"/>
              </w:rPr>
            </w:pPr>
            <w:r>
              <w:rPr>
                <w:rFonts w:ascii="Arial" w:cs="Arial" w:eastAsia="Arial" w:hAnsi="Arial"/>
                <w:sz w:val="17"/>
                <w:szCs w:val="17"/>
                <w:color w:val="auto"/>
              </w:rPr>
              <w:t>2024</w:t>
            </w:r>
          </w:p>
        </w:tc>
        <w:tc>
          <w:tcPr>
            <w:tcW w:w="100" w:type="dxa"/>
            <w:vAlign w:val="bottom"/>
          </w:tcPr>
          <w:p>
            <w:pPr>
              <w:spacing w:after="0"/>
              <w:rPr>
                <w:sz w:val="19"/>
                <w:szCs w:val="19"/>
                <w:color w:val="auto"/>
              </w:rPr>
            </w:pPr>
          </w:p>
        </w:tc>
        <w:tc>
          <w:tcPr>
            <w:tcW w:w="1940" w:type="dxa"/>
            <w:vAlign w:val="bottom"/>
          </w:tcPr>
          <w:p>
            <w:pPr>
              <w:ind w:left="1180"/>
              <w:spacing w:after="0"/>
              <w:rPr>
                <w:sz w:val="20"/>
                <w:szCs w:val="20"/>
                <w:color w:val="auto"/>
              </w:rPr>
            </w:pPr>
            <w:r>
              <w:rPr>
                <w:rFonts w:ascii="Arial" w:cs="Arial" w:eastAsia="Arial" w:hAnsi="Arial"/>
                <w:sz w:val="17"/>
                <w:szCs w:val="17"/>
                <w:color w:val="auto"/>
              </w:rPr>
              <w:t>101.969</w:t>
            </w:r>
          </w:p>
        </w:tc>
      </w:tr>
      <w:tr>
        <w:trPr>
          <w:trHeight w:val="220"/>
        </w:trPr>
        <w:tc>
          <w:tcPr>
            <w:tcW w:w="93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2025 and thereafter</w:t>
            </w:r>
          </w:p>
        </w:tc>
        <w:tc>
          <w:tcPr>
            <w:tcW w:w="1940" w:type="dxa"/>
            <w:vAlign w:val="bottom"/>
            <w:shd w:val="clear" w:color="auto" w:fill="CCEEFF"/>
          </w:tcPr>
          <w:p>
            <w:pPr>
              <w:ind w:left="1180"/>
              <w:spacing w:after="0"/>
              <w:rPr>
                <w:sz w:val="20"/>
                <w:szCs w:val="20"/>
                <w:color w:val="auto"/>
              </w:rPr>
            </w:pPr>
            <w:r>
              <w:rPr>
                <w:rFonts w:ascii="Arial" w:cs="Arial" w:eastAsia="Arial" w:hAnsi="Arial"/>
                <w:sz w:val="17"/>
                <w:szCs w:val="17"/>
                <w:color w:val="auto"/>
              </w:rPr>
              <w:t>100.000</w:t>
            </w:r>
          </w:p>
        </w:tc>
      </w:tr>
    </w:tbl>
    <w:p>
      <w:pPr>
        <w:spacing w:after="0" w:line="181" w:lineRule="exact"/>
        <w:rPr>
          <w:sz w:val="20"/>
          <w:szCs w:val="20"/>
          <w:color w:val="auto"/>
        </w:rPr>
      </w:pPr>
    </w:p>
    <w:p>
      <w:pPr>
        <w:ind w:right="20"/>
        <w:spacing w:after="0" w:line="277" w:lineRule="auto"/>
        <w:rPr>
          <w:sz w:val="20"/>
          <w:szCs w:val="20"/>
          <w:color w:val="auto"/>
        </w:rPr>
      </w:pPr>
      <w:r>
        <w:rPr>
          <w:rFonts w:ascii="Arial" w:cs="Arial" w:eastAsia="Arial" w:hAnsi="Arial"/>
          <w:sz w:val="16"/>
          <w:szCs w:val="16"/>
          <w:color w:val="auto"/>
        </w:rPr>
        <w:t>Prior to March 15, 2023, PMC may, on any one or more occasions, redeem some or all of the PMC Senior Secured Notes at its option at a redemption price equal to 100% of the principal amount of the notes being redeemed, plus a “make-whole” premium equal to the greater of (i) 1.0% of the then outstanding principal amount of such note and (ii) the excess of (1) the present value at the redemption date of the sum of (A) the redemption price of the note at March 15, 2023 (such redemption price is set forth in the table above) plus (B) all required interest payments due on such notes through March 15, 2023 (excluding accrued but unpaid interest), such present value to be computed using a discount rate equal to the Treasury Rate (as defined in the indenture governing the PMC Senior Secured Notes (Indenture)) as of such redemption date plus 50 basis points; over (2) the then outstanding principal amount of such notes, plus accrued and unpaid interest, if any, on the notes redeemed to, but excluding, the redemption date.</w:t>
      </w:r>
    </w:p>
    <w:p>
      <w:pPr>
        <w:spacing w:after="0" w:line="64" w:lineRule="exact"/>
        <w:rPr>
          <w:sz w:val="20"/>
          <w:szCs w:val="20"/>
          <w:color w:val="auto"/>
        </w:rPr>
      </w:pPr>
    </w:p>
    <w:p>
      <w:pPr>
        <w:ind w:right="20"/>
        <w:spacing w:after="0" w:line="278" w:lineRule="auto"/>
        <w:rPr>
          <w:sz w:val="20"/>
          <w:szCs w:val="20"/>
          <w:color w:val="auto"/>
        </w:rPr>
      </w:pPr>
      <w:r>
        <w:rPr>
          <w:rFonts w:ascii="Arial" w:cs="Arial" w:eastAsia="Arial" w:hAnsi="Arial"/>
          <w:sz w:val="16"/>
          <w:szCs w:val="16"/>
          <w:color w:val="auto"/>
        </w:rPr>
        <w:t>In addition, on or prior to March 15, 2023, PMC may also redeem up to 35.0% of the principal amount of all of the PMC Senior Secured Notes originally issued under the Indenture (including any additional PMC Senior Secured Notes issued under the Indenture) using the net proceeds of certain equity offerings at a redemption price equal to 107.875% of the principal amount thereof, plus accrued and unpaid interest to, but excluding, the date of redemption (subject to the rights of holders of notes on the relevant regular record date to receive interest due on the relevant interest payment date that is on or prior to the applicable date of redemption); provided that: (i) at least 65.0% of the principal amount of all PMC Senior Secured Notes issued under the Indenture remains outstanding immediately after any such redemption; and (ii) PMC makes such redemption not more than 120 days after the consummation of any such equity offering.</w:t>
      </w:r>
    </w:p>
    <w:p>
      <w:pPr>
        <w:spacing w:after="0" w:line="65" w:lineRule="exact"/>
        <w:rPr>
          <w:sz w:val="20"/>
          <w:szCs w:val="20"/>
          <w:color w:val="auto"/>
        </w:rPr>
      </w:pPr>
    </w:p>
    <w:p>
      <w:pPr>
        <w:jc w:val="both"/>
        <w:ind w:right="100"/>
        <w:spacing w:after="0" w:line="263" w:lineRule="auto"/>
        <w:rPr>
          <w:sz w:val="20"/>
          <w:szCs w:val="20"/>
          <w:color w:val="auto"/>
        </w:rPr>
      </w:pPr>
      <w:r>
        <w:rPr>
          <w:rFonts w:ascii="Arial" w:cs="Arial" w:eastAsia="Arial" w:hAnsi="Arial"/>
          <w:sz w:val="17"/>
          <w:szCs w:val="17"/>
          <w:color w:val="auto"/>
        </w:rPr>
        <w:t>The Indenture contains customary covenants for debt securities of this type that limit the ability of PHH and its restricted subsidiaries (including PMC) to, among other things, (i) incur or guarantee additional indebtedness, (ii) incur liens, (iii) pay dividends on or make distributions in respect of PHH’s capital stock or make other restricted payments, (iv) make investments, (v) consolidate, merge, sell or otherwise dispose of certain assets, and (vi) enter into transactions with Ocwen’s affiliates.</w:t>
      </w:r>
    </w:p>
    <w:p>
      <w:pPr>
        <w:spacing w:after="0" w:line="73" w:lineRule="exact"/>
        <w:rPr>
          <w:sz w:val="20"/>
          <w:szCs w:val="20"/>
          <w:color w:val="auto"/>
        </w:rPr>
      </w:pPr>
    </w:p>
    <w:p>
      <w:pPr>
        <w:ind w:right="240"/>
        <w:spacing w:after="0" w:line="315" w:lineRule="auto"/>
        <w:rPr>
          <w:sz w:val="20"/>
          <w:szCs w:val="20"/>
          <w:color w:val="auto"/>
        </w:rPr>
      </w:pPr>
      <w:r>
        <w:rPr>
          <w:rFonts w:ascii="Arial" w:cs="Arial" w:eastAsia="Arial" w:hAnsi="Arial"/>
          <w:sz w:val="16"/>
          <w:szCs w:val="16"/>
          <w:color w:val="auto"/>
        </w:rPr>
        <w:t>During the three months ended June 30, 2022, we repurchased a total of $25.0 million of the PMC Senior Secured Notes in the open market for a price of $23.6 million, and recognized a $0.9 million gain on debt extinguishment, net of the respective write-off of unamortized discount and debt issuance costs.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Issuance of OFC Senior Secured Notes</w:t>
      </w:r>
    </w:p>
    <w:p>
      <w:pPr>
        <w:spacing w:after="0" w:line="115"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On March 4, 2021, Ocwen completed the private placement of $199.5 million aggregate principal amount of senior secured notes (the OFC Senior Secured Notes) with an OID of $24.5 million to certain entities owned by funds and accounts managed by Oaktree Capital Management, L.P. (the Oaktree Investors). Concurrent with the issuance of the OFC Senior Secured Notes, Ocwen issued to the Oaktree Investors warrants to purchase shares of its common stock. The $158.5 million proceeds were allocated to the OFC Senior Secured Notes on a relative fair value basis resulting in an initial discount.</w:t>
      </w:r>
    </w:p>
    <w:p>
      <w:pPr>
        <w:spacing w:after="0" w:line="56" w:lineRule="exact"/>
        <w:rPr>
          <w:sz w:val="20"/>
          <w:szCs w:val="20"/>
          <w:color w:val="auto"/>
        </w:rPr>
      </w:pPr>
    </w:p>
    <w:p>
      <w:pPr>
        <w:ind w:right="60"/>
        <w:spacing w:after="0" w:line="283" w:lineRule="auto"/>
        <w:rPr>
          <w:sz w:val="20"/>
          <w:szCs w:val="20"/>
          <w:color w:val="auto"/>
        </w:rPr>
      </w:pPr>
      <w:r>
        <w:rPr>
          <w:rFonts w:ascii="Arial" w:cs="Arial" w:eastAsia="Arial" w:hAnsi="Arial"/>
          <w:sz w:val="17"/>
          <w:szCs w:val="17"/>
          <w:color w:val="auto"/>
        </w:rPr>
        <w:t>On May 3, 2021, Ocwen issued to Oaktree the second tranche of the OFC Senior Secured Notes in an aggregate principal amount of $85.5 million with an OID of $10.5 million. Concurrent with the issuance of the second tranche of OFC Senior</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7" w:right="339" w:bottom="1440" w:gutter="0" w:footer="0" w:header="0"/>
        </w:sectPr>
      </w:pPr>
    </w:p>
    <w:bookmarkStart w:id="39" w:name="page40"/>
    <w:bookmarkEnd w:id="39"/>
    <w:p>
      <w:pPr>
        <w:ind w:right="140"/>
        <w:spacing w:after="0" w:line="283" w:lineRule="auto"/>
        <w:rPr>
          <w:sz w:val="20"/>
          <w:szCs w:val="20"/>
          <w:color w:val="auto"/>
        </w:rPr>
      </w:pPr>
      <w:r>
        <w:rPr>
          <w:rFonts w:ascii="Arial" w:cs="Arial" w:eastAsia="Arial" w:hAnsi="Arial"/>
          <w:sz w:val="17"/>
          <w:szCs w:val="17"/>
          <w:color w:val="auto"/>
        </w:rPr>
        <w:t>Secured Notes, Ocwen issued to the Oaktree Investors shares and warrants to purchase shares of its common stock. The $68.0 million proceeds were allocated to the OFC Senior Secured Notes on a relative fair value basis resulting in an initial discount.</w:t>
      </w:r>
    </w:p>
    <w:p>
      <w:pPr>
        <w:spacing w:after="0" w:line="56" w:lineRule="exact"/>
        <w:rPr>
          <w:sz w:val="20"/>
          <w:szCs w:val="20"/>
          <w:color w:val="auto"/>
        </w:rPr>
      </w:pPr>
    </w:p>
    <w:p>
      <w:pPr>
        <w:ind w:right="20"/>
        <w:spacing w:after="0" w:line="278" w:lineRule="auto"/>
        <w:rPr>
          <w:sz w:val="20"/>
          <w:szCs w:val="20"/>
          <w:color w:val="auto"/>
        </w:rPr>
      </w:pPr>
      <w:r>
        <w:rPr>
          <w:rFonts w:ascii="Arial" w:cs="Arial" w:eastAsia="Arial" w:hAnsi="Arial"/>
          <w:sz w:val="16"/>
          <w:szCs w:val="16"/>
          <w:color w:val="auto"/>
        </w:rPr>
        <w:t>The OFC Senior Secured Notes mature on March 4, 2027 with no amortization of principal. Interest is payable quarterly in arrears on the last business day of each March, June, September and December and accrues at the rate of 12% per annum to the extent interest is paid in cash or 13.25% per annum to the extent interest is “paid-in-kind” through an increase in the principal amount or the issuance of additional notes (PIK Interest). Prior to March 4, 2022, all of the interest on the OFC Senior Secured Notes may, at our option, be paid as PIK Interest. On or after March 4, 2022, a minimum amount of interest is required to be paid in cash equal to the lesser of (i) 7% per annum of the outstanding principal amount of the OFC Senior Secured Notes and (ii) the total amount of unrestricted cash of Ocwen and its subsidiaries less the greater of $125.0 million and the minimum liquidity amounts required by any agency.</w:t>
      </w:r>
    </w:p>
    <w:p>
      <w:pPr>
        <w:spacing w:after="0" w:line="65" w:lineRule="exact"/>
        <w:rPr>
          <w:sz w:val="20"/>
          <w:szCs w:val="20"/>
          <w:color w:val="auto"/>
        </w:rPr>
      </w:pPr>
    </w:p>
    <w:p>
      <w:pPr>
        <w:ind w:right="160"/>
        <w:spacing w:after="0" w:line="263" w:lineRule="auto"/>
        <w:rPr>
          <w:sz w:val="20"/>
          <w:szCs w:val="20"/>
          <w:color w:val="auto"/>
        </w:rPr>
      </w:pPr>
      <w:r>
        <w:rPr>
          <w:rFonts w:ascii="Arial" w:cs="Arial" w:eastAsia="Arial" w:hAnsi="Arial"/>
          <w:sz w:val="17"/>
          <w:szCs w:val="17"/>
          <w:color w:val="auto"/>
        </w:rPr>
        <w:t>The OFC Senior Secured Notes are solely the obligation of Ocwen and are secured by a pledge of substantially all of the assets of Ocwen, including a pledge of the equity of Ocwen’s directly held subsidiaries. The lien on Ocwen’s assets securing the OFC Senior Secured Notes is junior to the lien securing Ocwen’s guarantee of the 7.875% PMC Senior Secured Notes described above. The OFC Senior Secured Notes are not guaranteed by any of Ocwen’s subsidiaries nor are they secured by a pledge or lien on any assets of Ocwen’s subsidiaries.</w:t>
      </w:r>
    </w:p>
    <w:p>
      <w:pPr>
        <w:spacing w:after="0" w:line="73" w:lineRule="exact"/>
        <w:rPr>
          <w:sz w:val="20"/>
          <w:szCs w:val="20"/>
          <w:color w:val="auto"/>
        </w:rPr>
      </w:pPr>
    </w:p>
    <w:p>
      <w:pPr>
        <w:jc w:val="both"/>
        <w:ind w:right="80"/>
        <w:spacing w:after="0" w:line="268" w:lineRule="auto"/>
        <w:rPr>
          <w:sz w:val="20"/>
          <w:szCs w:val="20"/>
          <w:color w:val="auto"/>
        </w:rPr>
      </w:pPr>
      <w:r>
        <w:rPr>
          <w:rFonts w:ascii="Arial" w:cs="Arial" w:eastAsia="Arial" w:hAnsi="Arial"/>
          <w:sz w:val="17"/>
          <w:szCs w:val="17"/>
          <w:color w:val="auto"/>
        </w:rPr>
        <w:t>Prior to March 4, 2026, we are permitted to redeem the OFC Senior Secured Notes in whole or in part at any time at a redemption price equal to par, plus a make-whole premium, plus accrued and unpaid interest. On and after March 4, 2026, we will be permitted to redeem the OFC Senior Secured Notes in whole or in part at any time at a redemption price equal to par plus accrued and unpaid interest.</w:t>
      </w:r>
    </w:p>
    <w:p>
      <w:pPr>
        <w:spacing w:after="0" w:line="69" w:lineRule="exact"/>
        <w:rPr>
          <w:sz w:val="20"/>
          <w:szCs w:val="20"/>
          <w:color w:val="auto"/>
        </w:rPr>
      </w:pPr>
    </w:p>
    <w:p>
      <w:pPr>
        <w:spacing w:after="0"/>
        <w:rPr>
          <w:sz w:val="20"/>
          <w:szCs w:val="20"/>
          <w:color w:val="auto"/>
        </w:rPr>
      </w:pPr>
      <w:r>
        <w:rPr>
          <w:rFonts w:ascii="Arial" w:cs="Arial" w:eastAsia="Arial" w:hAnsi="Arial"/>
          <w:sz w:val="15"/>
          <w:szCs w:val="15"/>
          <w:color w:val="auto"/>
        </w:rPr>
        <w:t>The OFC Senior Secured Notes have two financial maintenance covenants: (1) a minimum book value of stockholders’ equity of not less than $275.0 million and</w:t>
      </w:r>
    </w:p>
    <w:p>
      <w:pPr>
        <w:spacing w:after="0" w:line="47" w:lineRule="exact"/>
        <w:rPr>
          <w:sz w:val="20"/>
          <w:szCs w:val="20"/>
          <w:color w:val="auto"/>
        </w:rPr>
      </w:pPr>
    </w:p>
    <w:p>
      <w:pPr>
        <w:ind w:right="700" w:firstLine="3"/>
        <w:spacing w:after="0" w:line="267" w:lineRule="auto"/>
        <w:tabs>
          <w:tab w:leader="none" w:pos="244" w:val="left"/>
        </w:tabs>
        <w:numPr>
          <w:ilvl w:val="0"/>
          <w:numId w:val="28"/>
        </w:numPr>
        <w:rPr>
          <w:rFonts w:ascii="Arial" w:cs="Arial" w:eastAsia="Arial" w:hAnsi="Arial"/>
          <w:sz w:val="17"/>
          <w:szCs w:val="17"/>
          <w:color w:val="auto"/>
        </w:rPr>
      </w:pPr>
      <w:r>
        <w:rPr>
          <w:rFonts w:ascii="Arial" w:cs="Arial" w:eastAsia="Arial" w:hAnsi="Arial"/>
          <w:sz w:val="17"/>
          <w:szCs w:val="17"/>
          <w:color w:val="auto"/>
        </w:rPr>
        <w:t>a minimum amount of unrestricted cash of not less than $50.0 million at any time. The OFC Senior Secured Notes also have affirmative and negative covenants and events of default that are customary for debt securities of this type.</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Credit Ratings</w:t>
      </w:r>
    </w:p>
    <w:p>
      <w:pPr>
        <w:spacing w:after="0" w:line="121" w:lineRule="exact"/>
        <w:rPr>
          <w:sz w:val="20"/>
          <w:szCs w:val="20"/>
          <w:color w:val="auto"/>
        </w:rPr>
      </w:pPr>
    </w:p>
    <w:p>
      <w:pPr>
        <w:ind w:right="40"/>
        <w:spacing w:after="0" w:line="261" w:lineRule="auto"/>
        <w:rPr>
          <w:sz w:val="20"/>
          <w:szCs w:val="20"/>
          <w:color w:val="auto"/>
        </w:rPr>
      </w:pPr>
      <w:r>
        <w:rPr>
          <w:rFonts w:ascii="Arial" w:cs="Arial" w:eastAsia="Arial" w:hAnsi="Arial"/>
          <w:sz w:val="17"/>
          <w:szCs w:val="17"/>
          <w:color w:val="auto"/>
        </w:rPr>
        <w:t>Credit ratings are intended to be an indicator of the creditworthiness of a company’s debt obligations. At June 30, 2022, the S&amp;P issuer credit rating for Ocwen was “B-”. On January 24, 2022, S&amp;P raised the assigned rating of the PMC Senior Secured Notes from “B-” to ‘B’ and maintained a stable outlook citing improved profitability and an increase in assets. Moody’s reaffirmed their ratings of Caa1 and revised their outlook to Stable from Negative on February 24, 2021. It is possible that additional actions by credit rating agencies could have a material adverse impact on our liquidity and funding position, including materially changing the terms on which we may be able to borrow money.</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Covenants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Under the terms of our debt agreements, we are subject to various affirmative and negative covenants. Collectively, these covenants include:</w:t>
      </w:r>
    </w:p>
    <w:p>
      <w:pPr>
        <w:spacing w:after="0" w:line="115" w:lineRule="exact"/>
        <w:rPr>
          <w:sz w:val="20"/>
          <w:szCs w:val="20"/>
          <w:color w:val="auto"/>
        </w:rPr>
      </w:pPr>
    </w:p>
    <w:p>
      <w:pPr>
        <w:ind w:left="620" w:hanging="307"/>
        <w:spacing w:after="0"/>
        <w:tabs>
          <w:tab w:leader="none" w:pos="6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Financial covenants, including, but not limited to, specified levels of net worth, liquidity and leverage;</w:t>
      </w:r>
    </w:p>
    <w:p>
      <w:pPr>
        <w:spacing w:after="0" w:line="23" w:lineRule="exact"/>
        <w:rPr>
          <w:rFonts w:ascii="Arial" w:cs="Arial" w:eastAsia="Arial" w:hAnsi="Arial"/>
          <w:sz w:val="17"/>
          <w:szCs w:val="17"/>
          <w:color w:val="auto"/>
        </w:rPr>
      </w:pPr>
    </w:p>
    <w:p>
      <w:pPr>
        <w:ind w:left="620" w:hanging="307"/>
        <w:spacing w:after="0"/>
        <w:tabs>
          <w:tab w:leader="none" w:pos="6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Covenants to operate in material compliance with applicable laws;</w:t>
      </w:r>
    </w:p>
    <w:p>
      <w:pPr>
        <w:spacing w:after="0" w:line="11" w:lineRule="exact"/>
        <w:rPr>
          <w:rFonts w:ascii="Arial" w:cs="Arial" w:eastAsia="Arial" w:hAnsi="Arial"/>
          <w:sz w:val="17"/>
          <w:szCs w:val="17"/>
          <w:color w:val="auto"/>
        </w:rPr>
      </w:pPr>
    </w:p>
    <w:p>
      <w:pPr>
        <w:ind w:left="620" w:right="60" w:hanging="307"/>
        <w:spacing w:after="0" w:line="269" w:lineRule="auto"/>
        <w:tabs>
          <w:tab w:leader="none" w:pos="616" w:val="left"/>
        </w:tabs>
        <w:numPr>
          <w:ilvl w:val="0"/>
          <w:numId w:val="29"/>
        </w:numPr>
        <w:rPr>
          <w:rFonts w:ascii="Arial" w:cs="Arial" w:eastAsia="Arial" w:hAnsi="Arial"/>
          <w:sz w:val="16"/>
          <w:szCs w:val="16"/>
          <w:color w:val="auto"/>
        </w:rPr>
      </w:pPr>
      <w:r>
        <w:rPr>
          <w:rFonts w:ascii="Arial" w:cs="Arial" w:eastAsia="Arial" w:hAnsi="Arial"/>
          <w:sz w:val="16"/>
          <w:szCs w:val="16"/>
          <w:color w:val="auto"/>
        </w:rPr>
        <w:t>Restrictions on our ability to engage in various activities, including but not limited to incurring or guarantying additional forms of debt, paying dividends or making distributions on or purchasing equity interests of Ocwen and its subsidiaries, repurchasing or redeeming capital stock or junior capital, repurchasing or redeeming subordinated debt prior to maturity, issuing preferred stock, selling or transferring assets or making loans or investments or other restricted payments, entering into mergers or consolidations or sales of all or substantially all of the assets of Ocwen and its subsidiaries or of PHH or PMC and their respective subsidiaries, creating liens on assets to secure debt, and entering into transactions with affiliates;</w:t>
      </w:r>
    </w:p>
    <w:p>
      <w:pPr>
        <w:spacing w:after="0" w:line="2" w:lineRule="exact"/>
        <w:rPr>
          <w:rFonts w:ascii="Arial" w:cs="Arial" w:eastAsia="Arial" w:hAnsi="Arial"/>
          <w:sz w:val="16"/>
          <w:szCs w:val="16"/>
          <w:color w:val="auto"/>
        </w:rPr>
      </w:pPr>
    </w:p>
    <w:p>
      <w:pPr>
        <w:ind w:left="620" w:right="60" w:hanging="307"/>
        <w:spacing w:after="0" w:line="253" w:lineRule="auto"/>
        <w:tabs>
          <w:tab w:leader="none" w:pos="616" w:val="left"/>
        </w:tabs>
        <w:numPr>
          <w:ilvl w:val="0"/>
          <w:numId w:val="29"/>
        </w:numPr>
        <w:rPr>
          <w:rFonts w:ascii="Arial" w:cs="Arial" w:eastAsia="Arial" w:hAnsi="Arial"/>
          <w:sz w:val="17"/>
          <w:szCs w:val="17"/>
          <w:color w:val="auto"/>
        </w:rPr>
      </w:pPr>
      <w:r>
        <w:rPr>
          <w:rFonts w:ascii="Arial" w:cs="Arial" w:eastAsia="Arial" w:hAnsi="Arial"/>
          <w:sz w:val="17"/>
          <w:szCs w:val="17"/>
          <w:color w:val="auto"/>
        </w:rPr>
        <w:t>Monitoring and reporting of various specified transactions or events, including specific reporting on defined events affecting collateral underlying certain debt agreements; and</w:t>
      </w:r>
    </w:p>
    <w:p>
      <w:pPr>
        <w:spacing w:after="0" w:line="1" w:lineRule="exact"/>
        <w:rPr>
          <w:rFonts w:ascii="Arial" w:cs="Arial" w:eastAsia="Arial" w:hAnsi="Arial"/>
          <w:sz w:val="17"/>
          <w:szCs w:val="17"/>
          <w:color w:val="auto"/>
        </w:rPr>
      </w:pPr>
    </w:p>
    <w:p>
      <w:pPr>
        <w:ind w:left="620" w:right="400" w:hanging="307"/>
        <w:spacing w:after="0" w:line="267" w:lineRule="auto"/>
        <w:tabs>
          <w:tab w:leader="none" w:pos="616" w:val="left"/>
        </w:tabs>
        <w:numPr>
          <w:ilvl w:val="0"/>
          <w:numId w:val="29"/>
        </w:numPr>
        <w:rPr>
          <w:rFonts w:ascii="Arial" w:cs="Arial" w:eastAsia="Arial" w:hAnsi="Arial"/>
          <w:sz w:val="17"/>
          <w:szCs w:val="17"/>
          <w:color w:val="auto"/>
        </w:rPr>
      </w:pPr>
      <w:r>
        <w:rPr>
          <w:rFonts w:ascii="Arial" w:cs="Arial" w:eastAsia="Arial" w:hAnsi="Arial"/>
          <w:sz w:val="17"/>
          <w:szCs w:val="17"/>
          <w:color w:val="auto"/>
        </w:rPr>
        <w:t>Requirements to provide audited financial statements within specified timeframes, including requirements that Ocwen’s financial statements and the related audit report be unqualified as to going concern.</w:t>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color w:val="auto"/>
        </w:rPr>
        <w:t>The most restrictive consolidated net worth requirement contained in our debt agreements with borrowings outstanding at June 30, 2022 is a minimum of</w:t>
      </w:r>
    </w:p>
    <w:p>
      <w:pPr>
        <w:spacing w:after="0" w:line="35"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$300.0 million tangible net worth at Ocwen, as defined in certain of our mortgage warehouse, MSR financing and advance financing facilities agreements, or, if greater, the minimum requirement at PMC set forth by the Agencies. See Note 20 – Regulatory Requirements. The most restrictive liquidity requirement under our debt agreements with borrowings outstanding at June 30, 2022 is for a minimum of $87.5 million in consolidated liquidity, as defined, under certain of our MSR financing facilities agreements.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7" w:right="339" w:bottom="1440" w:gutter="0" w:footer="0" w:header="0"/>
        </w:sectPr>
      </w:pPr>
    </w:p>
    <w:bookmarkStart w:id="40" w:name="page41"/>
    <w:bookmarkEnd w:id="40"/>
    <w:p>
      <w:pPr>
        <w:ind w:right="840"/>
        <w:spacing w:after="0" w:line="380" w:lineRule="auto"/>
        <w:rPr>
          <w:sz w:val="20"/>
          <w:szCs w:val="20"/>
          <w:color w:val="auto"/>
        </w:rPr>
      </w:pPr>
      <w:r>
        <w:rPr>
          <w:rFonts w:ascii="Arial" w:cs="Arial" w:eastAsia="Arial" w:hAnsi="Arial"/>
          <w:sz w:val="17"/>
          <w:szCs w:val="17"/>
          <w:color w:val="auto"/>
        </w:rPr>
        <w:t xml:space="preserve">We believe we were in compliance with all of the covenants in our debt agreements as of the date of these unaudited consolidated financial statements. </w:t>
      </w:r>
      <w:r>
        <w:rPr>
          <w:rFonts w:ascii="Arial" w:cs="Arial" w:eastAsia="Arial" w:hAnsi="Arial"/>
          <w:sz w:val="17"/>
          <w:szCs w:val="17"/>
          <w:b w:val="1"/>
          <w:bCs w:val="1"/>
          <w:color w:val="auto"/>
        </w:rPr>
        <w:t>Collateral</w:t>
      </w:r>
    </w:p>
    <w:p>
      <w:pPr>
        <w:spacing w:after="0" w:line="1" w:lineRule="exact"/>
        <w:rPr>
          <w:sz w:val="20"/>
          <w:szCs w:val="20"/>
          <w:color w:val="auto"/>
        </w:rPr>
      </w:pPr>
    </w:p>
    <w:p>
      <w:pPr>
        <w:ind w:right="120"/>
        <w:spacing w:after="0" w:line="283" w:lineRule="auto"/>
        <w:rPr>
          <w:sz w:val="20"/>
          <w:szCs w:val="20"/>
          <w:color w:val="auto"/>
        </w:rPr>
      </w:pPr>
      <w:r>
        <w:rPr>
          <w:rFonts w:ascii="Arial" w:cs="Arial" w:eastAsia="Arial" w:hAnsi="Arial"/>
          <w:sz w:val="17"/>
          <w:szCs w:val="17"/>
          <w:color w:val="auto"/>
        </w:rPr>
        <w:t>Our assets held as collateral for secured borrowings and other unencumbered assets which may be subject to a lien under various collateralized borrowings are as follows at June 30, 2022:</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vMerge w:val="restart"/>
          </w:tcPr>
          <w:p>
            <w:pPr>
              <w:jc w:val="right"/>
              <w:ind w:right="454"/>
              <w:spacing w:after="0"/>
              <w:rPr>
                <w:sz w:val="20"/>
                <w:szCs w:val="20"/>
                <w:color w:val="auto"/>
              </w:rPr>
            </w:pPr>
            <w:r>
              <w:rPr>
                <w:rFonts w:ascii="Arial" w:cs="Arial" w:eastAsia="Arial" w:hAnsi="Arial"/>
                <w:sz w:val="17"/>
                <w:szCs w:val="17"/>
                <w:b w:val="1"/>
                <w:bCs w:val="1"/>
                <w:color w:val="auto"/>
              </w:rPr>
              <w:t>Assets</w:t>
            </w:r>
          </w:p>
        </w:tc>
        <w:tc>
          <w:tcPr>
            <w:tcW w:w="100" w:type="dxa"/>
            <w:vAlign w:val="bottom"/>
            <w:vMerge w:val="restart"/>
          </w:tcPr>
          <w:p>
            <w:pPr>
              <w:spacing w:after="0"/>
              <w:rPr>
                <w:sz w:val="16"/>
                <w:szCs w:val="16"/>
                <w:color w:val="auto"/>
              </w:rPr>
            </w:pPr>
          </w:p>
        </w:tc>
        <w:tc>
          <w:tcPr>
            <w:tcW w:w="300" w:type="dxa"/>
            <w:vAlign w:val="bottom"/>
          </w:tcPr>
          <w:p>
            <w:pPr>
              <w:spacing w:after="0"/>
              <w:rPr>
                <w:sz w:val="16"/>
                <w:szCs w:val="16"/>
                <w:color w:val="auto"/>
              </w:rPr>
            </w:pPr>
          </w:p>
        </w:tc>
        <w:tc>
          <w:tcPr>
            <w:tcW w:w="1380" w:type="dxa"/>
            <w:vAlign w:val="bottom"/>
            <w:gridSpan w:val="2"/>
          </w:tcPr>
          <w:p>
            <w:pPr>
              <w:ind w:left="180"/>
              <w:spacing w:after="0"/>
              <w:rPr>
                <w:sz w:val="20"/>
                <w:szCs w:val="20"/>
                <w:color w:val="auto"/>
              </w:rPr>
            </w:pPr>
            <w:r>
              <w:rPr>
                <w:rFonts w:ascii="Arial" w:cs="Arial" w:eastAsia="Arial" w:hAnsi="Arial"/>
                <w:sz w:val="17"/>
                <w:szCs w:val="17"/>
                <w:b w:val="1"/>
                <w:bCs w:val="1"/>
                <w:color w:val="auto"/>
              </w:rPr>
              <w:t>Pledged</w:t>
            </w:r>
          </w:p>
        </w:tc>
        <w:tc>
          <w:tcPr>
            <w:tcW w:w="180" w:type="dxa"/>
            <w:vAlign w:val="bottom"/>
          </w:tcPr>
          <w:p>
            <w:pPr>
              <w:spacing w:after="0"/>
              <w:rPr>
                <w:sz w:val="16"/>
                <w:szCs w:val="16"/>
                <w:color w:val="auto"/>
              </w:rPr>
            </w:pPr>
          </w:p>
        </w:tc>
        <w:tc>
          <w:tcPr>
            <w:tcW w:w="1480" w:type="dxa"/>
            <w:vAlign w:val="bottom"/>
            <w:gridSpan w:val="2"/>
          </w:tcPr>
          <w:p>
            <w:pPr>
              <w:ind w:left="80"/>
              <w:spacing w:after="0"/>
              <w:rPr>
                <w:sz w:val="20"/>
                <w:szCs w:val="20"/>
                <w:color w:val="auto"/>
              </w:rPr>
            </w:pPr>
            <w:r>
              <w:rPr>
                <w:rFonts w:ascii="Arial" w:cs="Arial" w:eastAsia="Arial" w:hAnsi="Arial"/>
                <w:sz w:val="17"/>
                <w:szCs w:val="17"/>
                <w:b w:val="1"/>
                <w:bCs w:val="1"/>
                <w:color w:val="auto"/>
              </w:rPr>
              <w:t>Collateralized</w:t>
            </w:r>
          </w:p>
        </w:tc>
        <w:tc>
          <w:tcPr>
            <w:tcW w:w="160" w:type="dxa"/>
            <w:vAlign w:val="bottom"/>
          </w:tcPr>
          <w:p>
            <w:pPr>
              <w:spacing w:after="0"/>
              <w:rPr>
                <w:sz w:val="16"/>
                <w:szCs w:val="16"/>
                <w:color w:val="auto"/>
              </w:rPr>
            </w:pPr>
          </w:p>
        </w:tc>
        <w:tc>
          <w:tcPr>
            <w:tcW w:w="1400" w:type="dxa"/>
            <w:vAlign w:val="bottom"/>
          </w:tcPr>
          <w:p>
            <w:pPr>
              <w:jc w:val="right"/>
              <w:ind w:right="134"/>
              <w:spacing w:after="0"/>
              <w:rPr>
                <w:sz w:val="20"/>
                <w:szCs w:val="20"/>
                <w:color w:val="auto"/>
              </w:rPr>
            </w:pPr>
            <w:r>
              <w:rPr>
                <w:rFonts w:ascii="Arial" w:cs="Arial" w:eastAsia="Arial" w:hAnsi="Arial"/>
                <w:sz w:val="17"/>
                <w:szCs w:val="17"/>
                <w:b w:val="1"/>
                <w:bCs w:val="1"/>
                <w:color w:val="auto"/>
                <w:w w:val="93"/>
              </w:rPr>
              <w:t>Unencumbered</w:t>
            </w:r>
          </w:p>
        </w:tc>
        <w:tc>
          <w:tcPr>
            <w:tcW w:w="0" w:type="dxa"/>
            <w:vAlign w:val="bottom"/>
          </w:tcPr>
          <w:p>
            <w:pPr>
              <w:spacing w:after="0"/>
              <w:rPr>
                <w:sz w:val="1"/>
                <w:szCs w:val="1"/>
                <w:color w:val="auto"/>
              </w:rPr>
            </w:pPr>
          </w:p>
        </w:tc>
      </w:tr>
      <w:tr>
        <w:trPr>
          <w:trHeight w:val="220"/>
        </w:trPr>
        <w:tc>
          <w:tcPr>
            <w:tcW w:w="46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74"/>
              <w:spacing w:after="0"/>
              <w:rPr>
                <w:sz w:val="20"/>
                <w:szCs w:val="20"/>
                <w:color w:val="auto"/>
              </w:rPr>
            </w:pPr>
            <w:r>
              <w:rPr>
                <w:rFonts w:ascii="Arial" w:cs="Arial" w:eastAsia="Arial" w:hAnsi="Arial"/>
                <w:sz w:val="17"/>
                <w:szCs w:val="17"/>
                <w:b w:val="1"/>
                <w:bCs w:val="1"/>
                <w:color w:val="auto"/>
              </w:rPr>
              <w:t>Assets</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274"/>
              <w:spacing w:after="0"/>
              <w:rPr>
                <w:sz w:val="20"/>
                <w:szCs w:val="20"/>
                <w:color w:val="auto"/>
              </w:rPr>
            </w:pPr>
            <w:r>
              <w:rPr>
                <w:rFonts w:ascii="Arial" w:cs="Arial" w:eastAsia="Arial" w:hAnsi="Arial"/>
                <w:sz w:val="17"/>
                <w:szCs w:val="17"/>
                <w:b w:val="1"/>
                <w:bCs w:val="1"/>
                <w:color w:val="auto"/>
              </w:rPr>
              <w:t>Borrowings</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334"/>
              <w:spacing w:after="0"/>
              <w:rPr>
                <w:sz w:val="20"/>
                <w:szCs w:val="20"/>
                <w:color w:val="auto"/>
              </w:rPr>
            </w:pPr>
            <w:r>
              <w:rPr>
                <w:rFonts w:ascii="Arial" w:cs="Arial" w:eastAsia="Arial" w:hAnsi="Arial"/>
                <w:sz w:val="17"/>
                <w:szCs w:val="17"/>
                <w:b w:val="1"/>
                <w:bCs w:val="1"/>
                <w:color w:val="auto"/>
              </w:rPr>
              <w:t>Assets (1)</w:t>
            </w:r>
          </w:p>
        </w:tc>
        <w:tc>
          <w:tcPr>
            <w:tcW w:w="0" w:type="dxa"/>
            <w:vAlign w:val="bottom"/>
          </w:tcPr>
          <w:p>
            <w:pPr>
              <w:spacing w:after="0"/>
              <w:rPr>
                <w:sz w:val="1"/>
                <w:szCs w:val="1"/>
                <w:color w:val="auto"/>
              </w:rPr>
            </w:pPr>
          </w:p>
        </w:tc>
      </w:tr>
      <w:tr>
        <w:trPr>
          <w:trHeight w:val="213"/>
        </w:trPr>
        <w:tc>
          <w:tcPr>
            <w:tcW w:w="4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w:t>
            </w: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255,885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255,885</w:t>
            </w:r>
          </w:p>
        </w:tc>
        <w:tc>
          <w:tcPr>
            <w:tcW w:w="0" w:type="dxa"/>
            <w:vAlign w:val="bottom"/>
          </w:tcPr>
          <w:p>
            <w:pPr>
              <w:spacing w:after="0"/>
              <w:rPr>
                <w:sz w:val="1"/>
                <w:szCs w:val="1"/>
                <w:color w:val="auto"/>
              </w:rPr>
            </w:pPr>
          </w:p>
        </w:tc>
      </w:tr>
      <w:tr>
        <w:trPr>
          <w:trHeight w:val="220"/>
        </w:trPr>
        <w:tc>
          <w:tcPr>
            <w:tcW w:w="4680" w:type="dxa"/>
            <w:vAlign w:val="bottom"/>
          </w:tcPr>
          <w:p>
            <w:pPr>
              <w:ind w:left="20"/>
              <w:spacing w:after="0"/>
              <w:rPr>
                <w:sz w:val="20"/>
                <w:szCs w:val="20"/>
                <w:color w:val="auto"/>
              </w:rPr>
            </w:pPr>
            <w:r>
              <w:rPr>
                <w:rFonts w:ascii="Arial" w:cs="Arial" w:eastAsia="Arial" w:hAnsi="Arial"/>
                <w:sz w:val="17"/>
                <w:szCs w:val="17"/>
                <w:color w:val="auto"/>
              </w:rPr>
              <w:t>Restricted cash</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66,690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66,690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4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Loans held for sale</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687,465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639,721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628,269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47,745</w:t>
            </w:r>
          </w:p>
        </w:tc>
        <w:tc>
          <w:tcPr>
            <w:tcW w:w="0" w:type="dxa"/>
            <w:vAlign w:val="bottom"/>
          </w:tcPr>
          <w:p>
            <w:pPr>
              <w:spacing w:after="0"/>
              <w:rPr>
                <w:sz w:val="1"/>
                <w:szCs w:val="1"/>
                <w:color w:val="auto"/>
              </w:rPr>
            </w:pPr>
          </w:p>
        </w:tc>
      </w:tr>
      <w:tr>
        <w:trPr>
          <w:trHeight w:val="220"/>
        </w:trPr>
        <w:tc>
          <w:tcPr>
            <w:tcW w:w="4680" w:type="dxa"/>
            <w:vAlign w:val="bottom"/>
          </w:tcPr>
          <w:p>
            <w:pPr>
              <w:ind w:left="20"/>
              <w:spacing w:after="0"/>
              <w:rPr>
                <w:sz w:val="20"/>
                <w:szCs w:val="20"/>
                <w:color w:val="auto"/>
              </w:rPr>
            </w:pPr>
            <w:r>
              <w:rPr>
                <w:rFonts w:ascii="Arial" w:cs="Arial" w:eastAsia="Arial" w:hAnsi="Arial"/>
                <w:sz w:val="17"/>
                <w:szCs w:val="17"/>
                <w:color w:val="auto"/>
              </w:rPr>
              <w:t>Loans held for investment - securitized (2)</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7,220,774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7,220,774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7,155,251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4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Loans held for investment - unsecuritized</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155,754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124,547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114,966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31,207</w:t>
            </w:r>
          </w:p>
        </w:tc>
        <w:tc>
          <w:tcPr>
            <w:tcW w:w="0" w:type="dxa"/>
            <w:vAlign w:val="bottom"/>
          </w:tcPr>
          <w:p>
            <w:pPr>
              <w:spacing w:after="0"/>
              <w:rPr>
                <w:sz w:val="1"/>
                <w:szCs w:val="1"/>
                <w:color w:val="auto"/>
              </w:rPr>
            </w:pPr>
          </w:p>
        </w:tc>
      </w:tr>
      <w:tr>
        <w:trPr>
          <w:trHeight w:val="220"/>
        </w:trPr>
        <w:tc>
          <w:tcPr>
            <w:tcW w:w="4680" w:type="dxa"/>
            <w:vAlign w:val="bottom"/>
          </w:tcPr>
          <w:p>
            <w:pPr>
              <w:ind w:left="20"/>
              <w:spacing w:after="0"/>
              <w:rPr>
                <w:sz w:val="20"/>
                <w:szCs w:val="20"/>
                <w:color w:val="auto"/>
              </w:rPr>
            </w:pPr>
            <w:r>
              <w:rPr>
                <w:rFonts w:ascii="Arial" w:cs="Arial" w:eastAsia="Arial" w:hAnsi="Arial"/>
                <w:sz w:val="17"/>
                <w:szCs w:val="17"/>
                <w:color w:val="auto"/>
              </w:rPr>
              <w:t>MSRs (3)</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1,552,622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1,558,594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959,066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7,016</w:t>
            </w:r>
          </w:p>
        </w:tc>
        <w:tc>
          <w:tcPr>
            <w:tcW w:w="0" w:type="dxa"/>
            <w:vAlign w:val="bottom"/>
          </w:tcPr>
          <w:p>
            <w:pPr>
              <w:spacing w:after="0"/>
              <w:rPr>
                <w:sz w:val="1"/>
                <w:szCs w:val="1"/>
                <w:color w:val="auto"/>
              </w:rPr>
            </w:pPr>
          </w:p>
        </w:tc>
      </w:tr>
      <w:tr>
        <w:trPr>
          <w:trHeight w:val="220"/>
        </w:trPr>
        <w:tc>
          <w:tcPr>
            <w:tcW w:w="4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Advances, net</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647,167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554,007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506,851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93,159</w:t>
            </w:r>
          </w:p>
        </w:tc>
        <w:tc>
          <w:tcPr>
            <w:tcW w:w="0" w:type="dxa"/>
            <w:vAlign w:val="bottom"/>
          </w:tcPr>
          <w:p>
            <w:pPr>
              <w:spacing w:after="0"/>
              <w:rPr>
                <w:sz w:val="1"/>
                <w:szCs w:val="1"/>
                <w:color w:val="auto"/>
              </w:rPr>
            </w:pPr>
          </w:p>
        </w:tc>
      </w:tr>
      <w:tr>
        <w:trPr>
          <w:trHeight w:val="220"/>
        </w:trPr>
        <w:tc>
          <w:tcPr>
            <w:tcW w:w="4680" w:type="dxa"/>
            <w:vAlign w:val="bottom"/>
          </w:tcPr>
          <w:p>
            <w:pPr>
              <w:ind w:left="20"/>
              <w:spacing w:after="0"/>
              <w:rPr>
                <w:sz w:val="20"/>
                <w:szCs w:val="20"/>
                <w:color w:val="auto"/>
              </w:rPr>
            </w:pPr>
            <w:r>
              <w:rPr>
                <w:rFonts w:ascii="Arial" w:cs="Arial" w:eastAsia="Arial" w:hAnsi="Arial"/>
                <w:sz w:val="17"/>
                <w:szCs w:val="17"/>
                <w:color w:val="auto"/>
              </w:rPr>
              <w:t>Receivables, net</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178,480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33,155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32,221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145,324</w:t>
            </w:r>
          </w:p>
        </w:tc>
        <w:tc>
          <w:tcPr>
            <w:tcW w:w="0" w:type="dxa"/>
            <w:vAlign w:val="bottom"/>
          </w:tcPr>
          <w:p>
            <w:pPr>
              <w:spacing w:after="0"/>
              <w:rPr>
                <w:sz w:val="1"/>
                <w:szCs w:val="1"/>
                <w:color w:val="auto"/>
              </w:rPr>
            </w:pPr>
          </w:p>
        </w:tc>
      </w:tr>
      <w:tr>
        <w:trPr>
          <w:trHeight w:val="220"/>
        </w:trPr>
        <w:tc>
          <w:tcPr>
            <w:tcW w:w="4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REO</w:t>
            </w: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9,443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5,412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3,814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4,031</w:t>
            </w:r>
          </w:p>
        </w:tc>
        <w:tc>
          <w:tcPr>
            <w:tcW w:w="0" w:type="dxa"/>
            <w:vAlign w:val="bottom"/>
          </w:tcPr>
          <w:p>
            <w:pPr>
              <w:spacing w:after="0"/>
              <w:rPr>
                <w:sz w:val="1"/>
                <w:szCs w:val="1"/>
                <w:color w:val="auto"/>
              </w:rPr>
            </w:pPr>
          </w:p>
        </w:tc>
      </w:tr>
      <w:tr>
        <w:trPr>
          <w:trHeight w:val="213"/>
        </w:trPr>
        <w:tc>
          <w:tcPr>
            <w:tcW w:w="4680" w:type="dxa"/>
            <w:vAlign w:val="bottom"/>
          </w:tcPr>
          <w:p>
            <w:pPr>
              <w:ind w:left="120"/>
              <w:spacing w:after="0"/>
              <w:rPr>
                <w:sz w:val="20"/>
                <w:szCs w:val="20"/>
                <w:color w:val="auto"/>
              </w:rPr>
            </w:pPr>
            <w:r>
              <w:rPr>
                <w:rFonts w:ascii="Arial" w:cs="Arial" w:eastAsia="Arial" w:hAnsi="Arial"/>
                <w:sz w:val="17"/>
                <w:szCs w:val="17"/>
                <w:color w:val="auto"/>
              </w:rPr>
              <w:t>Total (4)</w:t>
            </w:r>
          </w:p>
        </w:tc>
        <w:tc>
          <w:tcPr>
            <w:tcW w:w="3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10,774,280</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10,202,900</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9,400,438</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584,368</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ind w:left="320" w:hanging="317"/>
        <w:spacing w:after="0"/>
        <w:tabs>
          <w:tab w:leader="none" w:pos="3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Certain assets are pledged as collateral to the $375.0 million PMC Senior Secured Notes and $285.0 million OFC Senior Secured (second lien) Notes.</w:t>
      </w:r>
    </w:p>
    <w:p>
      <w:pPr>
        <w:spacing w:after="0" w:line="8" w:lineRule="exact"/>
        <w:rPr>
          <w:rFonts w:ascii="Arial" w:cs="Arial" w:eastAsia="Arial" w:hAnsi="Arial"/>
          <w:sz w:val="16"/>
          <w:szCs w:val="16"/>
          <w:color w:val="auto"/>
        </w:rPr>
      </w:pPr>
    </w:p>
    <w:p>
      <w:pPr>
        <w:ind w:left="320" w:right="60" w:hanging="317"/>
        <w:spacing w:after="0" w:line="235" w:lineRule="auto"/>
        <w:tabs>
          <w:tab w:leader="none" w:pos="3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Reverse mortgage loans and real estate owned are pledged as collateral to the HMBS beneficial interest holders, and are not available to satisfy the claims of our creditors. Ginnie Mae, as guarantor of the HMBS, is obligated to the holders of the HMBS in an instance of PMC’s default on its servicing obligations, or if the proceeds realized on HECMs are insufficient to repay all outstanding HMBS related obligations. Ginnie Mae has recourse to PMC in connection with certain claims relating to the performance and obligations of PMC as both issuer of HMBS and servicer of HECMs underlying HMBS.</w:t>
      </w:r>
    </w:p>
    <w:p>
      <w:pPr>
        <w:spacing w:after="0" w:line="2" w:lineRule="exact"/>
        <w:rPr>
          <w:rFonts w:ascii="Arial" w:cs="Arial" w:eastAsia="Arial" w:hAnsi="Arial"/>
          <w:sz w:val="16"/>
          <w:szCs w:val="16"/>
          <w:color w:val="auto"/>
        </w:rPr>
      </w:pPr>
    </w:p>
    <w:p>
      <w:pPr>
        <w:ind w:left="320" w:right="360" w:hanging="317"/>
        <w:spacing w:after="0" w:line="235" w:lineRule="auto"/>
        <w:tabs>
          <w:tab w:leader="none" w:pos="3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Excludes MSRs transferred to NRZ and MAV and associated Pledged MSR liability recorded as sale accounting criteria are not met. Pledged assets exceed the MSR asset balance due to the netting of certain PLS MSR portfolios with negative and positive fair values as eligible collateral.</w:t>
      </w:r>
    </w:p>
    <w:p>
      <w:pPr>
        <w:spacing w:after="0" w:line="1" w:lineRule="exact"/>
        <w:rPr>
          <w:rFonts w:ascii="Arial" w:cs="Arial" w:eastAsia="Arial" w:hAnsi="Arial"/>
          <w:sz w:val="16"/>
          <w:szCs w:val="16"/>
          <w:color w:val="auto"/>
        </w:rPr>
      </w:pPr>
    </w:p>
    <w:p>
      <w:pPr>
        <w:ind w:left="320" w:right="100" w:hanging="317"/>
        <w:spacing w:after="0" w:line="238" w:lineRule="auto"/>
        <w:tabs>
          <w:tab w:leader="none" w:pos="3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total of selected assets disclosed in the above table does not represent the total consolidated assets of Ocwen. For example, the total excludes premises and equipment and certain other assets.</w:t>
      </w:r>
    </w:p>
    <w:p>
      <w:pPr>
        <w:spacing w:after="0" w:line="84" w:lineRule="exact"/>
        <w:rPr>
          <w:sz w:val="20"/>
          <w:szCs w:val="20"/>
          <w:color w:val="auto"/>
        </w:rPr>
      </w:pPr>
    </w:p>
    <w:p>
      <w:pPr>
        <w:ind w:right="20"/>
        <w:spacing w:after="0" w:line="296" w:lineRule="auto"/>
        <w:rPr>
          <w:sz w:val="20"/>
          <w:szCs w:val="20"/>
          <w:color w:val="auto"/>
        </w:rPr>
      </w:pPr>
      <w:r>
        <w:rPr>
          <w:rFonts w:ascii="Arial" w:cs="Arial" w:eastAsia="Arial" w:hAnsi="Arial"/>
          <w:sz w:val="15"/>
          <w:szCs w:val="15"/>
          <w:color w:val="auto"/>
        </w:rPr>
        <w:t>The OFC Senior Secured Notes due 2027 have a second lien priority on specified assets carried on PMC’s balance sheet, as defined under the OFC Senior Secured Note Agreement and listed in the table below, and have a priority lien on the following assets: investments by OFC in subsidiaries not guaranteeing the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$375.0 million PMC Senior Secured Notes, including PHH and MAV; cash and investment accounts at OFC; and certain other assets, including receivables.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97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b w:val="1"/>
                <w:bCs w:val="1"/>
                <w:color w:val="auto"/>
                <w:w w:val="95"/>
              </w:rPr>
              <w:t>June 30, 2022</w:t>
            </w:r>
          </w:p>
        </w:tc>
      </w:tr>
      <w:tr>
        <w:trPr>
          <w:trHeight w:val="213"/>
        </w:trPr>
        <w:tc>
          <w:tcPr>
            <w:tcW w:w="9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Specified net servicing advances</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116,635</w:t>
            </w:r>
          </w:p>
        </w:tc>
      </w:tr>
      <w:tr>
        <w:trPr>
          <w:trHeight w:val="220"/>
        </w:trPr>
        <w:tc>
          <w:tcPr>
            <w:tcW w:w="9720" w:type="dxa"/>
            <w:vAlign w:val="bottom"/>
          </w:tcPr>
          <w:p>
            <w:pPr>
              <w:ind w:left="20"/>
              <w:spacing w:after="0"/>
              <w:rPr>
                <w:sz w:val="20"/>
                <w:szCs w:val="20"/>
                <w:color w:val="auto"/>
              </w:rPr>
            </w:pPr>
            <w:r>
              <w:rPr>
                <w:rFonts w:ascii="Arial" w:cs="Arial" w:eastAsia="Arial" w:hAnsi="Arial"/>
                <w:sz w:val="17"/>
                <w:szCs w:val="17"/>
                <w:color w:val="auto"/>
              </w:rPr>
              <w:t>Specified deferred servicing fee</w:t>
            </w:r>
          </w:p>
        </w:tc>
        <w:tc>
          <w:tcPr>
            <w:tcW w:w="180" w:type="dxa"/>
            <w:vAlign w:val="bottom"/>
          </w:tcPr>
          <w:p>
            <w:pPr>
              <w:spacing w:after="0"/>
              <w:rPr>
                <w:sz w:val="19"/>
                <w:szCs w:val="19"/>
                <w:color w:val="auto"/>
              </w:rPr>
            </w:pPr>
          </w:p>
        </w:tc>
        <w:tc>
          <w:tcPr>
            <w:tcW w:w="1340" w:type="dxa"/>
            <w:vAlign w:val="bottom"/>
          </w:tcPr>
          <w:p>
            <w:pPr>
              <w:jc w:val="right"/>
              <w:ind w:right="34"/>
              <w:spacing w:after="0"/>
              <w:rPr>
                <w:sz w:val="20"/>
                <w:szCs w:val="20"/>
                <w:color w:val="auto"/>
              </w:rPr>
            </w:pPr>
            <w:r>
              <w:rPr>
                <w:rFonts w:ascii="Arial" w:cs="Arial" w:eastAsia="Arial" w:hAnsi="Arial"/>
                <w:sz w:val="17"/>
                <w:szCs w:val="17"/>
                <w:color w:val="auto"/>
              </w:rPr>
              <w:t>22,260</w:t>
            </w:r>
          </w:p>
        </w:tc>
      </w:tr>
      <w:tr>
        <w:trPr>
          <w:trHeight w:val="220"/>
        </w:trPr>
        <w:tc>
          <w:tcPr>
            <w:tcW w:w="9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Specified MSR value less borrowings</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683,270</w:t>
            </w:r>
          </w:p>
        </w:tc>
      </w:tr>
      <w:tr>
        <w:trPr>
          <w:trHeight w:val="220"/>
        </w:trPr>
        <w:tc>
          <w:tcPr>
            <w:tcW w:w="9720" w:type="dxa"/>
            <w:vAlign w:val="bottom"/>
          </w:tcPr>
          <w:p>
            <w:pPr>
              <w:ind w:left="20"/>
              <w:spacing w:after="0"/>
              <w:rPr>
                <w:sz w:val="20"/>
                <w:szCs w:val="20"/>
                <w:color w:val="auto"/>
              </w:rPr>
            </w:pPr>
            <w:r>
              <w:rPr>
                <w:rFonts w:ascii="Arial" w:cs="Arial" w:eastAsia="Arial" w:hAnsi="Arial"/>
                <w:sz w:val="17"/>
                <w:szCs w:val="17"/>
                <w:color w:val="auto"/>
              </w:rPr>
              <w:t>Specified unrestricted cash balances</w:t>
            </w:r>
          </w:p>
        </w:tc>
        <w:tc>
          <w:tcPr>
            <w:tcW w:w="180" w:type="dxa"/>
            <w:vAlign w:val="bottom"/>
          </w:tcPr>
          <w:p>
            <w:pPr>
              <w:spacing w:after="0"/>
              <w:rPr>
                <w:sz w:val="19"/>
                <w:szCs w:val="19"/>
                <w:color w:val="auto"/>
              </w:rPr>
            </w:pPr>
          </w:p>
        </w:tc>
        <w:tc>
          <w:tcPr>
            <w:tcW w:w="1340" w:type="dxa"/>
            <w:vAlign w:val="bottom"/>
          </w:tcPr>
          <w:p>
            <w:pPr>
              <w:jc w:val="right"/>
              <w:ind w:right="34"/>
              <w:spacing w:after="0"/>
              <w:rPr>
                <w:sz w:val="20"/>
                <w:szCs w:val="20"/>
                <w:color w:val="auto"/>
              </w:rPr>
            </w:pPr>
            <w:r>
              <w:rPr>
                <w:rFonts w:ascii="Arial" w:cs="Arial" w:eastAsia="Arial" w:hAnsi="Arial"/>
                <w:sz w:val="17"/>
                <w:szCs w:val="17"/>
                <w:color w:val="auto"/>
              </w:rPr>
              <w:t>96,686</w:t>
            </w:r>
          </w:p>
        </w:tc>
      </w:tr>
      <w:tr>
        <w:trPr>
          <w:trHeight w:val="220"/>
        </w:trPr>
        <w:tc>
          <w:tcPr>
            <w:tcW w:w="9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Specified advance facility reserves</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6,931</w:t>
            </w:r>
          </w:p>
        </w:tc>
      </w:tr>
      <w:tr>
        <w:trPr>
          <w:trHeight w:val="220"/>
        </w:trPr>
        <w:tc>
          <w:tcPr>
            <w:tcW w:w="9720" w:type="dxa"/>
            <w:vAlign w:val="bottom"/>
          </w:tcPr>
          <w:p>
            <w:pPr>
              <w:ind w:left="20"/>
              <w:spacing w:after="0"/>
              <w:rPr>
                <w:sz w:val="20"/>
                <w:szCs w:val="20"/>
                <w:color w:val="auto"/>
              </w:rPr>
            </w:pPr>
            <w:r>
              <w:rPr>
                <w:rFonts w:ascii="Arial" w:cs="Arial" w:eastAsia="Arial" w:hAnsi="Arial"/>
                <w:sz w:val="17"/>
                <w:szCs w:val="17"/>
                <w:color w:val="auto"/>
              </w:rPr>
              <w:t>Specified loan value</w:t>
            </w:r>
          </w:p>
        </w:tc>
        <w:tc>
          <w:tcPr>
            <w:tcW w:w="180" w:type="dxa"/>
            <w:vAlign w:val="bottom"/>
          </w:tcPr>
          <w:p>
            <w:pPr>
              <w:spacing w:after="0"/>
              <w:rPr>
                <w:sz w:val="19"/>
                <w:szCs w:val="19"/>
                <w:color w:val="auto"/>
              </w:rPr>
            </w:pPr>
          </w:p>
        </w:tc>
        <w:tc>
          <w:tcPr>
            <w:tcW w:w="1340" w:type="dxa"/>
            <w:vAlign w:val="bottom"/>
          </w:tcPr>
          <w:p>
            <w:pPr>
              <w:jc w:val="right"/>
              <w:ind w:right="34"/>
              <w:spacing w:after="0"/>
              <w:rPr>
                <w:sz w:val="20"/>
                <w:szCs w:val="20"/>
                <w:color w:val="auto"/>
              </w:rPr>
            </w:pPr>
            <w:r>
              <w:rPr>
                <w:rFonts w:ascii="Arial" w:cs="Arial" w:eastAsia="Arial" w:hAnsi="Arial"/>
                <w:sz w:val="17"/>
                <w:szCs w:val="17"/>
                <w:color w:val="auto"/>
              </w:rPr>
              <w:t>99,034</w:t>
            </w:r>
          </w:p>
        </w:tc>
      </w:tr>
      <w:tr>
        <w:trPr>
          <w:trHeight w:val="220"/>
        </w:trPr>
        <w:tc>
          <w:tcPr>
            <w:tcW w:w="9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Specified residual value</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67,464</w:t>
            </w:r>
          </w:p>
        </w:tc>
      </w:tr>
      <w:tr>
        <w:trPr>
          <w:trHeight w:val="220"/>
        </w:trPr>
        <w:tc>
          <w:tcPr>
            <w:tcW w:w="97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Specified fair value of marketable securities</w:t>
            </w: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w:t>
            </w:r>
          </w:p>
        </w:tc>
      </w:tr>
      <w:tr>
        <w:trPr>
          <w:trHeight w:val="238"/>
        </w:trPr>
        <w:tc>
          <w:tcPr>
            <w:tcW w:w="97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Total (PMC)</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1,092,279</w:t>
            </w:r>
          </w:p>
        </w:tc>
      </w:tr>
      <w:tr>
        <w:trPr>
          <w:trHeight w:val="20"/>
        </w:trPr>
        <w:tc>
          <w:tcPr>
            <w:tcW w:w="97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7" w:right="339" w:bottom="1440" w:gutter="0" w:footer="0" w:header="0"/>
        </w:sectPr>
      </w:pPr>
    </w:p>
    <w:bookmarkStart w:id="41" w:name="page42"/>
    <w:bookmarkEnd w:id="41"/>
    <w:p>
      <w:pPr>
        <w:ind w:left="40"/>
        <w:spacing w:after="0"/>
        <w:rPr>
          <w:sz w:val="20"/>
          <w:szCs w:val="20"/>
          <w:color w:val="auto"/>
        </w:rPr>
      </w:pPr>
      <w:r>
        <w:rPr>
          <w:rFonts w:ascii="Arial" w:cs="Arial" w:eastAsia="Arial" w:hAnsi="Arial"/>
          <w:sz w:val="17"/>
          <w:szCs w:val="17"/>
          <w:b w:val="1"/>
          <w:bCs w:val="1"/>
          <w:color w:val="auto"/>
        </w:rPr>
        <w:t>Note 14 – Other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84455</wp:posOffset>
            </wp:positionV>
            <wp:extent cx="712152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gridSpan w:val="2"/>
          </w:tcPr>
          <w:p>
            <w:pPr>
              <w:ind w:left="80"/>
              <w:spacing w:after="0"/>
              <w:rPr>
                <w:sz w:val="20"/>
                <w:szCs w:val="20"/>
                <w:color w:val="auto"/>
              </w:rPr>
            </w:pPr>
            <w:r>
              <w:rPr>
                <w:rFonts w:ascii="Arial" w:cs="Arial" w:eastAsia="Arial" w:hAnsi="Arial"/>
                <w:sz w:val="17"/>
                <w:szCs w:val="17"/>
                <w:b w:val="1"/>
                <w:bCs w:val="1"/>
                <w:color w:val="auto"/>
              </w:rPr>
              <w:t>June 30, 2022</w:t>
            </w:r>
          </w:p>
        </w:tc>
        <w:tc>
          <w:tcPr>
            <w:tcW w:w="1520" w:type="dxa"/>
            <w:vAlign w:val="bottom"/>
            <w:gridSpan w:val="2"/>
          </w:tcPr>
          <w:p>
            <w:pPr>
              <w:jc w:val="right"/>
              <w:spacing w:after="0"/>
              <w:rPr>
                <w:sz w:val="20"/>
                <w:szCs w:val="20"/>
                <w:color w:val="auto"/>
              </w:rPr>
            </w:pPr>
            <w:r>
              <w:rPr>
                <w:rFonts w:ascii="Arial" w:cs="Arial" w:eastAsia="Arial" w:hAnsi="Arial"/>
                <w:sz w:val="17"/>
                <w:szCs w:val="17"/>
                <w:b w:val="1"/>
                <w:bCs w:val="1"/>
                <w:color w:val="auto"/>
                <w:w w:val="94"/>
              </w:rPr>
              <w:t>December 31, 2021</w:t>
            </w:r>
          </w:p>
        </w:tc>
      </w:tr>
      <w:tr>
        <w:trPr>
          <w:trHeight w:val="213"/>
        </w:trPr>
        <w:tc>
          <w:tcPr>
            <w:tcW w:w="8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Contingent loan repurchase liability</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227,160</w:t>
            </w: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ind w:right="314"/>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403,740</w:t>
            </w:r>
          </w:p>
        </w:tc>
      </w:tr>
      <w:tr>
        <w:trPr>
          <w:trHeight w:val="220"/>
        </w:trPr>
        <w:tc>
          <w:tcPr>
            <w:tcW w:w="8060" w:type="dxa"/>
            <w:vAlign w:val="bottom"/>
          </w:tcPr>
          <w:p>
            <w:pPr>
              <w:ind w:left="20"/>
              <w:spacing w:after="0"/>
              <w:rPr>
                <w:sz w:val="20"/>
                <w:szCs w:val="20"/>
                <w:color w:val="auto"/>
              </w:rPr>
            </w:pPr>
            <w:r>
              <w:rPr>
                <w:rFonts w:ascii="Arial" w:cs="Arial" w:eastAsia="Arial" w:hAnsi="Arial"/>
                <w:sz w:val="17"/>
                <w:szCs w:val="17"/>
                <w:color w:val="auto"/>
              </w:rPr>
              <w:t>Other accrued expenses</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70,870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104,931</w:t>
            </w:r>
          </w:p>
        </w:tc>
      </w:tr>
      <w:tr>
        <w:trPr>
          <w:trHeight w:val="220"/>
        </w:trPr>
        <w:tc>
          <w:tcPr>
            <w:tcW w:w="8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Due to NRZ - Advance collections, servicing fees and other</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63,398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76,590</w:t>
            </w:r>
          </w:p>
        </w:tc>
      </w:tr>
      <w:tr>
        <w:trPr>
          <w:trHeight w:val="220"/>
        </w:trPr>
        <w:tc>
          <w:tcPr>
            <w:tcW w:w="8060" w:type="dxa"/>
            <w:vAlign w:val="bottom"/>
          </w:tcPr>
          <w:p>
            <w:pPr>
              <w:ind w:left="20"/>
              <w:spacing w:after="0"/>
              <w:rPr>
                <w:sz w:val="20"/>
                <w:szCs w:val="20"/>
                <w:color w:val="auto"/>
              </w:rPr>
            </w:pPr>
            <w:r>
              <w:rPr>
                <w:rFonts w:ascii="Arial" w:cs="Arial" w:eastAsia="Arial" w:hAnsi="Arial"/>
                <w:sz w:val="17"/>
                <w:szCs w:val="17"/>
                <w:color w:val="auto"/>
              </w:rPr>
              <w:t>Checks held for escheat</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45,776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44,866</w:t>
            </w:r>
          </w:p>
        </w:tc>
      </w:tr>
      <w:tr>
        <w:trPr>
          <w:trHeight w:val="220"/>
        </w:trPr>
        <w:tc>
          <w:tcPr>
            <w:tcW w:w="8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Liability for indemnification obligations</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44,039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51,243</w:t>
            </w:r>
          </w:p>
        </w:tc>
      </w:tr>
      <w:tr>
        <w:trPr>
          <w:trHeight w:val="220"/>
        </w:trPr>
        <w:tc>
          <w:tcPr>
            <w:tcW w:w="8060" w:type="dxa"/>
            <w:vAlign w:val="bottom"/>
          </w:tcPr>
          <w:p>
            <w:pPr>
              <w:ind w:left="20"/>
              <w:spacing w:after="0"/>
              <w:rPr>
                <w:sz w:val="20"/>
                <w:szCs w:val="20"/>
                <w:color w:val="auto"/>
              </w:rPr>
            </w:pPr>
            <w:r>
              <w:rPr>
                <w:rFonts w:ascii="Arial" w:cs="Arial" w:eastAsia="Arial" w:hAnsi="Arial"/>
                <w:sz w:val="17"/>
                <w:szCs w:val="17"/>
                <w:color w:val="auto"/>
              </w:rPr>
              <w:t>Accrued legal fees and settlements</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43,649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43,990</w:t>
            </w:r>
          </w:p>
        </w:tc>
      </w:tr>
      <w:tr>
        <w:trPr>
          <w:trHeight w:val="220"/>
        </w:trPr>
        <w:tc>
          <w:tcPr>
            <w:tcW w:w="8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Servicing-related obligations</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42,923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32,366</w:t>
            </w:r>
          </w:p>
        </w:tc>
      </w:tr>
      <w:tr>
        <w:trPr>
          <w:trHeight w:val="220"/>
        </w:trPr>
        <w:tc>
          <w:tcPr>
            <w:tcW w:w="8060" w:type="dxa"/>
            <w:vAlign w:val="bottom"/>
          </w:tcPr>
          <w:p>
            <w:pPr>
              <w:ind w:left="20"/>
              <w:spacing w:after="0"/>
              <w:rPr>
                <w:sz w:val="20"/>
                <w:szCs w:val="20"/>
                <w:color w:val="auto"/>
              </w:rPr>
            </w:pPr>
            <w:r>
              <w:rPr>
                <w:rFonts w:ascii="Arial" w:cs="Arial" w:eastAsia="Arial" w:hAnsi="Arial"/>
                <w:sz w:val="17"/>
                <w:szCs w:val="17"/>
                <w:color w:val="auto"/>
              </w:rPr>
              <w:t>Derivative related payables</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21,552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3,714</w:t>
            </w:r>
          </w:p>
        </w:tc>
      </w:tr>
      <w:tr>
        <w:trPr>
          <w:trHeight w:val="220"/>
        </w:trPr>
        <w:tc>
          <w:tcPr>
            <w:tcW w:w="8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Lease liability</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19,150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16,842</w:t>
            </w:r>
          </w:p>
        </w:tc>
      </w:tr>
      <w:tr>
        <w:trPr>
          <w:trHeight w:val="220"/>
        </w:trPr>
        <w:tc>
          <w:tcPr>
            <w:tcW w:w="8060" w:type="dxa"/>
            <w:vAlign w:val="bottom"/>
          </w:tcPr>
          <w:p>
            <w:pPr>
              <w:ind w:left="20"/>
              <w:spacing w:after="0"/>
              <w:rPr>
                <w:sz w:val="20"/>
                <w:szCs w:val="20"/>
                <w:color w:val="auto"/>
              </w:rPr>
            </w:pPr>
            <w:r>
              <w:rPr>
                <w:rFonts w:ascii="Arial" w:cs="Arial" w:eastAsia="Arial" w:hAnsi="Arial"/>
                <w:sz w:val="17"/>
                <w:szCs w:val="17"/>
                <w:color w:val="auto"/>
              </w:rPr>
              <w:t>Liability for uncertain tax positions</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15,006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14,730</w:t>
            </w:r>
          </w:p>
        </w:tc>
      </w:tr>
      <w:tr>
        <w:trPr>
          <w:trHeight w:val="220"/>
        </w:trPr>
        <w:tc>
          <w:tcPr>
            <w:tcW w:w="8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Accrued interest payable</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13,509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11,998</w:t>
            </w:r>
          </w:p>
        </w:tc>
      </w:tr>
      <w:tr>
        <w:trPr>
          <w:trHeight w:val="220"/>
        </w:trPr>
        <w:tc>
          <w:tcPr>
            <w:tcW w:w="8060" w:type="dxa"/>
            <w:vAlign w:val="bottom"/>
          </w:tcPr>
          <w:p>
            <w:pPr>
              <w:ind w:left="20"/>
              <w:spacing w:after="0"/>
              <w:rPr>
                <w:sz w:val="20"/>
                <w:szCs w:val="20"/>
                <w:color w:val="auto"/>
              </w:rPr>
            </w:pPr>
            <w:r>
              <w:rPr>
                <w:rFonts w:ascii="Arial" w:cs="Arial" w:eastAsia="Arial" w:hAnsi="Arial"/>
                <w:sz w:val="17"/>
                <w:szCs w:val="17"/>
                <w:color w:val="auto"/>
              </w:rPr>
              <w:t>MSR purchase price holdback</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12,809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32,620</w:t>
            </w:r>
          </w:p>
        </w:tc>
      </w:tr>
      <w:tr>
        <w:trPr>
          <w:trHeight w:val="220"/>
        </w:trPr>
        <w:tc>
          <w:tcPr>
            <w:tcW w:w="8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Derivatives, at fair value</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9,646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3,080</w:t>
            </w:r>
          </w:p>
        </w:tc>
      </w:tr>
      <w:tr>
        <w:trPr>
          <w:trHeight w:val="220"/>
        </w:trPr>
        <w:tc>
          <w:tcPr>
            <w:tcW w:w="8060" w:type="dxa"/>
            <w:vAlign w:val="bottom"/>
          </w:tcPr>
          <w:p>
            <w:pPr>
              <w:ind w:left="20"/>
              <w:spacing w:after="0"/>
              <w:rPr>
                <w:sz w:val="20"/>
                <w:szCs w:val="20"/>
                <w:color w:val="auto"/>
              </w:rPr>
            </w:pPr>
            <w:r>
              <w:rPr>
                <w:rFonts w:ascii="Arial" w:cs="Arial" w:eastAsia="Arial" w:hAnsi="Arial"/>
                <w:sz w:val="17"/>
                <w:szCs w:val="17"/>
                <w:color w:val="auto"/>
              </w:rPr>
              <w:t>Liability for unfunded India gratuity plan</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5,994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6,263</w:t>
            </w:r>
          </w:p>
        </w:tc>
      </w:tr>
      <w:tr>
        <w:trPr>
          <w:trHeight w:val="220"/>
        </w:trPr>
        <w:tc>
          <w:tcPr>
            <w:tcW w:w="8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Due to MAV</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5,322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2,134</w:t>
            </w:r>
          </w:p>
        </w:tc>
      </w:tr>
      <w:tr>
        <w:trPr>
          <w:trHeight w:val="220"/>
        </w:trPr>
        <w:tc>
          <w:tcPr>
            <w:tcW w:w="8060" w:type="dxa"/>
            <w:vAlign w:val="bottom"/>
          </w:tcPr>
          <w:p>
            <w:pPr>
              <w:ind w:left="20"/>
              <w:spacing w:after="0"/>
              <w:rPr>
                <w:sz w:val="20"/>
                <w:szCs w:val="20"/>
                <w:color w:val="auto"/>
              </w:rPr>
            </w:pPr>
            <w:r>
              <w:rPr>
                <w:rFonts w:ascii="Arial" w:cs="Arial" w:eastAsia="Arial" w:hAnsi="Arial"/>
                <w:sz w:val="17"/>
                <w:szCs w:val="17"/>
                <w:color w:val="auto"/>
              </w:rPr>
              <w:t>Liability for unfunded pension obligation</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3,461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4,183</w:t>
            </w:r>
          </w:p>
        </w:tc>
      </w:tr>
      <w:tr>
        <w:trPr>
          <w:trHeight w:val="220"/>
        </w:trPr>
        <w:tc>
          <w:tcPr>
            <w:tcW w:w="8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w:t>
            </w: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11,784</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14,224</w:t>
            </w:r>
          </w:p>
        </w:tc>
      </w:tr>
      <w:tr>
        <w:trPr>
          <w:trHeight w:val="213"/>
        </w:trPr>
        <w:tc>
          <w:tcPr>
            <w:tcW w:w="806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656,048</w:t>
            </w:r>
          </w:p>
        </w:tc>
        <w:tc>
          <w:tcPr>
            <w:tcW w:w="100" w:type="dxa"/>
            <w:vAlign w:val="bottom"/>
          </w:tcPr>
          <w:p>
            <w:pPr>
              <w:spacing w:after="0"/>
              <w:rPr>
                <w:sz w:val="18"/>
                <w:szCs w:val="18"/>
                <w:color w:val="auto"/>
              </w:rPr>
            </w:pPr>
          </w:p>
        </w:tc>
        <w:tc>
          <w:tcPr>
            <w:tcW w:w="50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867,514</w:t>
            </w:r>
          </w:p>
        </w:tc>
      </w:tr>
      <w:tr>
        <w:trPr>
          <w:trHeight w:val="20"/>
        </w:trPr>
        <w:tc>
          <w:tcPr>
            <w:tcW w:w="8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1"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Note 15 –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84455</wp:posOffset>
            </wp:positionV>
            <wp:extent cx="693293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32930" cy="8255"/>
                    </a:xfrm>
                    <a:prstGeom prst="rect">
                      <a:avLst/>
                    </a:prstGeom>
                    <a:noFill/>
                  </pic:spPr>
                </pic:pic>
              </a:graphicData>
            </a:graphic>
          </wp:anchor>
        </w:drawing>
      </w:r>
    </w:p>
    <w:p>
      <w:pPr>
        <w:spacing w:after="0" w:line="282" w:lineRule="exact"/>
        <w:rPr>
          <w:sz w:val="20"/>
          <w:szCs w:val="20"/>
          <w:color w:val="auto"/>
        </w:rPr>
      </w:pPr>
    </w:p>
    <w:p>
      <w:pPr>
        <w:ind w:right="40"/>
        <w:spacing w:after="0" w:line="264" w:lineRule="auto"/>
        <w:rPr>
          <w:sz w:val="20"/>
          <w:szCs w:val="20"/>
          <w:color w:val="auto"/>
        </w:rPr>
      </w:pPr>
      <w:r>
        <w:rPr>
          <w:rFonts w:ascii="Arial" w:cs="Arial" w:eastAsia="Arial" w:hAnsi="Arial"/>
          <w:sz w:val="15"/>
          <w:szCs w:val="15"/>
          <w:color w:val="auto"/>
        </w:rPr>
        <w:t>On May 20, 2022, Ocwen’s Board of Directors authorized a share repurchase program for an aggregate amount of up to $50.0 million of Ocwen’s issued and outstanding shares of common stock. The repurchase program is intended to qualify for the affirmative defense provided by Rule 10b5-1 under the Securities Exchange Act of 1934, as amended. Through June 30, 2022, we completed the repurchase of 84,087 shares of our common stock in the open market under this program at prevailing market prices for a total purchase price of $2.3 million at an average price per share of $26.87. The repurchased shares were retired as of June 30, 2022. Unless Ocwen amends the share repurchase program or repurchases the full $50.0 million amount by an earlier date, the share repurchase program will continue through November 20, 2022. No assurances can be given as to the amount of shares, if any, that Ocwen may repurchase in any given period.</w:t>
      </w:r>
    </w:p>
    <w:p>
      <w:pPr>
        <w:spacing w:after="0" w:line="354"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Note 16 – Derivative Financial Instruments and Hedging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84455</wp:posOffset>
            </wp:positionV>
            <wp:extent cx="712152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07" w:lineRule="exact"/>
        <w:rPr>
          <w:sz w:val="20"/>
          <w:szCs w:val="20"/>
          <w:color w:val="auto"/>
        </w:rPr>
      </w:pPr>
    </w:p>
    <w:p>
      <w:pPr>
        <w:ind w:right="60"/>
        <w:spacing w:after="0" w:line="353" w:lineRule="auto"/>
        <w:rPr>
          <w:sz w:val="20"/>
          <w:szCs w:val="20"/>
          <w:color w:val="auto"/>
        </w:rPr>
      </w:pPr>
      <w:r>
        <w:rPr>
          <w:rFonts w:ascii="Arial" w:cs="Arial" w:eastAsia="Arial" w:hAnsi="Arial"/>
          <w:sz w:val="15"/>
          <w:szCs w:val="15"/>
          <w:color w:val="auto"/>
        </w:rPr>
        <w:t>The table below summarizes the fair value, notional and maturity of our derivative instruments. The notional amount of our contracts does not represent our exposure to credit loss. None of the derivatives were designated as a hedge for accounting purposes as of or during the six months ended June 30, 2022 and 2021.</w:t>
      </w: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1349" w:right="37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33"/>
        </w:trPr>
        <w:tc>
          <w:tcPr>
            <w:tcW w:w="3240" w:type="dxa"/>
            <w:vAlign w:val="bottom"/>
          </w:tcPr>
          <w:p>
            <w:pPr>
              <w:spacing w:after="0"/>
              <w:rPr>
                <w:sz w:val="20"/>
                <w:szCs w:val="20"/>
                <w:color w:val="auto"/>
              </w:rPr>
            </w:pPr>
          </w:p>
        </w:tc>
        <w:tc>
          <w:tcPr>
            <w:tcW w:w="132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7"/>
                <w:szCs w:val="17"/>
                <w:b w:val="1"/>
                <w:bCs w:val="1"/>
                <w:color w:val="auto"/>
                <w:w w:val="92"/>
              </w:rPr>
              <w:t>June 30, 2022</w:t>
            </w:r>
          </w:p>
        </w:tc>
        <w:tc>
          <w:tcPr>
            <w:tcW w:w="22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Borders>
              <w:top w:val="single" w:sz="8" w:color="auto"/>
              <w:bottom w:val="single" w:sz="8" w:color="auto"/>
            </w:tcBorders>
          </w:tcPr>
          <w:p>
            <w:pPr>
              <w:spacing w:after="0"/>
              <w:rPr>
                <w:sz w:val="20"/>
                <w:szCs w:val="20"/>
                <w:color w:val="auto"/>
              </w:rPr>
            </w:pPr>
          </w:p>
        </w:tc>
        <w:tc>
          <w:tcPr>
            <w:tcW w:w="1620" w:type="dxa"/>
            <w:vAlign w:val="bottom"/>
            <w:tcBorders>
              <w:top w:val="single" w:sz="8" w:color="auto"/>
              <w:bottom w:val="single" w:sz="8" w:color="auto"/>
            </w:tcBorders>
            <w:gridSpan w:val="4"/>
          </w:tcPr>
          <w:p>
            <w:pPr>
              <w:jc w:val="right"/>
              <w:ind w:right="74"/>
              <w:spacing w:after="0"/>
              <w:rPr>
                <w:sz w:val="20"/>
                <w:szCs w:val="20"/>
                <w:color w:val="auto"/>
              </w:rPr>
            </w:pPr>
            <w:r>
              <w:rPr>
                <w:rFonts w:ascii="Arial" w:cs="Arial" w:eastAsia="Arial" w:hAnsi="Arial"/>
                <w:sz w:val="17"/>
                <w:szCs w:val="17"/>
                <w:b w:val="1"/>
                <w:bCs w:val="1"/>
                <w:color w:val="auto"/>
                <w:w w:val="94"/>
              </w:rPr>
              <w:t>December 31, 2021</w:t>
            </w:r>
          </w:p>
        </w:tc>
        <w:tc>
          <w:tcPr>
            <w:tcW w:w="1120" w:type="dxa"/>
            <w:vAlign w:val="bottom"/>
            <w:tcBorders>
              <w:top w:val="single" w:sz="8" w:color="auto"/>
              <w:bottom w:val="single" w:sz="8" w:color="auto"/>
            </w:tcBorders>
          </w:tcPr>
          <w:p>
            <w:pPr>
              <w:spacing w:after="0"/>
              <w:rPr>
                <w:sz w:val="20"/>
                <w:szCs w:val="20"/>
                <w:color w:val="auto"/>
              </w:rPr>
            </w:pPr>
          </w:p>
        </w:tc>
      </w:tr>
      <w:tr>
        <w:trPr>
          <w:trHeight w:val="213"/>
        </w:trPr>
        <w:tc>
          <w:tcPr>
            <w:tcW w:w="324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ind w:left="260"/>
              <w:spacing w:after="0"/>
              <w:rPr>
                <w:sz w:val="20"/>
                <w:szCs w:val="20"/>
                <w:color w:val="auto"/>
              </w:rPr>
            </w:pPr>
            <w:r>
              <w:rPr>
                <w:rFonts w:ascii="Arial" w:cs="Arial" w:eastAsia="Arial" w:hAnsi="Arial"/>
                <w:sz w:val="17"/>
                <w:szCs w:val="17"/>
                <w:b w:val="1"/>
                <w:bCs w:val="1"/>
                <w:color w:val="auto"/>
              </w:rPr>
              <w:t>Maturities</w:t>
            </w: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b w:val="1"/>
                <w:bCs w:val="1"/>
                <w:color w:val="auto"/>
              </w:rPr>
              <w:t>Notional</w:t>
            </w: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b w:val="1"/>
                <w:bCs w:val="1"/>
                <w:color w:val="auto"/>
              </w:rPr>
              <w:t>Fair value</w:t>
            </w:r>
          </w:p>
        </w:tc>
        <w:tc>
          <w:tcPr>
            <w:tcW w:w="12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ind w:left="260"/>
              <w:spacing w:after="0"/>
              <w:rPr>
                <w:sz w:val="20"/>
                <w:szCs w:val="20"/>
                <w:color w:val="auto"/>
              </w:rPr>
            </w:pPr>
            <w:r>
              <w:rPr>
                <w:rFonts w:ascii="Arial" w:cs="Arial" w:eastAsia="Arial" w:hAnsi="Arial"/>
                <w:sz w:val="17"/>
                <w:szCs w:val="17"/>
                <w:b w:val="1"/>
                <w:bCs w:val="1"/>
                <w:color w:val="auto"/>
              </w:rPr>
              <w:t>Maturities</w:t>
            </w: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b w:val="1"/>
                <w:bCs w:val="1"/>
                <w:color w:val="auto"/>
              </w:rPr>
              <w:t>Notional</w:t>
            </w: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b w:val="1"/>
                <w:bCs w:val="1"/>
                <w:color w:val="auto"/>
              </w:rPr>
              <w:t>Fair value</w:t>
            </w:r>
          </w:p>
        </w:tc>
      </w:tr>
      <w:tr>
        <w:trPr>
          <w:trHeight w:val="200"/>
        </w:trPr>
        <w:tc>
          <w:tcPr>
            <w:tcW w:w="32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Derivative Assets (Other assets)</w:t>
            </w: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20"/>
        </w:trPr>
        <w:tc>
          <w:tcPr>
            <w:tcW w:w="3240" w:type="dxa"/>
            <w:vAlign w:val="bottom"/>
          </w:tcPr>
          <w:p>
            <w:pPr>
              <w:ind w:left="20"/>
              <w:spacing w:after="0"/>
              <w:rPr>
                <w:sz w:val="20"/>
                <w:szCs w:val="20"/>
                <w:color w:val="auto"/>
              </w:rPr>
            </w:pPr>
            <w:r>
              <w:rPr>
                <w:rFonts w:ascii="Arial" w:cs="Arial" w:eastAsia="Arial" w:hAnsi="Arial"/>
                <w:sz w:val="17"/>
                <w:szCs w:val="17"/>
                <w:color w:val="auto"/>
              </w:rPr>
              <w:t>Forward sales of reverse loans</w:t>
            </w:r>
          </w:p>
        </w:tc>
        <w:tc>
          <w:tcPr>
            <w:tcW w:w="1320" w:type="dxa"/>
            <w:vAlign w:val="bottom"/>
          </w:tcPr>
          <w:p>
            <w:pPr>
              <w:ind w:left="20"/>
              <w:spacing w:after="0"/>
              <w:rPr>
                <w:sz w:val="20"/>
                <w:szCs w:val="20"/>
                <w:color w:val="auto"/>
              </w:rPr>
            </w:pPr>
            <w:r>
              <w:rPr>
                <w:rFonts w:ascii="Arial" w:cs="Arial" w:eastAsia="Arial" w:hAnsi="Arial"/>
                <w:sz w:val="17"/>
                <w:szCs w:val="17"/>
                <w:color w:val="auto"/>
              </w:rPr>
              <w:t>July - Aug. 2022</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93,000</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565</w:t>
            </w:r>
          </w:p>
        </w:tc>
        <w:tc>
          <w:tcPr>
            <w:tcW w:w="12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Arial" w:cs="Arial" w:eastAsia="Arial" w:hAnsi="Arial"/>
                <w:sz w:val="17"/>
                <w:szCs w:val="17"/>
                <w:color w:val="auto"/>
              </w:rPr>
              <w:t>Feb. 2022</w:t>
            </w:r>
          </w:p>
        </w:tc>
        <w:tc>
          <w:tcPr>
            <w:tcW w:w="3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175,000</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364</w:t>
            </w:r>
          </w:p>
        </w:tc>
      </w:tr>
      <w:tr>
        <w:trPr>
          <w:trHeight w:val="220"/>
        </w:trPr>
        <w:tc>
          <w:tcPr>
            <w:tcW w:w="3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Forward loans IRLCs</w:t>
            </w:r>
          </w:p>
        </w:tc>
        <w:tc>
          <w:tcPr>
            <w:tcW w:w="1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Jul. - Oct. 2022</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526,212</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4,620</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7"/>
                <w:szCs w:val="17"/>
                <w:color w:val="auto"/>
                <w:w w:val="97"/>
              </w:rPr>
              <w:t>Jan. - Apr. 2022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1,021,978</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16,074</w:t>
            </w:r>
          </w:p>
        </w:tc>
      </w:tr>
      <w:tr>
        <w:trPr>
          <w:trHeight w:val="220"/>
        </w:trPr>
        <w:tc>
          <w:tcPr>
            <w:tcW w:w="3240" w:type="dxa"/>
            <w:vAlign w:val="bottom"/>
          </w:tcPr>
          <w:p>
            <w:pPr>
              <w:ind w:left="20"/>
              <w:spacing w:after="0"/>
              <w:rPr>
                <w:sz w:val="20"/>
                <w:szCs w:val="20"/>
                <w:color w:val="auto"/>
              </w:rPr>
            </w:pPr>
            <w:r>
              <w:rPr>
                <w:rFonts w:ascii="Arial" w:cs="Arial" w:eastAsia="Arial" w:hAnsi="Arial"/>
                <w:sz w:val="17"/>
                <w:szCs w:val="17"/>
                <w:color w:val="auto"/>
              </w:rPr>
              <w:t>Reverse loans IRLCs</w:t>
            </w:r>
          </w:p>
        </w:tc>
        <w:tc>
          <w:tcPr>
            <w:tcW w:w="1320" w:type="dxa"/>
            <w:vAlign w:val="bottom"/>
          </w:tcPr>
          <w:p>
            <w:pPr>
              <w:ind w:left="20"/>
              <w:spacing w:after="0"/>
              <w:rPr>
                <w:sz w:val="20"/>
                <w:szCs w:val="20"/>
                <w:color w:val="auto"/>
              </w:rPr>
            </w:pPr>
            <w:r>
              <w:rPr>
                <w:rFonts w:ascii="Arial" w:cs="Arial" w:eastAsia="Arial" w:hAnsi="Arial"/>
                <w:sz w:val="17"/>
                <w:szCs w:val="17"/>
                <w:color w:val="auto"/>
              </w:rPr>
              <w:t>July 2022</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31,202</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1,126</w:t>
            </w:r>
          </w:p>
        </w:tc>
        <w:tc>
          <w:tcPr>
            <w:tcW w:w="12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Arial" w:cs="Arial" w:eastAsia="Arial" w:hAnsi="Arial"/>
                <w:sz w:val="17"/>
                <w:szCs w:val="17"/>
                <w:color w:val="auto"/>
              </w:rPr>
              <w:t>Jan. 2022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63,327</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2,011</w:t>
            </w:r>
          </w:p>
        </w:tc>
      </w:tr>
      <w:tr>
        <w:trPr>
          <w:trHeight w:val="220"/>
        </w:trPr>
        <w:tc>
          <w:tcPr>
            <w:tcW w:w="3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TBA forward MBS trades</w:t>
            </w:r>
          </w:p>
        </w:tc>
        <w:tc>
          <w:tcPr>
            <w:tcW w:w="1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July - Aug. 2022</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356,000</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3,566</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7"/>
                <w:szCs w:val="17"/>
                <w:color w:val="auto"/>
                <w:w w:val="95"/>
              </w:rPr>
              <w:t>Jan. - Mar. 2022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587,000</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946</w:t>
            </w:r>
          </w:p>
        </w:tc>
      </w:tr>
      <w:tr>
        <w:trPr>
          <w:trHeight w:val="220"/>
        </w:trPr>
        <w:tc>
          <w:tcPr>
            <w:tcW w:w="3240" w:type="dxa"/>
            <w:vAlign w:val="bottom"/>
          </w:tcPr>
          <w:p>
            <w:pPr>
              <w:ind w:left="20"/>
              <w:spacing w:after="0"/>
              <w:rPr>
                <w:sz w:val="20"/>
                <w:szCs w:val="20"/>
                <w:color w:val="auto"/>
              </w:rPr>
            </w:pPr>
            <w:r>
              <w:rPr>
                <w:rFonts w:ascii="Arial" w:cs="Arial" w:eastAsia="Arial" w:hAnsi="Arial"/>
                <w:sz w:val="17"/>
                <w:szCs w:val="17"/>
                <w:color w:val="auto"/>
              </w:rPr>
              <w:t>Interest rate swap futures</w:t>
            </w:r>
          </w:p>
        </w:tc>
        <w:tc>
          <w:tcPr>
            <w:tcW w:w="1320" w:type="dxa"/>
            <w:vAlign w:val="bottom"/>
          </w:tcPr>
          <w:p>
            <w:pPr>
              <w:ind w:left="20"/>
              <w:spacing w:after="0"/>
              <w:rPr>
                <w:sz w:val="20"/>
                <w:szCs w:val="20"/>
                <w:color w:val="auto"/>
              </w:rPr>
            </w:pPr>
            <w:r>
              <w:rPr>
                <w:rFonts w:ascii="Arial" w:cs="Arial" w:eastAsia="Arial" w:hAnsi="Arial"/>
                <w:sz w:val="17"/>
                <w:szCs w:val="17"/>
                <w:color w:val="auto"/>
              </w:rPr>
              <w:t>Sep. 2022</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250,000</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742</w:t>
            </w:r>
          </w:p>
        </w:tc>
        <w:tc>
          <w:tcPr>
            <w:tcW w:w="12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Arial" w:cs="Arial" w:eastAsia="Arial" w:hAnsi="Arial"/>
                <w:sz w:val="17"/>
                <w:szCs w:val="17"/>
                <w:color w:val="auto"/>
              </w:rPr>
              <w:t>Mar. 2022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792,500</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1,734</w:t>
            </w:r>
          </w:p>
        </w:tc>
      </w:tr>
      <w:tr>
        <w:trPr>
          <w:trHeight w:val="220"/>
        </w:trPr>
        <w:tc>
          <w:tcPr>
            <w:tcW w:w="3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rate option contracts</w:t>
            </w:r>
          </w:p>
        </w:tc>
        <w:tc>
          <w:tcPr>
            <w:tcW w:w="1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Aug. 2022</w:t>
            </w:r>
          </w:p>
        </w:tc>
        <w:tc>
          <w:tcPr>
            <w:tcW w:w="1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525,000</w:t>
            </w: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3,069</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7"/>
                <w:szCs w:val="17"/>
                <w:color w:val="auto"/>
              </w:rPr>
              <w:t>Jan. 2022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125,000</w:t>
            </w: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547</w:t>
            </w:r>
          </w:p>
        </w:tc>
      </w:tr>
      <w:tr>
        <w:trPr>
          <w:trHeight w:val="213"/>
        </w:trPr>
        <w:tc>
          <w:tcPr>
            <w:tcW w:w="3240" w:type="dxa"/>
            <w:vAlign w:val="bottom"/>
          </w:tcPr>
          <w:p>
            <w:pPr>
              <w:ind w:left="20"/>
              <w:spacing w:after="0"/>
              <w:rPr>
                <w:sz w:val="20"/>
                <w:szCs w:val="20"/>
                <w:color w:val="auto"/>
              </w:rPr>
            </w:pPr>
            <w:r>
              <w:rPr>
                <w:rFonts w:ascii="Arial" w:cs="Arial" w:eastAsia="Arial" w:hAnsi="Arial"/>
                <w:sz w:val="17"/>
                <w:szCs w:val="17"/>
                <w:color w:val="auto"/>
              </w:rPr>
              <w:t>Total</w:t>
            </w:r>
          </w:p>
        </w:tc>
        <w:tc>
          <w:tcPr>
            <w:tcW w:w="13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1,781,414</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13,688</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2,764,805</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21,675</w:t>
            </w:r>
          </w:p>
        </w:tc>
      </w:tr>
      <w:tr>
        <w:trPr>
          <w:trHeight w:val="20"/>
        </w:trPr>
        <w:tc>
          <w:tcPr>
            <w:tcW w:w="324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3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0"/>
        </w:trPr>
        <w:tc>
          <w:tcPr>
            <w:tcW w:w="3240" w:type="dxa"/>
            <w:vAlign w:val="bottom"/>
          </w:tcPr>
          <w:p>
            <w:pPr>
              <w:ind w:left="20"/>
              <w:spacing w:after="0"/>
              <w:rPr>
                <w:sz w:val="20"/>
                <w:szCs w:val="20"/>
                <w:color w:val="auto"/>
              </w:rPr>
            </w:pPr>
            <w:r>
              <w:rPr>
                <w:rFonts w:ascii="Arial" w:cs="Arial" w:eastAsia="Arial" w:hAnsi="Arial"/>
                <w:sz w:val="17"/>
                <w:szCs w:val="17"/>
                <w:b w:val="1"/>
                <w:bCs w:val="1"/>
                <w:color w:val="auto"/>
              </w:rPr>
              <w:t>Derivative Liabilities (Other liabilities)</w:t>
            </w: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0"/>
        </w:trPr>
        <w:tc>
          <w:tcPr>
            <w:tcW w:w="3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TBA forward MBS trades</w:t>
            </w:r>
          </w:p>
        </w:tc>
        <w:tc>
          <w:tcPr>
            <w:tcW w:w="1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July - Sep. 2022</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827,000</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(7,623)</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7"/>
                <w:szCs w:val="17"/>
                <w:color w:val="auto"/>
                <w:w w:val="95"/>
              </w:rPr>
              <w:t>Jan. - Mar. 2022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1,195,000</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(1,185)</w:t>
            </w:r>
          </w:p>
        </w:tc>
      </w:tr>
      <w:tr>
        <w:trPr>
          <w:trHeight w:val="220"/>
        </w:trPr>
        <w:tc>
          <w:tcPr>
            <w:tcW w:w="3240" w:type="dxa"/>
            <w:vAlign w:val="bottom"/>
          </w:tcPr>
          <w:p>
            <w:pPr>
              <w:ind w:left="20"/>
              <w:spacing w:after="0"/>
              <w:rPr>
                <w:sz w:val="20"/>
                <w:szCs w:val="20"/>
                <w:color w:val="auto"/>
              </w:rPr>
            </w:pPr>
            <w:r>
              <w:rPr>
                <w:rFonts w:ascii="Arial" w:cs="Arial" w:eastAsia="Arial" w:hAnsi="Arial"/>
                <w:sz w:val="17"/>
                <w:szCs w:val="17"/>
                <w:color w:val="auto"/>
              </w:rPr>
              <w:t>Interest rate option contracts</w:t>
            </w:r>
          </w:p>
        </w:tc>
        <w:tc>
          <w:tcPr>
            <w:tcW w:w="1320" w:type="dxa"/>
            <w:vAlign w:val="bottom"/>
          </w:tcPr>
          <w:p>
            <w:pPr>
              <w:ind w:left="20"/>
              <w:spacing w:after="0"/>
              <w:rPr>
                <w:sz w:val="20"/>
                <w:szCs w:val="20"/>
                <w:color w:val="auto"/>
              </w:rPr>
            </w:pPr>
            <w:r>
              <w:rPr>
                <w:rFonts w:ascii="Arial" w:cs="Arial" w:eastAsia="Arial" w:hAnsi="Arial"/>
                <w:sz w:val="17"/>
                <w:szCs w:val="17"/>
                <w:color w:val="auto"/>
              </w:rPr>
              <w:t>July 2022</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725,000</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(1,890)</w:t>
            </w:r>
          </w:p>
        </w:tc>
        <w:tc>
          <w:tcPr>
            <w:tcW w:w="12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Arial" w:cs="Arial" w:eastAsia="Arial" w:hAnsi="Arial"/>
                <w:sz w:val="17"/>
                <w:szCs w:val="17"/>
                <w:color w:val="auto"/>
              </w:rPr>
              <w:t>Feb. 2022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450,000</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(824)</w:t>
            </w:r>
          </w:p>
        </w:tc>
      </w:tr>
      <w:tr>
        <w:trPr>
          <w:trHeight w:val="220"/>
        </w:trPr>
        <w:tc>
          <w:tcPr>
            <w:tcW w:w="3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w:t>
            </w:r>
          </w:p>
        </w:tc>
        <w:tc>
          <w:tcPr>
            <w:tcW w:w="1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N/A</w:t>
            </w:r>
          </w:p>
        </w:tc>
        <w:tc>
          <w:tcPr>
            <w:tcW w:w="1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12,087</w:t>
            </w: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(133)</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7"/>
                <w:szCs w:val="17"/>
                <w:color w:val="auto"/>
              </w:rPr>
              <w:t>N/A</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(1,070)</w:t>
            </w:r>
          </w:p>
        </w:tc>
      </w:tr>
      <w:tr>
        <w:trPr>
          <w:trHeight w:val="213"/>
        </w:trPr>
        <w:tc>
          <w:tcPr>
            <w:tcW w:w="3240" w:type="dxa"/>
            <w:vAlign w:val="bottom"/>
          </w:tcPr>
          <w:p>
            <w:pPr>
              <w:ind w:left="20"/>
              <w:spacing w:after="0"/>
              <w:rPr>
                <w:sz w:val="20"/>
                <w:szCs w:val="20"/>
                <w:color w:val="auto"/>
              </w:rPr>
            </w:pPr>
            <w:r>
              <w:rPr>
                <w:rFonts w:ascii="Arial" w:cs="Arial" w:eastAsia="Arial" w:hAnsi="Arial"/>
                <w:sz w:val="17"/>
                <w:szCs w:val="17"/>
                <w:color w:val="auto"/>
              </w:rPr>
              <w:t>Total</w:t>
            </w:r>
          </w:p>
        </w:tc>
        <w:tc>
          <w:tcPr>
            <w:tcW w:w="13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1,564,087</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(9,646)</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1,645,000</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(3,080)</w:t>
            </w:r>
          </w:p>
        </w:tc>
      </w:tr>
      <w:tr>
        <w:trPr>
          <w:trHeight w:val="20"/>
        </w:trPr>
        <w:tc>
          <w:tcPr>
            <w:tcW w:w="3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3" w:name="page44"/>
    <w:bookmarkEnd w:id="43"/>
    <w:p>
      <w:pPr>
        <w:spacing w:after="0"/>
        <w:rPr>
          <w:sz w:val="20"/>
          <w:szCs w:val="20"/>
          <w:color w:val="auto"/>
        </w:rPr>
      </w:pPr>
      <w:r>
        <w:rPr>
          <w:rFonts w:ascii="Arial" w:cs="Arial" w:eastAsia="Arial" w:hAnsi="Arial"/>
          <w:sz w:val="17"/>
          <w:szCs w:val="17"/>
          <w:color w:val="auto"/>
        </w:rPr>
        <w:t>The table below summarizes the net gains and losses of our derivative instruments recognized in our consolidated statement of operations.</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960" w:type="dxa"/>
            <w:vAlign w:val="bottom"/>
          </w:tcPr>
          <w:p>
            <w:pPr>
              <w:spacing w:after="0"/>
              <w:rPr>
                <w:sz w:val="19"/>
                <w:szCs w:val="19"/>
                <w:color w:val="auto"/>
              </w:rPr>
            </w:pPr>
          </w:p>
        </w:tc>
        <w:tc>
          <w:tcPr>
            <w:tcW w:w="2460" w:type="dxa"/>
            <w:vAlign w:val="bottom"/>
            <w:gridSpan w:val="6"/>
          </w:tcPr>
          <w:p>
            <w:pPr>
              <w:ind w:left="60"/>
              <w:spacing w:after="0"/>
              <w:rPr>
                <w:sz w:val="20"/>
                <w:szCs w:val="20"/>
                <w:color w:val="auto"/>
              </w:rPr>
            </w:pPr>
            <w:r>
              <w:rPr>
                <w:rFonts w:ascii="Arial" w:cs="Arial" w:eastAsia="Arial" w:hAnsi="Arial"/>
                <w:sz w:val="17"/>
                <w:szCs w:val="17"/>
                <w:b w:val="1"/>
                <w:bCs w:val="1"/>
                <w:color w:val="auto"/>
                <w:w w:val="98"/>
              </w:rPr>
              <w:t>Three Months Ended June 30,</w:t>
            </w:r>
          </w:p>
        </w:tc>
        <w:tc>
          <w:tcPr>
            <w:tcW w:w="140" w:type="dxa"/>
            <w:vAlign w:val="bottom"/>
          </w:tcPr>
          <w:p>
            <w:pPr>
              <w:spacing w:after="0"/>
              <w:rPr>
                <w:sz w:val="19"/>
                <w:szCs w:val="19"/>
                <w:color w:val="auto"/>
              </w:rPr>
            </w:pPr>
          </w:p>
        </w:tc>
        <w:tc>
          <w:tcPr>
            <w:tcW w:w="2220" w:type="dxa"/>
            <w:vAlign w:val="bottom"/>
            <w:gridSpan w:val="4"/>
          </w:tcPr>
          <w:p>
            <w:pPr>
              <w:jc w:val="right"/>
              <w:ind w:right="74"/>
              <w:spacing w:after="0"/>
              <w:rPr>
                <w:sz w:val="20"/>
                <w:szCs w:val="20"/>
                <w:color w:val="auto"/>
              </w:rPr>
            </w:pPr>
            <w:r>
              <w:rPr>
                <w:rFonts w:ascii="Arial" w:cs="Arial" w:eastAsia="Arial" w:hAnsi="Arial"/>
                <w:sz w:val="17"/>
                <w:szCs w:val="17"/>
                <w:b w:val="1"/>
                <w:bCs w:val="1"/>
                <w:color w:val="auto"/>
                <w:w w:val="92"/>
              </w:rPr>
              <w:t>Six Months Ended June 30,</w:t>
            </w:r>
          </w:p>
        </w:tc>
        <w:tc>
          <w:tcPr>
            <w:tcW w:w="12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960" w:type="dxa"/>
            <w:vAlign w:val="bottom"/>
            <w:tcBorders>
              <w:bottom w:val="single" w:sz="8" w:color="CCEEFF"/>
            </w:tcBorders>
          </w:tcPr>
          <w:p>
            <w:pPr>
              <w:ind w:left="20"/>
              <w:spacing w:after="0"/>
              <w:rPr>
                <w:sz w:val="20"/>
                <w:szCs w:val="20"/>
                <w:color w:val="auto"/>
              </w:rPr>
            </w:pPr>
            <w:r>
              <w:rPr>
                <w:rFonts w:ascii="Arial" w:cs="Arial" w:eastAsia="Arial" w:hAnsi="Arial"/>
                <w:sz w:val="17"/>
                <w:szCs w:val="17"/>
                <w:b w:val="1"/>
                <w:bCs w:val="1"/>
                <w:color w:val="auto"/>
              </w:rPr>
              <w:t>Gain (loss)</w:t>
            </w: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4"/>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top w:val="single" w:sz="8" w:color="auto"/>
              <w:bottom w:val="single" w:sz="8" w:color="CCEEFF"/>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7"/>
                <w:szCs w:val="17"/>
                <w:b w:val="1"/>
                <w:bCs w:val="1"/>
                <w:color w:val="auto"/>
              </w:rPr>
              <w:t>2021</w:t>
            </w:r>
          </w:p>
        </w:tc>
        <w:tc>
          <w:tcPr>
            <w:tcW w:w="100" w:type="dxa"/>
            <w:vAlign w:val="bottom"/>
            <w:tcBorders>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4"/>
              <w:spacing w:after="0"/>
              <w:rPr>
                <w:sz w:val="20"/>
                <w:szCs w:val="20"/>
                <w:color w:val="auto"/>
              </w:rPr>
            </w:pPr>
            <w:r>
              <w:rPr>
                <w:rFonts w:ascii="Arial" w:cs="Arial" w:eastAsia="Arial" w:hAnsi="Arial"/>
                <w:sz w:val="17"/>
                <w:szCs w:val="17"/>
                <w:b w:val="1"/>
                <w:bCs w:val="1"/>
                <w:color w:val="auto"/>
              </w:rPr>
              <w:t>2021</w:t>
            </w:r>
          </w:p>
        </w:tc>
        <w:tc>
          <w:tcPr>
            <w:tcW w:w="120" w:type="dxa"/>
            <w:vAlign w:val="bottom"/>
            <w:tcBorders>
              <w:bottom w:val="single" w:sz="8" w:color="CCEEFF"/>
            </w:tcBorders>
          </w:tcPr>
          <w:p>
            <w:pPr>
              <w:spacing w:after="0"/>
              <w:rPr>
                <w:sz w:val="20"/>
                <w:szCs w:val="20"/>
                <w:color w:val="auto"/>
              </w:rPr>
            </w:pPr>
          </w:p>
        </w:tc>
        <w:tc>
          <w:tcPr>
            <w:tcW w:w="234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Financial Statement Line</w:t>
            </w:r>
          </w:p>
        </w:tc>
        <w:tc>
          <w:tcPr>
            <w:tcW w:w="0" w:type="dxa"/>
            <w:vAlign w:val="bottom"/>
          </w:tcPr>
          <w:p>
            <w:pPr>
              <w:spacing w:after="0"/>
              <w:rPr>
                <w:sz w:val="1"/>
                <w:szCs w:val="1"/>
                <w:color w:val="auto"/>
              </w:rPr>
            </w:pPr>
          </w:p>
        </w:tc>
      </w:tr>
      <w:tr>
        <w:trPr>
          <w:trHeight w:val="200"/>
        </w:trPr>
        <w:tc>
          <w:tcPr>
            <w:tcW w:w="39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Derivative Instruments</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960" w:type="dxa"/>
            <w:vAlign w:val="bottom"/>
          </w:tcPr>
          <w:p>
            <w:pPr>
              <w:ind w:left="20"/>
              <w:spacing w:after="0"/>
              <w:rPr>
                <w:sz w:val="20"/>
                <w:szCs w:val="20"/>
                <w:color w:val="auto"/>
              </w:rPr>
            </w:pPr>
            <w:r>
              <w:rPr>
                <w:rFonts w:ascii="Arial" w:cs="Arial" w:eastAsia="Arial" w:hAnsi="Arial"/>
                <w:sz w:val="17"/>
                <w:szCs w:val="17"/>
                <w:color w:val="auto"/>
              </w:rPr>
              <w:t>Forward loans IRLCs</w:t>
            </w: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604</w:t>
            </w:r>
          </w:p>
        </w:tc>
        <w:tc>
          <w:tcPr>
            <w:tcW w:w="10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3,528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(11,454)</w:t>
            </w:r>
          </w:p>
        </w:tc>
        <w:tc>
          <w:tcPr>
            <w:tcW w:w="10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(5,074)</w:t>
            </w:r>
          </w:p>
        </w:tc>
        <w:tc>
          <w:tcPr>
            <w:tcW w:w="120" w:type="dxa"/>
            <w:vAlign w:val="bottom"/>
          </w:tcPr>
          <w:p>
            <w:pPr>
              <w:spacing w:after="0"/>
              <w:rPr>
                <w:sz w:val="19"/>
                <w:szCs w:val="19"/>
                <w:color w:val="auto"/>
              </w:rPr>
            </w:pPr>
          </w:p>
        </w:tc>
        <w:tc>
          <w:tcPr>
            <w:tcW w:w="2340" w:type="dxa"/>
            <w:vAlign w:val="bottom"/>
          </w:tcPr>
          <w:p>
            <w:pPr>
              <w:ind w:left="20"/>
              <w:spacing w:after="0"/>
              <w:rPr>
                <w:sz w:val="20"/>
                <w:szCs w:val="20"/>
                <w:color w:val="auto"/>
              </w:rPr>
            </w:pPr>
            <w:r>
              <w:rPr>
                <w:rFonts w:ascii="Arial" w:cs="Arial" w:eastAsia="Arial" w:hAnsi="Arial"/>
                <w:sz w:val="17"/>
                <w:szCs w:val="17"/>
                <w:color w:val="auto"/>
                <w:w w:val="97"/>
              </w:rPr>
              <w:t>Gain on loans held for sale, net</w:t>
            </w:r>
          </w:p>
        </w:tc>
        <w:tc>
          <w:tcPr>
            <w:tcW w:w="0" w:type="dxa"/>
            <w:vAlign w:val="bottom"/>
          </w:tcPr>
          <w:p>
            <w:pPr>
              <w:spacing w:after="0"/>
              <w:rPr>
                <w:sz w:val="1"/>
                <w:szCs w:val="1"/>
                <w:color w:val="auto"/>
              </w:rPr>
            </w:pPr>
          </w:p>
        </w:tc>
      </w:tr>
      <w:tr>
        <w:trPr>
          <w:trHeight w:val="220"/>
        </w:trPr>
        <w:tc>
          <w:tcPr>
            <w:tcW w:w="3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Reverse loans IRLCs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(186)</w:t>
            </w:r>
          </w:p>
        </w:tc>
        <w:tc>
          <w:tcPr>
            <w:tcW w:w="120" w:type="dxa"/>
            <w:vAlign w:val="bottom"/>
            <w:shd w:val="clear" w:color="auto" w:fill="CCEEFF"/>
          </w:tcPr>
          <w:p>
            <w:pPr>
              <w:spacing w:after="0"/>
              <w:rPr>
                <w:sz w:val="19"/>
                <w:szCs w:val="19"/>
                <w:color w:val="auto"/>
              </w:rPr>
            </w:pPr>
          </w:p>
        </w:tc>
        <w:tc>
          <w:tcPr>
            <w:tcW w:w="2340" w:type="dxa"/>
            <w:vAlign w:val="bottom"/>
            <w:shd w:val="clear" w:color="auto" w:fill="CCEEFF"/>
          </w:tcPr>
          <w:p>
            <w:pPr>
              <w:ind w:left="20"/>
              <w:spacing w:after="0"/>
              <w:rPr>
                <w:sz w:val="20"/>
                <w:szCs w:val="20"/>
                <w:color w:val="auto"/>
              </w:rPr>
            </w:pPr>
            <w:r>
              <w:rPr>
                <w:rFonts w:ascii="Arial" w:cs="Arial" w:eastAsia="Arial" w:hAnsi="Arial"/>
                <w:sz w:val="17"/>
                <w:szCs w:val="17"/>
                <w:color w:val="auto"/>
                <w:w w:val="96"/>
              </w:rPr>
              <w:t>Reverse mortgage revenue, net</w:t>
            </w:r>
          </w:p>
        </w:tc>
        <w:tc>
          <w:tcPr>
            <w:tcW w:w="0" w:type="dxa"/>
            <w:vAlign w:val="bottom"/>
          </w:tcPr>
          <w:p>
            <w:pPr>
              <w:spacing w:after="0"/>
              <w:rPr>
                <w:sz w:val="1"/>
                <w:szCs w:val="1"/>
                <w:color w:val="auto"/>
              </w:rPr>
            </w:pPr>
          </w:p>
        </w:tc>
      </w:tr>
      <w:tr>
        <w:trPr>
          <w:trHeight w:val="220"/>
        </w:trPr>
        <w:tc>
          <w:tcPr>
            <w:tcW w:w="3960" w:type="dxa"/>
            <w:vAlign w:val="bottom"/>
          </w:tcPr>
          <w:p>
            <w:pPr>
              <w:ind w:left="20"/>
              <w:spacing w:after="0"/>
              <w:rPr>
                <w:sz w:val="20"/>
                <w:szCs w:val="20"/>
                <w:color w:val="auto"/>
              </w:rPr>
            </w:pPr>
            <w:r>
              <w:rPr>
                <w:rFonts w:ascii="Arial" w:cs="Arial" w:eastAsia="Arial" w:hAnsi="Arial"/>
                <w:sz w:val="17"/>
                <w:szCs w:val="17"/>
                <w:color w:val="auto"/>
              </w:rPr>
              <w:t>Reverse loans IRLCs (Equity IQ loans)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286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286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2340" w:type="dxa"/>
            <w:vAlign w:val="bottom"/>
          </w:tcPr>
          <w:p>
            <w:pPr>
              <w:ind w:left="20"/>
              <w:spacing w:after="0"/>
              <w:rPr>
                <w:sz w:val="20"/>
                <w:szCs w:val="20"/>
                <w:color w:val="auto"/>
              </w:rPr>
            </w:pPr>
            <w:r>
              <w:rPr>
                <w:rFonts w:ascii="Arial" w:cs="Arial" w:eastAsia="Arial" w:hAnsi="Arial"/>
                <w:sz w:val="17"/>
                <w:szCs w:val="17"/>
                <w:color w:val="auto"/>
                <w:w w:val="97"/>
              </w:rPr>
              <w:t>Gain on loans held for sale, net</w:t>
            </w:r>
          </w:p>
        </w:tc>
        <w:tc>
          <w:tcPr>
            <w:tcW w:w="0" w:type="dxa"/>
            <w:vAlign w:val="bottom"/>
          </w:tcPr>
          <w:p>
            <w:pPr>
              <w:spacing w:after="0"/>
              <w:rPr>
                <w:sz w:val="1"/>
                <w:szCs w:val="1"/>
                <w:color w:val="auto"/>
              </w:rPr>
            </w:pPr>
          </w:p>
        </w:tc>
      </w:tr>
      <w:tr>
        <w:trPr>
          <w:trHeight w:val="168"/>
        </w:trPr>
        <w:tc>
          <w:tcPr>
            <w:tcW w:w="3960" w:type="dxa"/>
            <w:vAlign w:val="bottom"/>
            <w:shd w:val="clear" w:color="auto" w:fill="CCEEFF"/>
          </w:tcPr>
          <w:p>
            <w:pPr>
              <w:ind w:left="20"/>
              <w:spacing w:after="0" w:line="168" w:lineRule="exact"/>
              <w:rPr>
                <w:sz w:val="20"/>
                <w:szCs w:val="20"/>
                <w:color w:val="auto"/>
              </w:rPr>
            </w:pPr>
            <w:r>
              <w:rPr>
                <w:rFonts w:ascii="Arial" w:cs="Arial" w:eastAsia="Arial" w:hAnsi="Arial"/>
                <w:sz w:val="17"/>
                <w:szCs w:val="17"/>
                <w:color w:val="auto"/>
              </w:rPr>
              <w:t>TBA trades (economically hedging forward pipeline</w:t>
            </w:r>
          </w:p>
        </w:tc>
        <w:tc>
          <w:tcPr>
            <w:tcW w:w="24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29,118</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(188)</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76,224</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(188)</w:t>
            </w:r>
          </w:p>
        </w:tc>
        <w:tc>
          <w:tcPr>
            <w:tcW w:w="120" w:type="dxa"/>
            <w:vAlign w:val="bottom"/>
            <w:shd w:val="clear" w:color="auto" w:fill="CCEEFF"/>
          </w:tcPr>
          <w:p>
            <w:pPr>
              <w:spacing w:after="0"/>
              <w:rPr>
                <w:sz w:val="14"/>
                <w:szCs w:val="14"/>
                <w:color w:val="auto"/>
              </w:rPr>
            </w:pPr>
          </w:p>
        </w:tc>
        <w:tc>
          <w:tcPr>
            <w:tcW w:w="2340" w:type="dxa"/>
            <w:vAlign w:val="bottom"/>
            <w:shd w:val="clear" w:color="auto" w:fill="CCEEFF"/>
          </w:tcPr>
          <w:p>
            <w:pPr>
              <w:ind w:left="20"/>
              <w:spacing w:after="0" w:line="168" w:lineRule="exact"/>
              <w:rPr>
                <w:sz w:val="20"/>
                <w:szCs w:val="20"/>
                <w:color w:val="auto"/>
              </w:rPr>
            </w:pPr>
            <w:r>
              <w:rPr>
                <w:rFonts w:ascii="Arial" w:cs="Arial" w:eastAsia="Arial" w:hAnsi="Arial"/>
                <w:sz w:val="17"/>
                <w:szCs w:val="17"/>
                <w:color w:val="auto"/>
                <w:w w:val="97"/>
              </w:rPr>
              <w:t>Gain on loans held for sale, net</w:t>
            </w:r>
          </w:p>
        </w:tc>
        <w:tc>
          <w:tcPr>
            <w:tcW w:w="0" w:type="dxa"/>
            <w:vAlign w:val="bottom"/>
          </w:tcPr>
          <w:p>
            <w:pPr>
              <w:spacing w:after="0"/>
              <w:rPr>
                <w:sz w:val="1"/>
                <w:szCs w:val="1"/>
                <w:color w:val="auto"/>
              </w:rPr>
            </w:pPr>
          </w:p>
        </w:tc>
      </w:tr>
      <w:tr>
        <w:trPr>
          <w:trHeight w:val="219"/>
        </w:trPr>
        <w:tc>
          <w:tcPr>
            <w:tcW w:w="3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trades and EBO pipeline)</w:t>
            </w:r>
          </w:p>
        </w:tc>
        <w:tc>
          <w:tcPr>
            <w:tcW w:w="24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(Economic hedge)</w:t>
            </w:r>
          </w:p>
        </w:tc>
        <w:tc>
          <w:tcPr>
            <w:tcW w:w="0" w:type="dxa"/>
            <w:vAlign w:val="bottom"/>
          </w:tcPr>
          <w:p>
            <w:pPr>
              <w:spacing w:after="0"/>
              <w:rPr>
                <w:sz w:val="1"/>
                <w:szCs w:val="1"/>
                <w:color w:val="auto"/>
              </w:rPr>
            </w:pPr>
          </w:p>
        </w:tc>
      </w:tr>
      <w:tr>
        <w:trPr>
          <w:trHeight w:val="168"/>
        </w:trPr>
        <w:tc>
          <w:tcPr>
            <w:tcW w:w="3960" w:type="dxa"/>
            <w:vAlign w:val="bottom"/>
          </w:tcPr>
          <w:p>
            <w:pPr>
              <w:ind w:left="20"/>
              <w:spacing w:after="0" w:line="168" w:lineRule="exact"/>
              <w:rPr>
                <w:sz w:val="20"/>
                <w:szCs w:val="20"/>
                <w:color w:val="auto"/>
              </w:rPr>
            </w:pPr>
            <w:r>
              <w:rPr>
                <w:rFonts w:ascii="Arial" w:cs="Arial" w:eastAsia="Arial" w:hAnsi="Arial"/>
                <w:sz w:val="17"/>
                <w:szCs w:val="17"/>
                <w:color w:val="auto"/>
              </w:rPr>
              <w:t>TBA trades (economically hedging reverse pipeline</w:t>
            </w:r>
          </w:p>
        </w:tc>
        <w:tc>
          <w:tcPr>
            <w:tcW w:w="24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7"/>
                <w:szCs w:val="17"/>
                <w:color w:val="auto"/>
              </w:rPr>
              <w:t>(78)</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7"/>
                <w:szCs w:val="17"/>
                <w:color w:val="auto"/>
              </w:rPr>
              <w:t>(78)</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4"/>
                <w:szCs w:val="14"/>
                <w:color w:val="auto"/>
              </w:rPr>
            </w:pPr>
          </w:p>
        </w:tc>
        <w:tc>
          <w:tcPr>
            <w:tcW w:w="2340" w:type="dxa"/>
            <w:vAlign w:val="bottom"/>
            <w:vMerge w:val="restart"/>
          </w:tcPr>
          <w:p>
            <w:pPr>
              <w:ind w:left="20"/>
              <w:spacing w:after="0"/>
              <w:rPr>
                <w:sz w:val="20"/>
                <w:szCs w:val="20"/>
                <w:color w:val="auto"/>
              </w:rPr>
            </w:pPr>
            <w:r>
              <w:rPr>
                <w:rFonts w:ascii="Arial" w:cs="Arial" w:eastAsia="Arial" w:hAnsi="Arial"/>
                <w:sz w:val="17"/>
                <w:szCs w:val="17"/>
                <w:color w:val="auto"/>
                <w:w w:val="96"/>
              </w:rPr>
              <w:t>Reverse mortgage revenue, net</w:t>
            </w:r>
          </w:p>
        </w:tc>
        <w:tc>
          <w:tcPr>
            <w:tcW w:w="0" w:type="dxa"/>
            <w:vAlign w:val="bottom"/>
          </w:tcPr>
          <w:p>
            <w:pPr>
              <w:spacing w:after="0"/>
              <w:rPr>
                <w:sz w:val="1"/>
                <w:szCs w:val="1"/>
                <w:color w:val="auto"/>
              </w:rPr>
            </w:pPr>
          </w:p>
        </w:tc>
      </w:tr>
      <w:tr>
        <w:trPr>
          <w:trHeight w:val="219"/>
        </w:trPr>
        <w:tc>
          <w:tcPr>
            <w:tcW w:w="3960" w:type="dxa"/>
            <w:vAlign w:val="bottom"/>
          </w:tcPr>
          <w:p>
            <w:pPr>
              <w:ind w:left="20"/>
              <w:spacing w:after="0"/>
              <w:rPr>
                <w:sz w:val="20"/>
                <w:szCs w:val="20"/>
                <w:color w:val="auto"/>
              </w:rPr>
            </w:pPr>
            <w:r>
              <w:rPr>
                <w:rFonts w:ascii="Arial" w:cs="Arial" w:eastAsia="Arial" w:hAnsi="Arial"/>
                <w:sz w:val="17"/>
                <w:szCs w:val="17"/>
                <w:color w:val="auto"/>
              </w:rPr>
              <w:t>trades)</w:t>
            </w:r>
          </w:p>
        </w:tc>
        <w:tc>
          <w:tcPr>
            <w:tcW w:w="24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3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3960" w:type="dxa"/>
            <w:vAlign w:val="bottom"/>
            <w:shd w:val="clear" w:color="auto" w:fill="CCEEFF"/>
          </w:tcPr>
          <w:p>
            <w:pPr>
              <w:ind w:left="20"/>
              <w:spacing w:after="0" w:line="168" w:lineRule="exact"/>
              <w:rPr>
                <w:sz w:val="20"/>
                <w:szCs w:val="20"/>
                <w:color w:val="auto"/>
              </w:rPr>
            </w:pPr>
            <w:r>
              <w:rPr>
                <w:rFonts w:ascii="Arial" w:cs="Arial" w:eastAsia="Arial" w:hAnsi="Arial"/>
                <w:sz w:val="17"/>
                <w:szCs w:val="17"/>
                <w:color w:val="auto"/>
                <w:w w:val="94"/>
              </w:rPr>
              <w:t>Interest rate swap futures, TBA trades and interest rate</w:t>
            </w:r>
          </w:p>
        </w:tc>
        <w:tc>
          <w:tcPr>
            <w:tcW w:w="24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(16,913)</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22,979</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(83,676)</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9,297</w:t>
            </w:r>
          </w:p>
        </w:tc>
        <w:tc>
          <w:tcPr>
            <w:tcW w:w="120" w:type="dxa"/>
            <w:vAlign w:val="bottom"/>
            <w:shd w:val="clear" w:color="auto" w:fill="CCEEFF"/>
          </w:tcPr>
          <w:p>
            <w:pPr>
              <w:spacing w:after="0"/>
              <w:rPr>
                <w:sz w:val="14"/>
                <w:szCs w:val="14"/>
                <w:color w:val="auto"/>
              </w:rPr>
            </w:pPr>
          </w:p>
        </w:tc>
        <w:tc>
          <w:tcPr>
            <w:tcW w:w="2340" w:type="dxa"/>
            <w:vAlign w:val="bottom"/>
            <w:vMerge w:val="restart"/>
            <w:shd w:val="clear" w:color="auto" w:fill="CCEEFF"/>
          </w:tcPr>
          <w:p>
            <w:pPr>
              <w:ind w:left="20"/>
              <w:spacing w:after="0"/>
              <w:rPr>
                <w:sz w:val="20"/>
                <w:szCs w:val="20"/>
                <w:color w:val="auto"/>
              </w:rPr>
            </w:pPr>
            <w:r>
              <w:rPr>
                <w:rFonts w:ascii="Arial" w:cs="Arial" w:eastAsia="Arial" w:hAnsi="Arial"/>
                <w:sz w:val="17"/>
                <w:szCs w:val="17"/>
                <w:color w:val="auto"/>
                <w:w w:val="95"/>
              </w:rPr>
              <w:t>MSR valuation adjustments, net</w:t>
            </w:r>
          </w:p>
        </w:tc>
        <w:tc>
          <w:tcPr>
            <w:tcW w:w="0" w:type="dxa"/>
            <w:vAlign w:val="bottom"/>
          </w:tcPr>
          <w:p>
            <w:pPr>
              <w:spacing w:after="0"/>
              <w:rPr>
                <w:sz w:val="1"/>
                <w:szCs w:val="1"/>
                <w:color w:val="auto"/>
              </w:rPr>
            </w:pPr>
          </w:p>
        </w:tc>
      </w:tr>
      <w:tr>
        <w:trPr>
          <w:trHeight w:val="219"/>
        </w:trPr>
        <w:tc>
          <w:tcPr>
            <w:tcW w:w="3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option contracts</w:t>
            </w:r>
          </w:p>
        </w:tc>
        <w:tc>
          <w:tcPr>
            <w:tcW w:w="24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3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960" w:type="dxa"/>
            <w:vAlign w:val="bottom"/>
          </w:tcPr>
          <w:p>
            <w:pPr>
              <w:ind w:left="20"/>
              <w:spacing w:after="0"/>
              <w:rPr>
                <w:sz w:val="20"/>
                <w:szCs w:val="20"/>
                <w:color w:val="auto"/>
              </w:rPr>
            </w:pPr>
            <w:r>
              <w:rPr>
                <w:rFonts w:ascii="Arial" w:cs="Arial" w:eastAsia="Arial" w:hAnsi="Arial"/>
                <w:sz w:val="17"/>
                <w:szCs w:val="17"/>
                <w:color w:val="auto"/>
              </w:rPr>
              <w:t>Forward sales of Reverse loans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557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199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202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197</w:t>
            </w:r>
          </w:p>
        </w:tc>
        <w:tc>
          <w:tcPr>
            <w:tcW w:w="120" w:type="dxa"/>
            <w:vAlign w:val="bottom"/>
          </w:tcPr>
          <w:p>
            <w:pPr>
              <w:spacing w:after="0"/>
              <w:rPr>
                <w:sz w:val="19"/>
                <w:szCs w:val="19"/>
                <w:color w:val="auto"/>
              </w:rPr>
            </w:pPr>
          </w:p>
        </w:tc>
        <w:tc>
          <w:tcPr>
            <w:tcW w:w="2340" w:type="dxa"/>
            <w:vAlign w:val="bottom"/>
          </w:tcPr>
          <w:p>
            <w:pPr>
              <w:ind w:left="20"/>
              <w:spacing w:after="0"/>
              <w:rPr>
                <w:sz w:val="20"/>
                <w:szCs w:val="20"/>
                <w:color w:val="auto"/>
              </w:rPr>
            </w:pPr>
            <w:r>
              <w:rPr>
                <w:rFonts w:ascii="Arial" w:cs="Arial" w:eastAsia="Arial" w:hAnsi="Arial"/>
                <w:sz w:val="17"/>
                <w:szCs w:val="17"/>
                <w:color w:val="auto"/>
                <w:w w:val="96"/>
              </w:rPr>
              <w:t>Reverse mortgage revenue, net</w:t>
            </w:r>
          </w:p>
        </w:tc>
        <w:tc>
          <w:tcPr>
            <w:tcW w:w="0" w:type="dxa"/>
            <w:vAlign w:val="bottom"/>
          </w:tcPr>
          <w:p>
            <w:pPr>
              <w:spacing w:after="0"/>
              <w:rPr>
                <w:sz w:val="1"/>
                <w:szCs w:val="1"/>
                <w:color w:val="auto"/>
              </w:rPr>
            </w:pPr>
          </w:p>
        </w:tc>
      </w:tr>
      <w:tr>
        <w:trPr>
          <w:trHeight w:val="220"/>
        </w:trPr>
        <w:tc>
          <w:tcPr>
            <w:tcW w:w="3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120" w:type="dxa"/>
            <w:vAlign w:val="bottom"/>
            <w:shd w:val="clear" w:color="auto" w:fill="CCEEFF"/>
          </w:tcPr>
          <w:p>
            <w:pPr>
              <w:spacing w:after="0"/>
              <w:rPr>
                <w:sz w:val="19"/>
                <w:szCs w:val="19"/>
                <w:color w:val="auto"/>
              </w:rPr>
            </w:pPr>
          </w:p>
        </w:tc>
        <w:tc>
          <w:tcPr>
            <w:tcW w:w="2340" w:type="dxa"/>
            <w:vAlign w:val="bottom"/>
            <w:shd w:val="clear" w:color="auto" w:fill="CCEEFF"/>
          </w:tcPr>
          <w:p>
            <w:pPr>
              <w:ind w:left="20"/>
              <w:spacing w:after="0"/>
              <w:rPr>
                <w:sz w:val="20"/>
                <w:szCs w:val="20"/>
                <w:color w:val="auto"/>
              </w:rPr>
            </w:pPr>
            <w:r>
              <w:rPr>
                <w:rFonts w:ascii="Arial" w:cs="Arial" w:eastAsia="Arial" w:hAnsi="Arial"/>
                <w:sz w:val="17"/>
                <w:szCs w:val="17"/>
                <w:color w:val="auto"/>
                <w:w w:val="97"/>
              </w:rPr>
              <w:t>Gain on loans held for sale, net</w:t>
            </w:r>
          </w:p>
        </w:tc>
        <w:tc>
          <w:tcPr>
            <w:tcW w:w="0" w:type="dxa"/>
            <w:vAlign w:val="bottom"/>
          </w:tcPr>
          <w:p>
            <w:pPr>
              <w:spacing w:after="0"/>
              <w:rPr>
                <w:sz w:val="1"/>
                <w:szCs w:val="1"/>
                <w:color w:val="auto"/>
              </w:rPr>
            </w:pPr>
          </w:p>
        </w:tc>
      </w:tr>
      <w:tr>
        <w:trPr>
          <w:trHeight w:val="220"/>
        </w:trPr>
        <w:tc>
          <w:tcPr>
            <w:tcW w:w="3960" w:type="dxa"/>
            <w:vAlign w:val="bottom"/>
          </w:tcPr>
          <w:p>
            <w:pPr>
              <w:ind w:left="20"/>
              <w:spacing w:after="0"/>
              <w:rPr>
                <w:sz w:val="20"/>
                <w:szCs w:val="20"/>
                <w:color w:val="auto"/>
              </w:rPr>
            </w:pPr>
            <w:r>
              <w:rPr>
                <w:rFonts w:ascii="Arial" w:cs="Arial" w:eastAsia="Arial" w:hAnsi="Arial"/>
                <w:sz w:val="17"/>
                <w:szCs w:val="17"/>
                <w:color w:val="auto"/>
              </w:rPr>
              <w:t>Other</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544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937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2340" w:type="dxa"/>
            <w:vAlign w:val="bottom"/>
          </w:tcPr>
          <w:p>
            <w:pPr>
              <w:ind w:left="20"/>
              <w:spacing w:after="0"/>
              <w:rPr>
                <w:sz w:val="20"/>
                <w:szCs w:val="20"/>
                <w:color w:val="auto"/>
              </w:rPr>
            </w:pPr>
            <w:r>
              <w:rPr>
                <w:rFonts w:ascii="Arial" w:cs="Arial" w:eastAsia="Arial" w:hAnsi="Arial"/>
                <w:sz w:val="17"/>
                <w:szCs w:val="17"/>
                <w:color w:val="auto"/>
              </w:rPr>
              <w:t>Other, net</w:t>
            </w:r>
          </w:p>
        </w:tc>
        <w:tc>
          <w:tcPr>
            <w:tcW w:w="0" w:type="dxa"/>
            <w:vAlign w:val="bottom"/>
          </w:tcPr>
          <w:p>
            <w:pPr>
              <w:spacing w:after="0"/>
              <w:rPr>
                <w:sz w:val="1"/>
                <w:szCs w:val="1"/>
                <w:color w:val="auto"/>
              </w:rPr>
            </w:pPr>
          </w:p>
        </w:tc>
      </w:tr>
      <w:tr>
        <w:trPr>
          <w:trHeight w:val="238"/>
        </w:trPr>
        <w:tc>
          <w:tcPr>
            <w:tcW w:w="3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24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13,302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25,846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(18,729)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4,030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34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Interest Rate Risk</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MSR Hedging</w:t>
      </w:r>
    </w:p>
    <w:p>
      <w:pPr>
        <w:spacing w:after="0" w:line="115" w:lineRule="exact"/>
        <w:rPr>
          <w:sz w:val="20"/>
          <w:szCs w:val="20"/>
          <w:color w:val="auto"/>
        </w:rPr>
      </w:pPr>
    </w:p>
    <w:p>
      <w:pPr>
        <w:ind w:right="80"/>
        <w:spacing w:after="0" w:line="283" w:lineRule="auto"/>
        <w:rPr>
          <w:sz w:val="20"/>
          <w:szCs w:val="20"/>
          <w:color w:val="auto"/>
        </w:rPr>
      </w:pPr>
      <w:r>
        <w:rPr>
          <w:rFonts w:ascii="Arial" w:cs="Arial" w:eastAsia="Arial" w:hAnsi="Arial"/>
          <w:sz w:val="17"/>
          <w:szCs w:val="17"/>
          <w:color w:val="auto"/>
        </w:rPr>
        <w:t>MSRs are carried at fair value with changes in fair value being recorded in earnings in the period in which the changes occur. The fair value of MSRs is subject to changes in market interest rates and prepayment speeds.</w:t>
      </w:r>
    </w:p>
    <w:p>
      <w:pPr>
        <w:spacing w:after="0" w:line="56" w:lineRule="exact"/>
        <w:rPr>
          <w:sz w:val="20"/>
          <w:szCs w:val="20"/>
          <w:color w:val="auto"/>
        </w:rPr>
      </w:pPr>
    </w:p>
    <w:p>
      <w:pPr>
        <w:ind w:right="120"/>
        <w:spacing w:after="0" w:line="263" w:lineRule="auto"/>
        <w:rPr>
          <w:sz w:val="20"/>
          <w:szCs w:val="20"/>
          <w:color w:val="auto"/>
        </w:rPr>
      </w:pPr>
      <w:r>
        <w:rPr>
          <w:rFonts w:ascii="Arial" w:cs="Arial" w:eastAsia="Arial" w:hAnsi="Arial"/>
          <w:sz w:val="17"/>
          <w:szCs w:val="17"/>
          <w:color w:val="auto"/>
        </w:rPr>
        <w:t>Through May 2021, management implemented a macro-hedging strategy to reduce the volatility of the MSR portfolio attributable to interest rate changes. As a general matter, the impact of interest rates on the fair value of our MSR portfolio is naturally offset by other exposures, including our loan pipeline and our economic MSR value embedded in our reverse mortgage loan portfolio. Our hedging strategy was targeted at mitigating the residual exposure, which we referred to as our net MSR portfolio exposure. We defined our net MSR portfolio exposure as follows:</w:t>
      </w:r>
    </w:p>
    <w:p>
      <w:pPr>
        <w:spacing w:after="0" w:line="73" w:lineRule="exact"/>
        <w:rPr>
          <w:sz w:val="20"/>
          <w:szCs w:val="20"/>
          <w:color w:val="auto"/>
        </w:rPr>
      </w:pPr>
    </w:p>
    <w:p>
      <w:pPr>
        <w:ind w:left="620" w:hanging="307"/>
        <w:spacing w:after="0"/>
        <w:tabs>
          <w:tab w:leader="none" w:pos="6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our more interest rate-sensitive Agency MSR portfolio,</w:t>
      </w:r>
    </w:p>
    <w:p>
      <w:pPr>
        <w:spacing w:after="0" w:line="23" w:lineRule="exact"/>
        <w:rPr>
          <w:rFonts w:ascii="Arial" w:cs="Arial" w:eastAsia="Arial" w:hAnsi="Arial"/>
          <w:sz w:val="17"/>
          <w:szCs w:val="17"/>
          <w:color w:val="auto"/>
        </w:rPr>
      </w:pPr>
    </w:p>
    <w:p>
      <w:pPr>
        <w:ind w:left="620" w:hanging="307"/>
        <w:spacing w:after="0"/>
        <w:tabs>
          <w:tab w:leader="none" w:pos="6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less the Agency MSRs subject to our agreements with NRZ (See Note 8 — MSR Transfers Not Qualifying for Sale Accounting),</w:t>
      </w:r>
    </w:p>
    <w:p>
      <w:pPr>
        <w:spacing w:after="0" w:line="11" w:lineRule="exact"/>
        <w:rPr>
          <w:rFonts w:ascii="Arial" w:cs="Arial" w:eastAsia="Arial" w:hAnsi="Arial"/>
          <w:sz w:val="17"/>
          <w:szCs w:val="17"/>
          <w:color w:val="auto"/>
        </w:rPr>
      </w:pPr>
    </w:p>
    <w:p>
      <w:pPr>
        <w:ind w:left="620" w:hanging="307"/>
        <w:spacing w:after="0"/>
        <w:tabs>
          <w:tab w:leader="none" w:pos="6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less the unsecuritized reverse mortgage loans and tails classified as held for investment,</w:t>
      </w:r>
    </w:p>
    <w:p>
      <w:pPr>
        <w:spacing w:after="0" w:line="11" w:lineRule="exact"/>
        <w:rPr>
          <w:rFonts w:ascii="Arial" w:cs="Arial" w:eastAsia="Arial" w:hAnsi="Arial"/>
          <w:sz w:val="17"/>
          <w:szCs w:val="17"/>
          <w:color w:val="auto"/>
        </w:rPr>
      </w:pPr>
    </w:p>
    <w:p>
      <w:pPr>
        <w:ind w:left="620" w:hanging="307"/>
        <w:spacing w:after="0"/>
        <w:tabs>
          <w:tab w:leader="none" w:pos="6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less the asset value for securitized HECM loans, net of the corresponding HMBS-related borrowings, and</w:t>
      </w:r>
    </w:p>
    <w:p>
      <w:pPr>
        <w:spacing w:after="0" w:line="11" w:lineRule="exact"/>
        <w:rPr>
          <w:rFonts w:ascii="Arial" w:cs="Arial" w:eastAsia="Arial" w:hAnsi="Arial"/>
          <w:sz w:val="17"/>
          <w:szCs w:val="17"/>
          <w:color w:val="auto"/>
        </w:rPr>
      </w:pPr>
    </w:p>
    <w:p>
      <w:pPr>
        <w:ind w:left="620" w:hanging="307"/>
        <w:spacing w:after="0"/>
        <w:tabs>
          <w:tab w:leader="none" w:pos="6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less the net value of our held for sale loan portfolio and lock commitments (pipeline).</w:t>
      </w:r>
    </w:p>
    <w:p>
      <w:pPr>
        <w:spacing w:after="0" w:line="106"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Effective May 2021, management started hedging its MSR portfolio and its pipeline separately (see below for further description of pipeline hedging</w:t>
      </w:r>
      <w:r>
        <w:rPr>
          <w:rFonts w:ascii="Arial" w:cs="Arial" w:eastAsia="Arial" w:hAnsi="Arial"/>
          <w:sz w:val="20"/>
          <w:szCs w:val="20"/>
          <w:color w:val="auto"/>
        </w:rPr>
        <w:t>)</w:t>
      </w:r>
      <w:r>
        <w:rPr>
          <w:rFonts w:ascii="Arial" w:cs="Arial" w:eastAsia="Arial" w:hAnsi="Arial"/>
          <w:sz w:val="17"/>
          <w:szCs w:val="17"/>
          <w:color w:val="auto"/>
        </w:rPr>
        <w:t>, effectively ending the macro-hedge strategy previously in place. Under the new MSR hedging strategy, the interest-rate sensitive MSR portfolio exposure is now defined as follows:</w:t>
      </w:r>
    </w:p>
    <w:p>
      <w:pPr>
        <w:spacing w:after="0" w:line="65" w:lineRule="exact"/>
        <w:rPr>
          <w:sz w:val="20"/>
          <w:szCs w:val="20"/>
          <w:color w:val="auto"/>
        </w:rPr>
      </w:pPr>
    </w:p>
    <w:p>
      <w:pPr>
        <w:ind w:left="620" w:hanging="307"/>
        <w:spacing w:after="0"/>
        <w:tabs>
          <w:tab w:leader="none" w:pos="6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Agency MSR portfolio,</w:t>
      </w:r>
    </w:p>
    <w:p>
      <w:pPr>
        <w:spacing w:after="0" w:line="23" w:lineRule="exact"/>
        <w:rPr>
          <w:rFonts w:ascii="Arial" w:cs="Arial" w:eastAsia="Arial" w:hAnsi="Arial"/>
          <w:sz w:val="17"/>
          <w:szCs w:val="17"/>
          <w:color w:val="auto"/>
        </w:rPr>
      </w:pPr>
    </w:p>
    <w:p>
      <w:pPr>
        <w:ind w:left="620" w:hanging="307"/>
        <w:spacing w:after="0"/>
        <w:tabs>
          <w:tab w:leader="none" w:pos="6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expected Agency MSR bulk transactions subject to letters of intent (LOI),</w:t>
      </w:r>
    </w:p>
    <w:p>
      <w:pPr>
        <w:spacing w:after="0" w:line="11" w:lineRule="exact"/>
        <w:rPr>
          <w:rFonts w:ascii="Arial" w:cs="Arial" w:eastAsia="Arial" w:hAnsi="Arial"/>
          <w:sz w:val="17"/>
          <w:szCs w:val="17"/>
          <w:color w:val="auto"/>
        </w:rPr>
      </w:pPr>
    </w:p>
    <w:p>
      <w:pPr>
        <w:ind w:left="620" w:hanging="307"/>
        <w:spacing w:after="0"/>
        <w:tabs>
          <w:tab w:leader="none" w:pos="6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less the Agency MSRs subject to our sale agreements with NRZ and MAV (See Note 8 — MSR Transfers Not Qualifying for Sale Accounting),</w:t>
      </w:r>
    </w:p>
    <w:p>
      <w:pPr>
        <w:spacing w:after="0" w:line="22" w:lineRule="exact"/>
        <w:rPr>
          <w:rFonts w:ascii="Arial" w:cs="Arial" w:eastAsia="Arial" w:hAnsi="Arial"/>
          <w:sz w:val="16"/>
          <w:szCs w:val="16"/>
          <w:color w:val="auto"/>
        </w:rPr>
      </w:pPr>
    </w:p>
    <w:p>
      <w:pPr>
        <w:ind w:left="620" w:hanging="307"/>
        <w:spacing w:after="0"/>
        <w:tabs>
          <w:tab w:leader="none" w:pos="6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less the asset value for securitized HECM loans, net of the corresponding HMBS-related borrowings.</w:t>
      </w:r>
    </w:p>
    <w:p>
      <w:pPr>
        <w:spacing w:after="0" w:line="102"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The objective of our MSR policy is to provide partial hedge coverage of interest-rate sensitive MSR portfolio exposure, considering market and liquidity conditions. The hedge coverage ratio, defined as the ratio of hedge and asset rate sensitivity (referred to as DV01) at the time of measurement is subject to lower and upper thresholds, as modeled, of 40% and 60%, respectively in order to preserve liquidity and optimize asset returns. Accordingly, the changes in fair value of our hedging instruments may not fully offset the changes in fair value of our net MSR portfolio exposure attributable to interest rate</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44" w:name="page45"/>
    <w:bookmarkEnd w:id="44"/>
    <w:p>
      <w:pPr>
        <w:ind w:right="180"/>
        <w:spacing w:after="0" w:line="258" w:lineRule="auto"/>
        <w:rPr>
          <w:sz w:val="20"/>
          <w:szCs w:val="20"/>
          <w:color w:val="auto"/>
        </w:rPr>
      </w:pPr>
      <w:r>
        <w:rPr>
          <w:rFonts w:ascii="Arial" w:cs="Arial" w:eastAsia="Arial" w:hAnsi="Arial"/>
          <w:sz w:val="17"/>
          <w:szCs w:val="17"/>
          <w:color w:val="auto"/>
        </w:rPr>
        <w:t>changes. We periodically evaluate the 40-60% coverage ratio at the intended shock interval to determine if it is relevant or warrants adjustment based on market conditions, symmetry of interest rate risk exposure, and liquidity impacts of both the hedge and asset profile under shock scenarios. As the market dictates, management may choose to maintain hedge coverage ratio levels at or beyond the above thresholds, with approval of the Market Risk Committee, in order to preserve liquidity and/or optimize asset returns. In addition, while DV01 measures may remain within the range of our hedging strategy’s objective, actual changes in fair value of the derivatives and MSR portfolio may not offset to the same extent, due to non-parallel changes in the interest rate curve and the basis risk inherent in the MSR profile and hedging instruments, among other factors. We continuously evaluate the use of hedging instruments to strive to enhance the effectiveness of our interest rate hedging strategy.</w:t>
      </w:r>
    </w:p>
    <w:p>
      <w:pPr>
        <w:spacing w:after="0" w:line="80" w:lineRule="exact"/>
        <w:rPr>
          <w:sz w:val="20"/>
          <w:szCs w:val="20"/>
          <w:color w:val="auto"/>
        </w:rPr>
      </w:pPr>
    </w:p>
    <w:p>
      <w:pPr>
        <w:ind w:right="780"/>
        <w:spacing w:after="0" w:line="283" w:lineRule="auto"/>
        <w:rPr>
          <w:sz w:val="20"/>
          <w:szCs w:val="20"/>
          <w:color w:val="auto"/>
        </w:rPr>
      </w:pPr>
      <w:r>
        <w:rPr>
          <w:rFonts w:ascii="Arial" w:cs="Arial" w:eastAsia="Arial" w:hAnsi="Arial"/>
          <w:sz w:val="17"/>
          <w:szCs w:val="17"/>
          <w:color w:val="auto"/>
        </w:rPr>
        <w:t>Effective October 2021, we refined the scope of the hedge policy to allow for MSRs subject to LOI to be covered under a separate hedge coverage ratio requirement sufficient to preserve the economics of the intended transactions.</w:t>
      </w:r>
    </w:p>
    <w:p>
      <w:pPr>
        <w:spacing w:after="0" w:line="56" w:lineRule="exact"/>
        <w:rPr>
          <w:sz w:val="20"/>
          <w:szCs w:val="20"/>
          <w:color w:val="auto"/>
        </w:rPr>
      </w:pPr>
    </w:p>
    <w:p>
      <w:pPr>
        <w:ind w:right="100"/>
        <w:spacing w:after="0" w:line="300" w:lineRule="auto"/>
        <w:rPr>
          <w:sz w:val="20"/>
          <w:szCs w:val="20"/>
          <w:color w:val="auto"/>
        </w:rPr>
      </w:pPr>
      <w:r>
        <w:rPr>
          <w:rFonts w:ascii="Arial" w:cs="Arial" w:eastAsia="Arial" w:hAnsi="Arial"/>
          <w:sz w:val="15"/>
          <w:szCs w:val="15"/>
          <w:color w:val="auto"/>
        </w:rPr>
        <w:t>Our derivative instruments include forward trades of MBS or Agency TBAs with different banking counterparties, exchange-traded interest rate swap futures and interest rate options. These derivative instruments are not designated as accounting hedges. TBAs, or To-Be-Announced securities, are actively traded, forward contracts to purchase or sell Agency MBS on a specific future date. From time-to-time, we enter into exchange-traded options contracts with purchased put options financed by written call options. We report changes in fair value of these derivative instruments in MSR valuation adjustments, net in our consolidated statements of operations, within the Servicing segment. We may, from time to time, establish inter-segment derivative instruments between the MSR and pipeline hedging strategies to optimize the use of third party derivatives. Such inter-segment derivatives are eliminated in our consolidated financial statements.</w:t>
      </w:r>
    </w:p>
    <w:p>
      <w:pPr>
        <w:spacing w:after="0" w:line="50" w:lineRule="exact"/>
        <w:rPr>
          <w:sz w:val="20"/>
          <w:szCs w:val="20"/>
          <w:color w:val="auto"/>
        </w:rPr>
      </w:pPr>
    </w:p>
    <w:p>
      <w:pPr>
        <w:ind w:right="120"/>
        <w:spacing w:after="0" w:line="320" w:lineRule="auto"/>
        <w:rPr>
          <w:sz w:val="20"/>
          <w:szCs w:val="20"/>
          <w:color w:val="auto"/>
        </w:rPr>
      </w:pPr>
      <w:r>
        <w:rPr>
          <w:rFonts w:ascii="Arial" w:cs="Arial" w:eastAsia="Arial" w:hAnsi="Arial"/>
          <w:sz w:val="15"/>
          <w:szCs w:val="15"/>
          <w:color w:val="auto"/>
        </w:rPr>
        <w:t>The derivative instruments are subject to margin requirements, posted as either initial or variation margin. Ocwen may be required to post or may be entitled to receive cash collateral with its counterparties through margin calls, based on daily value changes of the instruments. Changes in market factors, including interest rates, and our credit rating may require us to post additional cash collateral and could have a material adverse impact on our financial condition and liquidity.</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Pipeline Hedging - Interest Rate Lock Commitments and Loans Held for Sale, at Fair Value</w:t>
      </w:r>
    </w:p>
    <w:p>
      <w:pPr>
        <w:spacing w:after="0" w:line="115" w:lineRule="exact"/>
        <w:rPr>
          <w:sz w:val="20"/>
          <w:szCs w:val="20"/>
          <w:color w:val="auto"/>
        </w:rPr>
      </w:pPr>
    </w:p>
    <w:p>
      <w:pPr>
        <w:spacing w:after="0"/>
        <w:rPr>
          <w:sz w:val="20"/>
          <w:szCs w:val="20"/>
          <w:color w:val="auto"/>
        </w:rPr>
      </w:pPr>
      <w:r>
        <w:rPr>
          <w:rFonts w:ascii="Arial" w:cs="Arial" w:eastAsia="Arial" w:hAnsi="Arial"/>
          <w:sz w:val="15"/>
          <w:szCs w:val="15"/>
          <w:color w:val="auto"/>
        </w:rPr>
        <w:t>In our Originations business, we are exposed to interest rate risk and related price risk during the period from the date of the interest rate lock commitment through</w:t>
      </w:r>
    </w:p>
    <w:p>
      <w:pPr>
        <w:spacing w:after="0" w:line="47" w:lineRule="exact"/>
        <w:rPr>
          <w:sz w:val="20"/>
          <w:szCs w:val="20"/>
          <w:color w:val="auto"/>
        </w:rPr>
      </w:pPr>
    </w:p>
    <w:p>
      <w:pPr>
        <w:ind w:right="60" w:firstLine="3"/>
        <w:spacing w:after="0" w:line="255" w:lineRule="auto"/>
        <w:tabs>
          <w:tab w:leader="none" w:pos="206"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lock commitment cancellation or expiration date or (ii) through the date of sale or securitization of the resulting loan into the secondary mortgage market. Loan commitments for forward loans generally range from 5 to 90 days, with the majority of our commitments to borrowers for 60 days and our commitments to correspondent sellers for 7 days. Loans held for sale are generally funded and sold within 3 to 20 days. This interest rate exposure was not individually hedged until May 2021, but rather used as an offset to our MSR exposure and managed as part of our MSR macro-hedging strategy described above. Effective May 2021, we implemented a new pipeline hedging strategy, whereby the interest rate exposure of loans and IRLCs is economically hedged with derivative instruments, including forward sales of Agency TBAs. The objective of our pipeline hedging strategy is to reduce the volatility of the fair value of IRLCs and loans due to market interest rates, thus to preserve the initial gain on sale margin at lock date. We report changes in fair value of these derivative instruments as gain or loss on economic hedge instruments within either Gain on loans held for sale, net and Reverse mortgage revenue, net in our consolidated statements of operations, respectively.</w:t>
      </w:r>
    </w:p>
    <w:p>
      <w:pPr>
        <w:spacing w:after="0" w:line="8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EBO and Loan Modification Hedging – Loans Held for Sale, at fair value</w:t>
      </w:r>
    </w:p>
    <w:p>
      <w:pPr>
        <w:spacing w:after="0" w:line="115" w:lineRule="exact"/>
        <w:rPr>
          <w:sz w:val="20"/>
          <w:szCs w:val="20"/>
          <w:color w:val="auto"/>
        </w:rPr>
      </w:pPr>
    </w:p>
    <w:p>
      <w:pPr>
        <w:jc w:val="both"/>
        <w:ind w:right="680"/>
        <w:spacing w:after="0" w:line="263" w:lineRule="auto"/>
        <w:rPr>
          <w:sz w:val="20"/>
          <w:szCs w:val="20"/>
          <w:color w:val="auto"/>
        </w:rPr>
      </w:pPr>
      <w:r>
        <w:rPr>
          <w:rFonts w:ascii="Arial" w:cs="Arial" w:eastAsia="Arial" w:hAnsi="Arial"/>
          <w:sz w:val="17"/>
          <w:szCs w:val="17"/>
          <w:color w:val="auto"/>
        </w:rPr>
        <w:t>Effective February 2022, management started hedging certain Ginnie Mae EBO loans as well as loans in process of modification pending redelivery/re-securitization to manage market risk due to increasing interest rates. Such interest rate exposure on these loans held for sale accounted for at fair value is economically hedged using forward trades of TBAs. Changes in fair value of these derivative instruments are reported as gain or loss on economic hedge instruments within Gain on loans held for sale, net in our consolidated statements of operations.</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Foreign Currency Exchange Rate Risk</w:t>
      </w:r>
    </w:p>
    <w:p>
      <w:pPr>
        <w:spacing w:after="0" w:line="121" w:lineRule="exact"/>
        <w:rPr>
          <w:sz w:val="20"/>
          <w:szCs w:val="20"/>
          <w:color w:val="auto"/>
        </w:rPr>
      </w:pPr>
    </w:p>
    <w:p>
      <w:pPr>
        <w:ind w:right="80"/>
        <w:spacing w:after="0" w:line="304" w:lineRule="auto"/>
        <w:rPr>
          <w:sz w:val="20"/>
          <w:szCs w:val="20"/>
          <w:color w:val="auto"/>
        </w:rPr>
      </w:pPr>
      <w:r>
        <w:rPr>
          <w:rFonts w:ascii="Arial" w:cs="Arial" w:eastAsia="Arial" w:hAnsi="Arial"/>
          <w:sz w:val="15"/>
          <w:szCs w:val="15"/>
          <w:color w:val="auto"/>
        </w:rPr>
        <w:t>Our operations in India and the Philippines expose us to foreign currency exchange rate risk to the extent that our foreign exchange positions remain unhedged. Depending on the magnitude and risk of our positions we may enter into forward exchange contracts to hedge against the effect of changes in the value of the India Rupee or Philippine Peso. We currently do not hedge our foreign currency exposure with derivative instruments. Foreign currency remeasurement exchange gains (losses) were $0.0 million and $0.1 million for the three and six months ended June 30, 2022, respectively, and $(0.1) million and $0.1 million during the three and six months ended June 30, 2021, respectively, and are reported in Other, net in the consolidated statements of operations.</w:t>
      </w: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7" w:right="339" w:bottom="1440" w:gutter="0" w:footer="0" w:header="0"/>
        </w:sectPr>
      </w:pPr>
    </w:p>
    <w:bookmarkStart w:id="45" w:name="page46"/>
    <w:bookmarkEnd w:id="45"/>
    <w:p>
      <w:pPr>
        <w:ind w:left="20"/>
        <w:spacing w:after="0"/>
        <w:rPr>
          <w:sz w:val="20"/>
          <w:szCs w:val="20"/>
          <w:color w:val="auto"/>
        </w:rPr>
      </w:pPr>
      <w:r>
        <w:rPr>
          <w:rFonts w:ascii="Arial" w:cs="Arial" w:eastAsia="Arial" w:hAnsi="Arial"/>
          <w:sz w:val="17"/>
          <w:szCs w:val="17"/>
          <w:b w:val="1"/>
          <w:bCs w:val="1"/>
          <w:color w:val="auto"/>
        </w:rPr>
        <w:t>Note 17 – 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51435</wp:posOffset>
            </wp:positionV>
            <wp:extent cx="712152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840" w:type="dxa"/>
            <w:vAlign w:val="bottom"/>
          </w:tcPr>
          <w:p>
            <w:pPr>
              <w:spacing w:after="0"/>
              <w:rPr>
                <w:sz w:val="19"/>
                <w:szCs w:val="19"/>
                <w:color w:val="auto"/>
              </w:rPr>
            </w:pPr>
          </w:p>
        </w:tc>
        <w:tc>
          <w:tcPr>
            <w:tcW w:w="3260" w:type="dxa"/>
            <w:vAlign w:val="bottom"/>
            <w:gridSpan w:val="6"/>
          </w:tcPr>
          <w:p>
            <w:pPr>
              <w:ind w:left="460"/>
              <w:spacing w:after="0"/>
              <w:rPr>
                <w:sz w:val="20"/>
                <w:szCs w:val="20"/>
                <w:color w:val="auto"/>
              </w:rPr>
            </w:pPr>
            <w:r>
              <w:rPr>
                <w:rFonts w:ascii="Arial" w:cs="Arial" w:eastAsia="Arial" w:hAnsi="Arial"/>
                <w:sz w:val="17"/>
                <w:szCs w:val="17"/>
                <w:b w:val="1"/>
                <w:bCs w:val="1"/>
                <w:color w:val="auto"/>
              </w:rPr>
              <w:t>Three Months Ended June 30,</w:t>
            </w:r>
          </w:p>
        </w:tc>
        <w:tc>
          <w:tcPr>
            <w:tcW w:w="320" w:type="dxa"/>
            <w:vAlign w:val="bottom"/>
          </w:tcPr>
          <w:p>
            <w:pPr>
              <w:spacing w:after="0"/>
              <w:rPr>
                <w:sz w:val="19"/>
                <w:szCs w:val="19"/>
                <w:color w:val="auto"/>
              </w:rPr>
            </w:pPr>
          </w:p>
        </w:tc>
        <w:tc>
          <w:tcPr>
            <w:tcW w:w="2820" w:type="dxa"/>
            <w:vAlign w:val="bottom"/>
            <w:gridSpan w:val="4"/>
          </w:tcPr>
          <w:p>
            <w:pPr>
              <w:jc w:val="right"/>
              <w:ind w:right="474"/>
              <w:spacing w:after="0"/>
              <w:rPr>
                <w:sz w:val="20"/>
                <w:szCs w:val="20"/>
                <w:color w:val="auto"/>
              </w:rPr>
            </w:pPr>
            <w:r>
              <w:rPr>
                <w:rFonts w:ascii="Arial" w:cs="Arial" w:eastAsia="Arial" w:hAnsi="Arial"/>
                <w:sz w:val="17"/>
                <w:szCs w:val="17"/>
                <w:b w:val="1"/>
                <w:bCs w:val="1"/>
                <w:color w:val="auto"/>
              </w:rPr>
              <w:t>Six Months Ended June 30,</w:t>
            </w:r>
          </w:p>
        </w:tc>
      </w:tr>
      <w:tr>
        <w:trPr>
          <w:trHeight w:val="238"/>
        </w:trPr>
        <w:tc>
          <w:tcPr>
            <w:tcW w:w="4840" w:type="dxa"/>
            <w:vAlign w:val="bottom"/>
            <w:tcBorders>
              <w:bottom w:val="single" w:sz="8" w:color="CCEEFF"/>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2022</w:t>
            </w:r>
          </w:p>
        </w:tc>
        <w:tc>
          <w:tcPr>
            <w:tcW w:w="56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7"/>
                <w:szCs w:val="17"/>
                <w:b w:val="1"/>
                <w:bCs w:val="1"/>
                <w:color w:val="auto"/>
              </w:rPr>
              <w:t>2021</w:t>
            </w:r>
          </w:p>
        </w:tc>
        <w:tc>
          <w:tcPr>
            <w:tcW w:w="120" w:type="dxa"/>
            <w:vAlign w:val="bottom"/>
            <w:tcBorders>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top w:val="single" w:sz="8" w:color="auto"/>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7"/>
                <w:szCs w:val="17"/>
                <w:b w:val="1"/>
                <w:bCs w:val="1"/>
                <w:color w:val="auto"/>
              </w:rPr>
              <w:t>2021</w:t>
            </w:r>
          </w:p>
        </w:tc>
      </w:tr>
      <w:tr>
        <w:trPr>
          <w:trHeight w:val="213"/>
        </w:trPr>
        <w:tc>
          <w:tcPr>
            <w:tcW w:w="4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OFC Senior Secured Notes (1)</w:t>
            </w:r>
          </w:p>
        </w:tc>
        <w:tc>
          <w:tcPr>
            <w:tcW w:w="960" w:type="dxa"/>
            <w:vAlign w:val="bottom"/>
            <w:shd w:val="clear" w:color="auto" w:fill="CCEEFF"/>
          </w:tcPr>
          <w:p>
            <w:pPr>
              <w:jc w:val="right"/>
              <w:ind w:right="774"/>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10,487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8,748</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20,883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11,114</w:t>
            </w:r>
          </w:p>
        </w:tc>
      </w:tr>
      <w:tr>
        <w:trPr>
          <w:trHeight w:val="220"/>
        </w:trPr>
        <w:tc>
          <w:tcPr>
            <w:tcW w:w="4840" w:type="dxa"/>
            <w:vAlign w:val="bottom"/>
          </w:tcPr>
          <w:p>
            <w:pPr>
              <w:ind w:left="20"/>
              <w:spacing w:after="0"/>
              <w:rPr>
                <w:sz w:val="20"/>
                <w:szCs w:val="20"/>
                <w:color w:val="auto"/>
              </w:rPr>
            </w:pPr>
            <w:r>
              <w:rPr>
                <w:rFonts w:ascii="Arial" w:cs="Arial" w:eastAsia="Arial" w:hAnsi="Arial"/>
                <w:sz w:val="17"/>
                <w:szCs w:val="17"/>
                <w:color w:val="auto"/>
              </w:rPr>
              <w:t>PHH and PMC senior notes</w:t>
            </w:r>
          </w:p>
        </w:tc>
        <w:tc>
          <w:tcPr>
            <w:tcW w:w="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8,093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8,206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16,254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15,336</w:t>
            </w:r>
          </w:p>
        </w:tc>
      </w:tr>
      <w:tr>
        <w:trPr>
          <w:trHeight w:val="220"/>
        </w:trPr>
        <w:tc>
          <w:tcPr>
            <w:tcW w:w="4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MSR financing facilities</w:t>
            </w: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8,563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4,754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16,367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9,326</w:t>
            </w:r>
          </w:p>
        </w:tc>
      </w:tr>
      <w:tr>
        <w:trPr>
          <w:trHeight w:val="220"/>
        </w:trPr>
        <w:tc>
          <w:tcPr>
            <w:tcW w:w="4840" w:type="dxa"/>
            <w:vAlign w:val="bottom"/>
          </w:tcPr>
          <w:p>
            <w:pPr>
              <w:ind w:left="20"/>
              <w:spacing w:after="0"/>
              <w:rPr>
                <w:sz w:val="20"/>
                <w:szCs w:val="20"/>
                <w:color w:val="auto"/>
              </w:rPr>
            </w:pPr>
            <w:r>
              <w:rPr>
                <w:rFonts w:ascii="Arial" w:cs="Arial" w:eastAsia="Arial" w:hAnsi="Arial"/>
                <w:sz w:val="17"/>
                <w:szCs w:val="17"/>
                <w:color w:val="auto"/>
              </w:rPr>
              <w:t>Mortgage loan warehouse facilities</w:t>
            </w:r>
          </w:p>
        </w:tc>
        <w:tc>
          <w:tcPr>
            <w:tcW w:w="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6,737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6,404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13,789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11,688</w:t>
            </w:r>
          </w:p>
        </w:tc>
      </w:tr>
      <w:tr>
        <w:trPr>
          <w:trHeight w:val="220"/>
        </w:trPr>
        <w:tc>
          <w:tcPr>
            <w:tcW w:w="4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Advance match funded liabilities</w:t>
            </w: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2,795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4,265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5,503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8,761</w:t>
            </w:r>
          </w:p>
        </w:tc>
      </w:tr>
      <w:tr>
        <w:trPr>
          <w:trHeight w:val="220"/>
        </w:trPr>
        <w:tc>
          <w:tcPr>
            <w:tcW w:w="4840" w:type="dxa"/>
            <w:vAlign w:val="bottom"/>
          </w:tcPr>
          <w:p>
            <w:pPr>
              <w:ind w:left="20"/>
              <w:spacing w:after="0"/>
              <w:rPr>
                <w:sz w:val="20"/>
                <w:szCs w:val="20"/>
                <w:color w:val="auto"/>
              </w:rPr>
            </w:pPr>
            <w:r>
              <w:rPr>
                <w:rFonts w:ascii="Arial" w:cs="Arial" w:eastAsia="Arial" w:hAnsi="Arial"/>
                <w:sz w:val="17"/>
                <w:szCs w:val="17"/>
                <w:color w:val="auto"/>
              </w:rPr>
              <w:t>SSTL</w:t>
            </w:r>
          </w:p>
        </w:tc>
        <w:tc>
          <w:tcPr>
            <w:tcW w:w="96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2,957</w:t>
            </w:r>
          </w:p>
        </w:tc>
      </w:tr>
      <w:tr>
        <w:trPr>
          <w:trHeight w:val="220"/>
        </w:trPr>
        <w:tc>
          <w:tcPr>
            <w:tcW w:w="4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Escrow</w:t>
            </w:r>
          </w:p>
        </w:tc>
        <w:tc>
          <w:tcPr>
            <w:tcW w:w="9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1,186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1,139</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2,940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2,786</w:t>
            </w:r>
          </w:p>
        </w:tc>
      </w:tr>
      <w:tr>
        <w:trPr>
          <w:trHeight w:val="213"/>
        </w:trPr>
        <w:tc>
          <w:tcPr>
            <w:tcW w:w="4840" w:type="dxa"/>
            <w:vAlign w:val="bottom"/>
          </w:tcPr>
          <w:p>
            <w:pPr>
              <w:spacing w:after="0"/>
              <w:rPr>
                <w:sz w:val="18"/>
                <w:szCs w:val="18"/>
                <w:color w:val="auto"/>
              </w:rPr>
            </w:pPr>
          </w:p>
        </w:tc>
        <w:tc>
          <w:tcPr>
            <w:tcW w:w="960" w:type="dxa"/>
            <w:vAlign w:val="bottom"/>
            <w:tcBorders>
              <w:bottom w:val="single" w:sz="8" w:color="auto"/>
            </w:tcBorders>
          </w:tcPr>
          <w:p>
            <w:pPr>
              <w:jc w:val="right"/>
              <w:ind w:right="774"/>
              <w:spacing w:after="0"/>
              <w:rPr>
                <w:sz w:val="20"/>
                <w:szCs w:val="20"/>
                <w:color w:val="auto"/>
              </w:rPr>
            </w:pPr>
            <w:r>
              <w:rPr>
                <w:rFonts w:ascii="Arial" w:cs="Arial" w:eastAsia="Arial" w:hAnsi="Arial"/>
                <w:sz w:val="17"/>
                <w:szCs w:val="17"/>
                <w:color w:val="auto"/>
                <w:w w:val="84"/>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2"/>
              </w:rPr>
              <w:t>37,861</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33,516</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75,736</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61,968</w:t>
            </w:r>
          </w:p>
        </w:tc>
      </w:tr>
      <w:tr>
        <w:trPr>
          <w:trHeight w:val="20"/>
        </w:trPr>
        <w:tc>
          <w:tcPr>
            <w:tcW w:w="48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left="320" w:right="260" w:hanging="317"/>
        <w:spacing w:after="0" w:line="251" w:lineRule="auto"/>
        <w:tabs>
          <w:tab w:leader="none" w:pos="3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Notes issued to Oaktree affiliates, inclusive of amortization of debt issuance costs and discount of $2.0 million and $3.9 million for the three and six months ended June 30, 2022, respectively, and $1.1 million and $1.7 million for the three and six months ended June 30, 2021, respectively.</w:t>
      </w:r>
    </w:p>
    <w:p>
      <w:pPr>
        <w:spacing w:after="0" w:line="200" w:lineRule="exact"/>
        <w:rPr>
          <w:sz w:val="20"/>
          <w:szCs w:val="20"/>
          <w:color w:val="auto"/>
        </w:rPr>
      </w:pPr>
    </w:p>
    <w:p>
      <w:pPr>
        <w:spacing w:after="0" w:line="219"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Note 18 – Basic and Diluted Earnings (Loss)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19050</wp:posOffset>
            </wp:positionV>
            <wp:extent cx="712152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04" w:lineRule="exact"/>
        <w:rPr>
          <w:sz w:val="20"/>
          <w:szCs w:val="20"/>
          <w:color w:val="auto"/>
        </w:rPr>
      </w:pPr>
    </w:p>
    <w:p>
      <w:pPr>
        <w:ind w:right="60"/>
        <w:spacing w:after="0" w:line="259" w:lineRule="auto"/>
        <w:rPr>
          <w:sz w:val="20"/>
          <w:szCs w:val="20"/>
          <w:color w:val="auto"/>
        </w:rPr>
      </w:pPr>
      <w:r>
        <w:rPr>
          <w:rFonts w:ascii="Arial" w:cs="Arial" w:eastAsia="Arial" w:hAnsi="Arial"/>
          <w:sz w:val="17"/>
          <w:szCs w:val="17"/>
          <w:color w:val="auto"/>
        </w:rPr>
        <w:t>Basic earnings or loss per share excludes common stock equivalents and is calculated by dividing net income or loss attributable to Ocwen common stockholders by the weighted average number of common shares outstanding during the period. We calculate diluted earnings or loss per share by dividing net income or loss attributable to Ocwen by the weighted average number of common shares outstanding including the potential dilutive common shares related to outstanding restricted stock awards, stock options and warrants as determined using the treasury stock method. For the three and six months ended June 30, 2021, we have excluded the effect of all stock options and common stock awards from the computation of diluted loss per share because of the anti-dilutive effect of our reported net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58" w:right="3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25"/>
        </w:trPr>
        <w:tc>
          <w:tcPr>
            <w:tcW w:w="4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980" w:type="dxa"/>
            <w:vAlign w:val="bottom"/>
            <w:gridSpan w:val="5"/>
          </w:tcPr>
          <w:p>
            <w:pPr>
              <w:ind w:left="180"/>
              <w:spacing w:after="0"/>
              <w:rPr>
                <w:sz w:val="20"/>
                <w:szCs w:val="20"/>
                <w:color w:val="auto"/>
              </w:rPr>
            </w:pPr>
            <w:r>
              <w:rPr>
                <w:rFonts w:ascii="Arial" w:cs="Arial" w:eastAsia="Arial" w:hAnsi="Arial"/>
                <w:sz w:val="17"/>
                <w:szCs w:val="17"/>
                <w:b w:val="1"/>
                <w:bCs w:val="1"/>
                <w:color w:val="auto"/>
              </w:rPr>
              <w:t>Three Months Ended June 30,</w:t>
            </w:r>
          </w:p>
        </w:tc>
        <w:tc>
          <w:tcPr>
            <w:tcW w:w="320" w:type="dxa"/>
            <w:vAlign w:val="bottom"/>
          </w:tcPr>
          <w:p>
            <w:pPr>
              <w:spacing w:after="0"/>
              <w:rPr>
                <w:sz w:val="19"/>
                <w:szCs w:val="19"/>
                <w:color w:val="auto"/>
              </w:rPr>
            </w:pPr>
          </w:p>
        </w:tc>
        <w:tc>
          <w:tcPr>
            <w:tcW w:w="2820" w:type="dxa"/>
            <w:vAlign w:val="bottom"/>
            <w:gridSpan w:val="4"/>
          </w:tcPr>
          <w:p>
            <w:pPr>
              <w:jc w:val="right"/>
              <w:ind w:right="474"/>
              <w:spacing w:after="0"/>
              <w:rPr>
                <w:sz w:val="20"/>
                <w:szCs w:val="20"/>
                <w:color w:val="auto"/>
              </w:rPr>
            </w:pPr>
            <w:r>
              <w:rPr>
                <w:rFonts w:ascii="Arial" w:cs="Arial" w:eastAsia="Arial" w:hAnsi="Arial"/>
                <w:sz w:val="17"/>
                <w:szCs w:val="17"/>
                <w:b w:val="1"/>
                <w:bCs w:val="1"/>
                <w:color w:val="auto"/>
              </w:rPr>
              <w:t>Six Months Ended June 30,</w:t>
            </w:r>
          </w:p>
        </w:tc>
      </w:tr>
      <w:tr>
        <w:trPr>
          <w:trHeight w:val="225"/>
        </w:trPr>
        <w:tc>
          <w:tcPr>
            <w:tcW w:w="484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7"/>
                <w:szCs w:val="17"/>
                <w:b w:val="1"/>
                <w:bCs w:val="1"/>
                <w:color w:val="auto"/>
              </w:rPr>
              <w:t>2021</w:t>
            </w:r>
          </w:p>
        </w:tc>
        <w:tc>
          <w:tcPr>
            <w:tcW w:w="12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7"/>
                <w:szCs w:val="17"/>
                <w:b w:val="1"/>
                <w:bCs w:val="1"/>
                <w:color w:val="auto"/>
              </w:rPr>
              <w:t>2021</w:t>
            </w:r>
          </w:p>
        </w:tc>
      </w:tr>
      <w:tr>
        <w:trPr>
          <w:trHeight w:val="200"/>
        </w:trPr>
        <w:tc>
          <w:tcPr>
            <w:tcW w:w="48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Basic earnings (loss) per share</w:t>
            </w: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20"/>
        </w:trPr>
        <w:tc>
          <w:tcPr>
            <w:tcW w:w="4840" w:type="dxa"/>
            <w:vAlign w:val="bottom"/>
          </w:tcPr>
          <w:p>
            <w:pPr>
              <w:ind w:left="140"/>
              <w:spacing w:after="0"/>
              <w:rPr>
                <w:sz w:val="20"/>
                <w:szCs w:val="20"/>
                <w:color w:val="auto"/>
              </w:rPr>
            </w:pPr>
            <w:r>
              <w:rPr>
                <w:rFonts w:ascii="Arial" w:cs="Arial" w:eastAsia="Arial" w:hAnsi="Arial"/>
                <w:sz w:val="17"/>
                <w:szCs w:val="17"/>
                <w:color w:val="auto"/>
              </w:rPr>
              <w:t>Net income (loss)</w:t>
            </w: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10,354</w:t>
            </w:r>
          </w:p>
        </w:tc>
        <w:tc>
          <w:tcPr>
            <w:tcW w:w="100" w:type="dxa"/>
            <w:vAlign w:val="bottom"/>
          </w:tcPr>
          <w:p>
            <w:pPr>
              <w:spacing w:after="0"/>
              <w:rPr>
                <w:sz w:val="19"/>
                <w:szCs w:val="19"/>
                <w:color w:val="auto"/>
              </w:rPr>
            </w:pPr>
          </w:p>
        </w:tc>
        <w:tc>
          <w:tcPr>
            <w:tcW w:w="360" w:type="dxa"/>
            <w:vAlign w:val="bottom"/>
          </w:tcPr>
          <w:p>
            <w:pPr>
              <w:jc w:val="right"/>
              <w:ind w:right="174"/>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(10,322)</w:t>
            </w:r>
          </w:p>
        </w:tc>
        <w:tc>
          <w:tcPr>
            <w:tcW w:w="12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68,436</w:t>
            </w:r>
          </w:p>
        </w:tc>
        <w:tc>
          <w:tcPr>
            <w:tcW w:w="100" w:type="dxa"/>
            <w:vAlign w:val="bottom"/>
          </w:tcPr>
          <w:p>
            <w:pPr>
              <w:spacing w:after="0"/>
              <w:rPr>
                <w:sz w:val="19"/>
                <w:szCs w:val="19"/>
                <w:color w:val="auto"/>
              </w:rPr>
            </w:pP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(1,779)</w:t>
            </w:r>
          </w:p>
        </w:tc>
      </w:tr>
      <w:tr>
        <w:trPr>
          <w:trHeight w:val="155"/>
        </w:trPr>
        <w:tc>
          <w:tcPr>
            <w:tcW w:w="48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r>
      <w:tr>
        <w:trPr>
          <w:trHeight w:val="220"/>
        </w:trPr>
        <w:tc>
          <w:tcPr>
            <w:tcW w:w="4840" w:type="dxa"/>
            <w:vAlign w:val="bottom"/>
          </w:tcPr>
          <w:p>
            <w:pPr>
              <w:ind w:left="140"/>
              <w:spacing w:after="0"/>
              <w:rPr>
                <w:sz w:val="20"/>
                <w:szCs w:val="20"/>
                <w:color w:val="auto"/>
              </w:rPr>
            </w:pPr>
            <w:r>
              <w:rPr>
                <w:rFonts w:ascii="Arial" w:cs="Arial" w:eastAsia="Arial" w:hAnsi="Arial"/>
                <w:sz w:val="17"/>
                <w:szCs w:val="17"/>
                <w:color w:val="auto"/>
              </w:rPr>
              <w:t>Weighted average shares of common stock</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9,257,089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8,999,544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9,236,221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8,844,637</w:t>
            </w:r>
          </w:p>
        </w:tc>
      </w:tr>
      <w:tr>
        <w:trPr>
          <w:trHeight w:val="155"/>
        </w:trPr>
        <w:tc>
          <w:tcPr>
            <w:tcW w:w="48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r>
      <w:tr>
        <w:trPr>
          <w:trHeight w:val="220"/>
        </w:trPr>
        <w:tc>
          <w:tcPr>
            <w:tcW w:w="4840" w:type="dxa"/>
            <w:vAlign w:val="bottom"/>
          </w:tcPr>
          <w:p>
            <w:pPr>
              <w:ind w:left="140"/>
              <w:spacing w:after="0"/>
              <w:rPr>
                <w:sz w:val="20"/>
                <w:szCs w:val="20"/>
                <w:color w:val="auto"/>
              </w:rPr>
            </w:pPr>
            <w:r>
              <w:rPr>
                <w:rFonts w:ascii="Arial" w:cs="Arial" w:eastAsia="Arial" w:hAnsi="Arial"/>
                <w:sz w:val="17"/>
                <w:szCs w:val="17"/>
                <w:color w:val="auto"/>
              </w:rPr>
              <w:t>Basic earnings (loss) per share</w:t>
            </w: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1.12</w:t>
            </w:r>
          </w:p>
        </w:tc>
        <w:tc>
          <w:tcPr>
            <w:tcW w:w="100" w:type="dxa"/>
            <w:vAlign w:val="bottom"/>
          </w:tcPr>
          <w:p>
            <w:pPr>
              <w:spacing w:after="0"/>
              <w:rPr>
                <w:sz w:val="19"/>
                <w:szCs w:val="19"/>
                <w:color w:val="auto"/>
              </w:rPr>
            </w:pPr>
          </w:p>
        </w:tc>
        <w:tc>
          <w:tcPr>
            <w:tcW w:w="360" w:type="dxa"/>
            <w:vAlign w:val="bottom"/>
          </w:tcPr>
          <w:p>
            <w:pPr>
              <w:jc w:val="right"/>
              <w:ind w:right="174"/>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(1.15)</w:t>
            </w:r>
          </w:p>
        </w:tc>
        <w:tc>
          <w:tcPr>
            <w:tcW w:w="12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7.41</w:t>
            </w:r>
          </w:p>
        </w:tc>
        <w:tc>
          <w:tcPr>
            <w:tcW w:w="100" w:type="dxa"/>
            <w:vAlign w:val="bottom"/>
          </w:tcPr>
          <w:p>
            <w:pPr>
              <w:spacing w:after="0"/>
              <w:rPr>
                <w:sz w:val="19"/>
                <w:szCs w:val="19"/>
                <w:color w:val="auto"/>
              </w:rPr>
            </w:pP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(0.20)</w:t>
            </w:r>
          </w:p>
        </w:tc>
      </w:tr>
      <w:tr>
        <w:trPr>
          <w:trHeight w:val="155"/>
        </w:trPr>
        <w:tc>
          <w:tcPr>
            <w:tcW w:w="48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r>
      <w:tr>
        <w:trPr>
          <w:trHeight w:val="220"/>
        </w:trPr>
        <w:tc>
          <w:tcPr>
            <w:tcW w:w="4840" w:type="dxa"/>
            <w:vAlign w:val="bottom"/>
          </w:tcPr>
          <w:p>
            <w:pPr>
              <w:ind w:left="20"/>
              <w:spacing w:after="0"/>
              <w:rPr>
                <w:sz w:val="20"/>
                <w:szCs w:val="20"/>
                <w:color w:val="auto"/>
              </w:rPr>
            </w:pPr>
            <w:r>
              <w:rPr>
                <w:rFonts w:ascii="Arial" w:cs="Arial" w:eastAsia="Arial" w:hAnsi="Arial"/>
                <w:sz w:val="17"/>
                <w:szCs w:val="17"/>
                <w:b w:val="1"/>
                <w:bCs w:val="1"/>
                <w:color w:val="auto"/>
              </w:rPr>
              <w:t>Diluted earnings (loss) per share</w:t>
            </w: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0"/>
        </w:trPr>
        <w:tc>
          <w:tcPr>
            <w:tcW w:w="48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Net income (loss)</w:t>
            </w: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10,354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(10,322)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68,436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(1,779)</w:t>
            </w:r>
          </w:p>
        </w:tc>
      </w:tr>
      <w:tr>
        <w:trPr>
          <w:trHeight w:val="155"/>
        </w:trPr>
        <w:tc>
          <w:tcPr>
            <w:tcW w:w="4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220"/>
        </w:trPr>
        <w:tc>
          <w:tcPr>
            <w:tcW w:w="48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Weighted average shares of common stock</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9,257,089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8,999,544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9,236,221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8,844,637</w:t>
            </w:r>
          </w:p>
        </w:tc>
      </w:tr>
      <w:tr>
        <w:trPr>
          <w:trHeight w:val="220"/>
        </w:trPr>
        <w:tc>
          <w:tcPr>
            <w:tcW w:w="4840" w:type="dxa"/>
            <w:vAlign w:val="bottom"/>
          </w:tcPr>
          <w:p>
            <w:pPr>
              <w:ind w:left="140"/>
              <w:spacing w:after="0"/>
              <w:rPr>
                <w:sz w:val="20"/>
                <w:szCs w:val="20"/>
                <w:color w:val="auto"/>
              </w:rPr>
            </w:pPr>
            <w:r>
              <w:rPr>
                <w:rFonts w:ascii="Arial" w:cs="Arial" w:eastAsia="Arial" w:hAnsi="Arial"/>
                <w:sz w:val="17"/>
                <w:szCs w:val="17"/>
                <w:color w:val="auto"/>
              </w:rPr>
              <w:t>Effect of dilutive elements</w:t>
            </w: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0"/>
        </w:trPr>
        <w:tc>
          <w:tcPr>
            <w:tcW w:w="48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Common stock warrants</w:t>
            </w:r>
          </w:p>
        </w:tc>
        <w:tc>
          <w:tcPr>
            <w:tcW w:w="2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139,160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4840" w:type="dxa"/>
            <w:vAlign w:val="bottom"/>
          </w:tcPr>
          <w:p>
            <w:pPr>
              <w:ind w:left="220"/>
              <w:spacing w:after="0"/>
              <w:rPr>
                <w:sz w:val="20"/>
                <w:szCs w:val="20"/>
                <w:color w:val="auto"/>
              </w:rPr>
            </w:pPr>
            <w:r>
              <w:rPr>
                <w:rFonts w:ascii="Arial" w:cs="Arial" w:eastAsia="Arial" w:hAnsi="Arial"/>
                <w:sz w:val="17"/>
                <w:szCs w:val="17"/>
                <w:color w:val="auto"/>
              </w:rPr>
              <w:t>Stock option awards</w:t>
            </w:r>
          </w:p>
        </w:tc>
        <w:tc>
          <w:tcPr>
            <w:tcW w:w="28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48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Common stock awards</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109,517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138,784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3"/>
        </w:trPr>
        <w:tc>
          <w:tcPr>
            <w:tcW w:w="4840" w:type="dxa"/>
            <w:vAlign w:val="bottom"/>
          </w:tcPr>
          <w:p>
            <w:pPr>
              <w:ind w:left="140"/>
              <w:spacing w:after="0"/>
              <w:rPr>
                <w:sz w:val="20"/>
                <w:szCs w:val="20"/>
                <w:color w:val="auto"/>
              </w:rPr>
            </w:pPr>
            <w:r>
              <w:rPr>
                <w:rFonts w:ascii="Arial" w:cs="Arial" w:eastAsia="Arial" w:hAnsi="Arial"/>
                <w:sz w:val="17"/>
                <w:szCs w:val="17"/>
                <w:color w:val="auto"/>
              </w:rPr>
              <w:t>Dilutive weighted average shares of common stock</w:t>
            </w:r>
          </w:p>
        </w:tc>
        <w:tc>
          <w:tcPr>
            <w:tcW w:w="28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9,366,606</w:t>
            </w:r>
          </w:p>
        </w:tc>
        <w:tc>
          <w:tcPr>
            <w:tcW w:w="100" w:type="dxa"/>
            <w:vAlign w:val="bottom"/>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8,999,544</w:t>
            </w:r>
          </w:p>
        </w:tc>
        <w:tc>
          <w:tcPr>
            <w:tcW w:w="12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9,514,202</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8,844,637</w:t>
            </w:r>
          </w:p>
        </w:tc>
      </w:tr>
      <w:tr>
        <w:trPr>
          <w:trHeight w:val="20"/>
        </w:trPr>
        <w:tc>
          <w:tcPr>
            <w:tcW w:w="48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21"/>
        </w:trPr>
        <w:tc>
          <w:tcPr>
            <w:tcW w:w="48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r>
      <w:tr>
        <w:trPr>
          <w:trHeight w:val="220"/>
        </w:trPr>
        <w:tc>
          <w:tcPr>
            <w:tcW w:w="4840" w:type="dxa"/>
            <w:vAlign w:val="bottom"/>
          </w:tcPr>
          <w:p>
            <w:pPr>
              <w:ind w:left="140"/>
              <w:spacing w:after="0"/>
              <w:rPr>
                <w:sz w:val="20"/>
                <w:szCs w:val="20"/>
                <w:color w:val="auto"/>
              </w:rPr>
            </w:pPr>
            <w:r>
              <w:rPr>
                <w:rFonts w:ascii="Arial" w:cs="Arial" w:eastAsia="Arial" w:hAnsi="Arial"/>
                <w:sz w:val="17"/>
                <w:szCs w:val="17"/>
                <w:color w:val="auto"/>
              </w:rPr>
              <w:t>Diluted earnings (loss) per share</w:t>
            </w: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1.11</w:t>
            </w:r>
          </w:p>
        </w:tc>
        <w:tc>
          <w:tcPr>
            <w:tcW w:w="100" w:type="dxa"/>
            <w:vAlign w:val="bottom"/>
          </w:tcPr>
          <w:p>
            <w:pPr>
              <w:spacing w:after="0"/>
              <w:rPr>
                <w:sz w:val="19"/>
                <w:szCs w:val="19"/>
                <w:color w:val="auto"/>
              </w:rPr>
            </w:pPr>
          </w:p>
        </w:tc>
        <w:tc>
          <w:tcPr>
            <w:tcW w:w="360" w:type="dxa"/>
            <w:vAlign w:val="bottom"/>
          </w:tcPr>
          <w:p>
            <w:pPr>
              <w:jc w:val="right"/>
              <w:ind w:right="174"/>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(1.15)</w:t>
            </w:r>
          </w:p>
        </w:tc>
        <w:tc>
          <w:tcPr>
            <w:tcW w:w="12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7.19</w:t>
            </w:r>
          </w:p>
        </w:tc>
        <w:tc>
          <w:tcPr>
            <w:tcW w:w="100" w:type="dxa"/>
            <w:vAlign w:val="bottom"/>
          </w:tcPr>
          <w:p>
            <w:pPr>
              <w:spacing w:after="0"/>
              <w:rPr>
                <w:sz w:val="19"/>
                <w:szCs w:val="19"/>
                <w:color w:val="auto"/>
              </w:rPr>
            </w:pP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(0.20)</w:t>
            </w:r>
          </w:p>
        </w:tc>
      </w:tr>
      <w:tr>
        <w:trPr>
          <w:trHeight w:val="155"/>
        </w:trPr>
        <w:tc>
          <w:tcPr>
            <w:tcW w:w="48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r>
      <w:tr>
        <w:trPr>
          <w:trHeight w:val="168"/>
        </w:trPr>
        <w:tc>
          <w:tcPr>
            <w:tcW w:w="4840" w:type="dxa"/>
            <w:vAlign w:val="bottom"/>
          </w:tcPr>
          <w:p>
            <w:pPr>
              <w:ind w:left="20"/>
              <w:spacing w:after="0" w:line="168" w:lineRule="exact"/>
              <w:rPr>
                <w:sz w:val="20"/>
                <w:szCs w:val="20"/>
                <w:color w:val="auto"/>
              </w:rPr>
            </w:pPr>
            <w:r>
              <w:rPr>
                <w:rFonts w:ascii="Arial" w:cs="Arial" w:eastAsia="Arial" w:hAnsi="Arial"/>
                <w:sz w:val="17"/>
                <w:szCs w:val="17"/>
                <w:b w:val="1"/>
                <w:bCs w:val="1"/>
                <w:color w:val="auto"/>
                <w:w w:val="98"/>
              </w:rPr>
              <w:t>Stock options and common stock awards excluded from the</w:t>
            </w: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220"/>
        </w:trPr>
        <w:tc>
          <w:tcPr>
            <w:tcW w:w="4840" w:type="dxa"/>
            <w:vAlign w:val="bottom"/>
          </w:tcPr>
          <w:p>
            <w:pPr>
              <w:ind w:left="180"/>
              <w:spacing w:after="0"/>
              <w:rPr>
                <w:sz w:val="20"/>
                <w:szCs w:val="20"/>
                <w:color w:val="auto"/>
              </w:rPr>
            </w:pPr>
            <w:r>
              <w:rPr>
                <w:rFonts w:ascii="Arial" w:cs="Arial" w:eastAsia="Arial" w:hAnsi="Arial"/>
                <w:sz w:val="17"/>
                <w:szCs w:val="17"/>
                <w:b w:val="1"/>
                <w:bCs w:val="1"/>
                <w:color w:val="auto"/>
              </w:rPr>
              <w:t>computation of diluted earnings (loss) per share</w:t>
            </w: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0"/>
        </w:trPr>
        <w:tc>
          <w:tcPr>
            <w:tcW w:w="48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Anti-dilutive (1)</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460,512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119,262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279,516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149,744</w:t>
            </w:r>
          </w:p>
        </w:tc>
      </w:tr>
      <w:tr>
        <w:trPr>
          <w:trHeight w:val="220"/>
        </w:trPr>
        <w:tc>
          <w:tcPr>
            <w:tcW w:w="4840" w:type="dxa"/>
            <w:vAlign w:val="bottom"/>
          </w:tcPr>
          <w:p>
            <w:pPr>
              <w:ind w:left="140"/>
              <w:spacing w:after="0"/>
              <w:rPr>
                <w:sz w:val="20"/>
                <w:szCs w:val="20"/>
                <w:color w:val="auto"/>
              </w:rPr>
            </w:pPr>
            <w:r>
              <w:rPr>
                <w:rFonts w:ascii="Arial" w:cs="Arial" w:eastAsia="Arial" w:hAnsi="Arial"/>
                <w:sz w:val="17"/>
                <w:szCs w:val="17"/>
                <w:color w:val="auto"/>
              </w:rPr>
              <w:t>Market-based (2)</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76,534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41,528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76,534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41,528</w:t>
            </w:r>
          </w:p>
        </w:tc>
      </w:tr>
    </w:tbl>
    <w:p>
      <w:pPr>
        <w:spacing w:after="0" w:line="134" w:lineRule="exact"/>
        <w:rPr>
          <w:sz w:val="20"/>
          <w:szCs w:val="20"/>
          <w:color w:val="auto"/>
        </w:rPr>
      </w:pPr>
    </w:p>
    <w:p>
      <w:pPr>
        <w:ind w:left="320" w:hanging="317"/>
        <w:spacing w:after="0"/>
        <w:tabs>
          <w:tab w:leader="none" w:pos="3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Includes stock options and stock awards that are anti-dilutive based on the application of the treasury stock method.</w:t>
      </w:r>
    </w:p>
    <w:p>
      <w:pPr>
        <w:spacing w:after="0" w:line="8" w:lineRule="exact"/>
        <w:rPr>
          <w:rFonts w:ascii="Arial" w:cs="Arial" w:eastAsia="Arial" w:hAnsi="Arial"/>
          <w:sz w:val="16"/>
          <w:szCs w:val="16"/>
          <w:color w:val="auto"/>
        </w:rPr>
      </w:pPr>
    </w:p>
    <w:p>
      <w:pPr>
        <w:ind w:left="320" w:hanging="317"/>
        <w:spacing w:after="0"/>
        <w:tabs>
          <w:tab w:leader="none" w:pos="3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Shares that are issuable upon the achievement of certain market-based performance criteria related to Ocwen’s stock price.</w:t>
      </w:r>
    </w:p>
    <w:p>
      <w:pPr>
        <w:spacing w:after="0" w:line="375"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Note 19 – Business Segment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84455</wp:posOffset>
            </wp:positionV>
            <wp:extent cx="712152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3" w:lineRule="exact"/>
        <w:rPr>
          <w:sz w:val="20"/>
          <w:szCs w:val="20"/>
          <w:color w:val="auto"/>
        </w:rPr>
      </w:pPr>
    </w:p>
    <w:p>
      <w:pPr>
        <w:ind w:right="200"/>
        <w:spacing w:after="0" w:line="263" w:lineRule="auto"/>
        <w:rPr>
          <w:sz w:val="20"/>
          <w:szCs w:val="20"/>
          <w:color w:val="auto"/>
        </w:rPr>
      </w:pPr>
      <w:r>
        <w:rPr>
          <w:rFonts w:ascii="Arial" w:cs="Arial" w:eastAsia="Arial" w:hAnsi="Arial"/>
          <w:sz w:val="17"/>
          <w:szCs w:val="17"/>
          <w:color w:val="auto"/>
        </w:rPr>
        <w:t>Our business segments reflect the internal reporting that we use to evaluate operating performance of services and to assess the allocation of our resources. Our reportable business segments consist of Servicing, Originations, and Corporate Items and Other. During the six months ended June 30, 2022, there have been no changes to our business segments as disclosed in our Annual Report on Form 10-K for the year ended December 31, 2021, with the exception of certain reclassifications disclosed below.</w:t>
      </w:r>
    </w:p>
    <w:p>
      <w:pPr>
        <w:spacing w:after="0" w:line="73" w:lineRule="exact"/>
        <w:rPr>
          <w:sz w:val="20"/>
          <w:szCs w:val="20"/>
          <w:color w:val="auto"/>
        </w:rPr>
      </w:pPr>
    </w:p>
    <w:p>
      <w:pPr>
        <w:ind w:right="160"/>
        <w:spacing w:after="0" w:line="263" w:lineRule="auto"/>
        <w:rPr>
          <w:sz w:val="20"/>
          <w:szCs w:val="20"/>
          <w:color w:val="auto"/>
        </w:rPr>
      </w:pPr>
      <w:r>
        <w:rPr>
          <w:rFonts w:ascii="Arial" w:cs="Arial" w:eastAsia="Arial" w:hAnsi="Arial"/>
          <w:sz w:val="17"/>
          <w:szCs w:val="17"/>
          <w:color w:val="auto"/>
        </w:rPr>
        <w:t>Effective in the first quarter of 2022, we recognize revaluation gains on Fannie Mae MSRs purchased through the Agency Cash Window Program within the Servicing segment that were historically reported in the Originations segment. MSR valuation adjustments, net for the Servicing and Originations segments have been revised for prior periods to conform to the current segment presentation. Such revaluation gains were $— (nil) for the three and six months ended June 30, 2021.</w:t>
      </w:r>
    </w:p>
    <w:p>
      <w:pPr>
        <w:spacing w:after="0" w:line="73" w:lineRule="exact"/>
        <w:rPr>
          <w:sz w:val="20"/>
          <w:szCs w:val="20"/>
          <w:color w:val="auto"/>
        </w:rPr>
      </w:pPr>
    </w:p>
    <w:p>
      <w:pPr>
        <w:ind w:right="100"/>
        <w:spacing w:after="0" w:line="256" w:lineRule="auto"/>
        <w:rPr>
          <w:sz w:val="20"/>
          <w:szCs w:val="20"/>
          <w:color w:val="auto"/>
        </w:rPr>
      </w:pPr>
      <w:r>
        <w:rPr>
          <w:rFonts w:ascii="Arial" w:cs="Arial" w:eastAsia="Arial" w:hAnsi="Arial"/>
          <w:sz w:val="17"/>
          <w:szCs w:val="17"/>
          <w:color w:val="auto"/>
        </w:rPr>
        <w:t>Revenues and expenses directly associated with each respective business segments are included in determining its results of operations. We allocate certain expenses incurred by corporate support services to each business segment using various methodologies intended to approximate the utilization of such services. We allocate overhead costs incurred by corporate support services to the Servicing and Originations segments which incorporates the utilization of various measurements primarily based on time studies, personnel volumes and service consumption levels. Support services costs not allocated to the Servicing and Originations segments are retained in the Corporate Items and Other segment along with certain other costs including certain litigation and settlement related expenses or recoveries, costs related to our re-engineering initiatives, and other costs related to operating as a public company. We allocate a portion of interest income to each business segment, including interest earned on cash balances. Interest expense on direct asset-backed financings are recorded in the respective Servicing and Originations segments. We allocate interest expense on corporate debt from Corporate Items and Other to the Servicing segment and the Originations segment (starting in the fourth quarter of 2021) based on relative financing requirements. Effective in the first quarter of 2022, we no longer allocate interest expense on the OFC Senior Secured Notes to the Servicing and Originations segments. Interest expense allocated to the Servicing and Originations segments for prior</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47" w:name="page48"/>
    <w:bookmarkEnd w:id="47"/>
    <w:p>
      <w:pPr>
        <w:ind w:right="360"/>
        <w:spacing w:after="0" w:line="283" w:lineRule="auto"/>
        <w:rPr>
          <w:sz w:val="20"/>
          <w:szCs w:val="20"/>
          <w:color w:val="auto"/>
        </w:rPr>
      </w:pPr>
      <w:r>
        <w:rPr>
          <w:rFonts w:ascii="Arial" w:cs="Arial" w:eastAsia="Arial" w:hAnsi="Arial"/>
          <w:sz w:val="17"/>
          <w:szCs w:val="17"/>
          <w:color w:val="auto"/>
        </w:rPr>
        <w:t>periods has been revised to conform to the current period presentation. The interest expense allocation adjustment for the three and six months ended June 30, 2021 is $5.9 million and $7.4 million, respectively, all in the Servicing segment.</w:t>
      </w:r>
    </w:p>
    <w:p>
      <w:pPr>
        <w:spacing w:after="0" w:line="56" w:lineRule="exact"/>
        <w:rPr>
          <w:sz w:val="20"/>
          <w:szCs w:val="20"/>
          <w:color w:val="auto"/>
        </w:rPr>
      </w:pPr>
    </w:p>
    <w:p>
      <w:pPr>
        <w:ind w:right="40"/>
        <w:spacing w:after="0" w:line="258" w:lineRule="auto"/>
        <w:rPr>
          <w:sz w:val="20"/>
          <w:szCs w:val="20"/>
          <w:color w:val="auto"/>
        </w:rPr>
      </w:pPr>
      <w:r>
        <w:rPr>
          <w:rFonts w:ascii="Arial" w:cs="Arial" w:eastAsia="Arial" w:hAnsi="Arial"/>
          <w:sz w:val="17"/>
          <w:szCs w:val="17"/>
          <w:color w:val="auto"/>
        </w:rPr>
        <w:t>As a result of our risk management strategy to hedge the interest rate risk of our net MSR portfolio, the fair value changes of third-party derivative instruments were reported within MSR valuation adjustments, net. For management segment reporting purposes, we established inter-segment derivative instruments to transfer the risks and allocate the associated fair value changes of derivatives between Servicing and Originations, and specifically between MSR valuation adjustments, net and Gain on loans held for sale, net (Gain/loss on economic hedge instruments). In the second quarter of 2021, we began separately hedging our MSR portfolio and pipeline. We may, from time to time, establish intersegment derivative instruments between our MSR and pipeline hedging strategies to optimize the use of third-party derivatives. The inter-segment derivative fair value changes are eliminated in the consolidated financial statements in the Corporate Eliminations column in the table below.</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color w:val="auto"/>
        </w:rPr>
        <w:t>Financial information for our segments is as follows: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680" w:type="dxa"/>
            <w:vAlign w:val="bottom"/>
            <w:tcBorders>
              <w:bottom w:val="single" w:sz="8" w:color="auto"/>
            </w:tcBorders>
            <w:gridSpan w:val="8"/>
          </w:tcPr>
          <w:p>
            <w:pPr>
              <w:jc w:val="center"/>
              <w:ind w:right="300"/>
              <w:spacing w:after="0"/>
              <w:rPr>
                <w:sz w:val="20"/>
                <w:szCs w:val="20"/>
                <w:color w:val="auto"/>
              </w:rPr>
            </w:pPr>
            <w:r>
              <w:rPr>
                <w:rFonts w:ascii="Arial" w:cs="Arial" w:eastAsia="Arial" w:hAnsi="Arial"/>
                <w:sz w:val="17"/>
                <w:szCs w:val="17"/>
                <w:b w:val="1"/>
                <w:bCs w:val="1"/>
                <w:color w:val="auto"/>
                <w:w w:val="92"/>
              </w:rPr>
              <w:t>Three Months Ended June 30, 2022</w:t>
            </w: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1"/>
        </w:trPr>
        <w:tc>
          <w:tcPr>
            <w:tcW w:w="322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Results of Operations</w:t>
            </w:r>
          </w:p>
        </w:tc>
        <w:tc>
          <w:tcPr>
            <w:tcW w:w="260" w:type="dxa"/>
            <w:vAlign w:val="bottom"/>
          </w:tcPr>
          <w:p>
            <w:pPr>
              <w:spacing w:after="0"/>
              <w:rPr>
                <w:sz w:val="13"/>
                <w:szCs w:val="13"/>
                <w:color w:val="auto"/>
              </w:rPr>
            </w:pPr>
          </w:p>
        </w:tc>
        <w:tc>
          <w:tcPr>
            <w:tcW w:w="1260" w:type="dxa"/>
            <w:vAlign w:val="bottom"/>
            <w:vMerge w:val="restart"/>
          </w:tcPr>
          <w:p>
            <w:pPr>
              <w:jc w:val="right"/>
              <w:ind w:right="334"/>
              <w:spacing w:after="0"/>
              <w:rPr>
                <w:sz w:val="20"/>
                <w:szCs w:val="20"/>
                <w:color w:val="auto"/>
              </w:rPr>
            </w:pPr>
            <w:r>
              <w:rPr>
                <w:rFonts w:ascii="Arial" w:cs="Arial" w:eastAsia="Arial" w:hAnsi="Arial"/>
                <w:sz w:val="17"/>
                <w:szCs w:val="17"/>
                <w:b w:val="1"/>
                <w:bCs w:val="1"/>
                <w:color w:val="auto"/>
              </w:rPr>
              <w:t>Servicing</w:t>
            </w:r>
          </w:p>
        </w:tc>
        <w:tc>
          <w:tcPr>
            <w:tcW w:w="10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vMerge w:val="restart"/>
          </w:tcPr>
          <w:p>
            <w:pPr>
              <w:jc w:val="right"/>
              <w:ind w:right="214"/>
              <w:spacing w:after="0"/>
              <w:rPr>
                <w:sz w:val="20"/>
                <w:szCs w:val="20"/>
                <w:color w:val="auto"/>
              </w:rPr>
            </w:pPr>
            <w:r>
              <w:rPr>
                <w:rFonts w:ascii="Arial" w:cs="Arial" w:eastAsia="Arial" w:hAnsi="Arial"/>
                <w:sz w:val="17"/>
                <w:szCs w:val="17"/>
                <w:b w:val="1"/>
                <w:bCs w:val="1"/>
                <w:color w:val="auto"/>
                <w:w w:val="99"/>
              </w:rPr>
              <w:t>Originations</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500" w:type="dxa"/>
            <w:vAlign w:val="bottom"/>
            <w:gridSpan w:val="2"/>
          </w:tcPr>
          <w:p>
            <w:pPr>
              <w:jc w:val="center"/>
              <w:ind w:right="240"/>
              <w:spacing w:after="0" w:line="161" w:lineRule="exact"/>
              <w:rPr>
                <w:sz w:val="20"/>
                <w:szCs w:val="20"/>
                <w:color w:val="auto"/>
              </w:rPr>
            </w:pPr>
            <w:r>
              <w:rPr>
                <w:rFonts w:ascii="Arial" w:cs="Arial" w:eastAsia="Arial" w:hAnsi="Arial"/>
                <w:sz w:val="17"/>
                <w:szCs w:val="17"/>
                <w:b w:val="1"/>
                <w:bCs w:val="1"/>
                <w:color w:val="auto"/>
                <w:w w:val="93"/>
              </w:rPr>
              <w:t>Corporate Items</w:t>
            </w:r>
          </w:p>
        </w:tc>
        <w:tc>
          <w:tcPr>
            <w:tcW w:w="120" w:type="dxa"/>
            <w:vAlign w:val="bottom"/>
          </w:tcPr>
          <w:p>
            <w:pPr>
              <w:spacing w:after="0"/>
              <w:rPr>
                <w:sz w:val="13"/>
                <w:szCs w:val="13"/>
                <w:color w:val="auto"/>
              </w:rPr>
            </w:pPr>
          </w:p>
        </w:tc>
        <w:tc>
          <w:tcPr>
            <w:tcW w:w="1500" w:type="dxa"/>
            <w:vAlign w:val="bottom"/>
            <w:gridSpan w:val="2"/>
          </w:tcPr>
          <w:p>
            <w:pPr>
              <w:ind w:left="260"/>
              <w:spacing w:after="0" w:line="161" w:lineRule="exact"/>
              <w:rPr>
                <w:sz w:val="20"/>
                <w:szCs w:val="20"/>
                <w:color w:val="auto"/>
              </w:rPr>
            </w:pPr>
            <w:r>
              <w:rPr>
                <w:rFonts w:ascii="Arial" w:cs="Arial" w:eastAsia="Arial" w:hAnsi="Arial"/>
                <w:sz w:val="17"/>
                <w:szCs w:val="17"/>
                <w:b w:val="1"/>
                <w:bCs w:val="1"/>
                <w:color w:val="auto"/>
              </w:rPr>
              <w:t>Corporate</w:t>
            </w:r>
          </w:p>
        </w:tc>
        <w:tc>
          <w:tcPr>
            <w:tcW w:w="1520" w:type="dxa"/>
            <w:vAlign w:val="bottom"/>
            <w:gridSpan w:val="2"/>
          </w:tcPr>
          <w:p>
            <w:pPr>
              <w:jc w:val="right"/>
              <w:spacing w:after="0" w:line="161" w:lineRule="exact"/>
              <w:rPr>
                <w:sz w:val="20"/>
                <w:szCs w:val="20"/>
                <w:color w:val="auto"/>
              </w:rPr>
            </w:pPr>
            <w:r>
              <w:rPr>
                <w:rFonts w:ascii="Arial" w:cs="Arial" w:eastAsia="Arial" w:hAnsi="Arial"/>
                <w:sz w:val="17"/>
                <w:szCs w:val="17"/>
                <w:b w:val="1"/>
                <w:bCs w:val="1"/>
                <w:color w:val="auto"/>
                <w:w w:val="87"/>
              </w:rPr>
              <w:t>Business Segments</w:t>
            </w:r>
          </w:p>
        </w:tc>
        <w:tc>
          <w:tcPr>
            <w:tcW w:w="0" w:type="dxa"/>
            <w:vAlign w:val="bottom"/>
          </w:tcPr>
          <w:p>
            <w:pPr>
              <w:spacing w:after="0"/>
              <w:rPr>
                <w:sz w:val="1"/>
                <w:szCs w:val="1"/>
                <w:color w:val="auto"/>
              </w:rPr>
            </w:pPr>
          </w:p>
        </w:tc>
      </w:tr>
      <w:tr>
        <w:trPr>
          <w:trHeight w:val="220"/>
        </w:trPr>
        <w:tc>
          <w:tcPr>
            <w:tcW w:w="3220" w:type="dxa"/>
            <w:vAlign w:val="bottom"/>
            <w:tcBorders>
              <w:bottom w:val="single" w:sz="8" w:color="CCEEFF"/>
            </w:tcBorders>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center"/>
              <w:ind w:right="54"/>
              <w:spacing w:after="0"/>
              <w:rPr>
                <w:sz w:val="20"/>
                <w:szCs w:val="20"/>
                <w:color w:val="auto"/>
              </w:rPr>
            </w:pPr>
            <w:r>
              <w:rPr>
                <w:rFonts w:ascii="Arial" w:cs="Arial" w:eastAsia="Arial" w:hAnsi="Arial"/>
                <w:sz w:val="17"/>
                <w:szCs w:val="17"/>
                <w:b w:val="1"/>
                <w:bCs w:val="1"/>
                <w:color w:val="auto"/>
                <w:w w:val="94"/>
              </w:rPr>
              <w:t>and Other</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b w:val="1"/>
                <w:bCs w:val="1"/>
                <w:color w:val="auto"/>
                <w:w w:val="94"/>
              </w:rPr>
              <w:t>Eliminations (1)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b w:val="1"/>
                <w:bCs w:val="1"/>
                <w:color w:val="auto"/>
                <w:w w:val="94"/>
              </w:rPr>
              <w:t>Consolidated</w:t>
            </w:r>
          </w:p>
        </w:tc>
        <w:tc>
          <w:tcPr>
            <w:tcW w:w="0" w:type="dxa"/>
            <w:vAlign w:val="bottom"/>
          </w:tcPr>
          <w:p>
            <w:pPr>
              <w:spacing w:after="0"/>
              <w:rPr>
                <w:sz w:val="1"/>
                <w:szCs w:val="1"/>
                <w:color w:val="auto"/>
              </w:rPr>
            </w:pPr>
          </w:p>
        </w:tc>
      </w:tr>
      <w:tr>
        <w:trPr>
          <w:trHeight w:val="213"/>
        </w:trPr>
        <w:tc>
          <w:tcPr>
            <w:tcW w:w="32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Servicing and subservicing fees</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214,533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215,131</w:t>
            </w:r>
          </w:p>
        </w:tc>
        <w:tc>
          <w:tcPr>
            <w:tcW w:w="0" w:type="dxa"/>
            <w:vAlign w:val="bottom"/>
          </w:tcPr>
          <w:p>
            <w:pPr>
              <w:spacing w:after="0"/>
              <w:rPr>
                <w:sz w:val="1"/>
                <w:szCs w:val="1"/>
                <w:color w:val="auto"/>
              </w:rPr>
            </w:pPr>
          </w:p>
        </w:tc>
      </w:tr>
      <w:tr>
        <w:trPr>
          <w:trHeight w:val="220"/>
        </w:trPr>
        <w:tc>
          <w:tcPr>
            <w:tcW w:w="3220" w:type="dxa"/>
            <w:vAlign w:val="bottom"/>
          </w:tcPr>
          <w:p>
            <w:pPr>
              <w:ind w:left="140"/>
              <w:spacing w:after="0"/>
              <w:rPr>
                <w:sz w:val="20"/>
                <w:szCs w:val="20"/>
                <w:color w:val="auto"/>
              </w:rPr>
            </w:pPr>
            <w:r>
              <w:rPr>
                <w:rFonts w:ascii="Arial" w:cs="Arial" w:eastAsia="Arial" w:hAnsi="Arial"/>
                <w:sz w:val="17"/>
                <w:szCs w:val="17"/>
                <w:color w:val="auto"/>
              </w:rPr>
              <w:t>Reverse mortgage revenue, net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(19,028)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16,412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(2,616)</w:t>
            </w:r>
          </w:p>
        </w:tc>
        <w:tc>
          <w:tcPr>
            <w:tcW w:w="0" w:type="dxa"/>
            <w:vAlign w:val="bottom"/>
          </w:tcPr>
          <w:p>
            <w:pPr>
              <w:spacing w:after="0"/>
              <w:rPr>
                <w:sz w:val="1"/>
                <w:szCs w:val="1"/>
                <w:color w:val="auto"/>
              </w:rPr>
            </w:pPr>
          </w:p>
        </w:tc>
      </w:tr>
      <w:tr>
        <w:trPr>
          <w:trHeight w:val="220"/>
        </w:trPr>
        <w:tc>
          <w:tcPr>
            <w:tcW w:w="32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Gain (loss) on loans held for sale, net (1)</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(11,468)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12,540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940</w:t>
            </w:r>
          </w:p>
        </w:tc>
        <w:tc>
          <w:tcPr>
            <w:tcW w:w="0" w:type="dxa"/>
            <w:vAlign w:val="bottom"/>
          </w:tcPr>
          <w:p>
            <w:pPr>
              <w:spacing w:after="0"/>
              <w:rPr>
                <w:sz w:val="1"/>
                <w:szCs w:val="1"/>
                <w:color w:val="auto"/>
              </w:rPr>
            </w:pPr>
          </w:p>
        </w:tc>
      </w:tr>
      <w:tr>
        <w:trPr>
          <w:trHeight w:val="220"/>
        </w:trPr>
        <w:tc>
          <w:tcPr>
            <w:tcW w:w="3220" w:type="dxa"/>
            <w:vAlign w:val="bottom"/>
          </w:tcPr>
          <w:p>
            <w:pPr>
              <w:ind w:left="140"/>
              <w:spacing w:after="0"/>
              <w:rPr>
                <w:sz w:val="20"/>
                <w:szCs w:val="20"/>
                <w:color w:val="auto"/>
              </w:rPr>
            </w:pPr>
            <w:r>
              <w:rPr>
                <w:rFonts w:ascii="Arial" w:cs="Arial" w:eastAsia="Arial" w:hAnsi="Arial"/>
                <w:sz w:val="17"/>
                <w:szCs w:val="17"/>
                <w:color w:val="auto"/>
              </w:rPr>
              <w:t>Other revenue, net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359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6,714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1,631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8,704</w:t>
            </w:r>
          </w:p>
        </w:tc>
        <w:tc>
          <w:tcPr>
            <w:tcW w:w="0" w:type="dxa"/>
            <w:vAlign w:val="bottom"/>
          </w:tcPr>
          <w:p>
            <w:pPr>
              <w:spacing w:after="0"/>
              <w:rPr>
                <w:sz w:val="1"/>
                <w:szCs w:val="1"/>
                <w:color w:val="auto"/>
              </w:rPr>
            </w:pPr>
          </w:p>
        </w:tc>
      </w:tr>
      <w:tr>
        <w:trPr>
          <w:trHeight w:val="213"/>
        </w:trPr>
        <w:tc>
          <w:tcPr>
            <w:tcW w:w="322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7"/>
                <w:szCs w:val="17"/>
                <w:color w:val="auto"/>
              </w:rPr>
              <w:t>Revenue</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184,396</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36,264</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1,632</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(132)</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222,159</w:t>
            </w:r>
          </w:p>
        </w:tc>
        <w:tc>
          <w:tcPr>
            <w:tcW w:w="0" w:type="dxa"/>
            <w:vAlign w:val="bottom"/>
          </w:tcPr>
          <w:p>
            <w:pPr>
              <w:spacing w:after="0"/>
              <w:rPr>
                <w:sz w:val="1"/>
                <w:szCs w:val="1"/>
                <w:color w:val="auto"/>
              </w:rPr>
            </w:pPr>
          </w:p>
        </w:tc>
      </w:tr>
      <w:tr>
        <w:trPr>
          <w:trHeight w:val="83"/>
        </w:trPr>
        <w:tc>
          <w:tcPr>
            <w:tcW w:w="32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3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MSR valuation adjustments, net (1)</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30,442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2,624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33,198</w:t>
            </w:r>
          </w:p>
        </w:tc>
        <w:tc>
          <w:tcPr>
            <w:tcW w:w="0" w:type="dxa"/>
            <w:vAlign w:val="bottom"/>
          </w:tcPr>
          <w:p>
            <w:pPr>
              <w:spacing w:after="0"/>
              <w:rPr>
                <w:sz w:val="1"/>
                <w:szCs w:val="1"/>
                <w:color w:val="auto"/>
              </w:rPr>
            </w:pPr>
          </w:p>
        </w:tc>
      </w:tr>
      <w:tr>
        <w:trPr>
          <w:trHeight w:val="103"/>
        </w:trPr>
        <w:tc>
          <w:tcPr>
            <w:tcW w:w="3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32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Operating expenses</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82,531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42,472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19,368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144,371</w:t>
            </w:r>
          </w:p>
        </w:tc>
        <w:tc>
          <w:tcPr>
            <w:tcW w:w="0" w:type="dxa"/>
            <w:vAlign w:val="bottom"/>
          </w:tcPr>
          <w:p>
            <w:pPr>
              <w:spacing w:after="0"/>
              <w:rPr>
                <w:sz w:val="1"/>
                <w:szCs w:val="1"/>
                <w:color w:val="auto"/>
              </w:rPr>
            </w:pPr>
          </w:p>
        </w:tc>
      </w:tr>
      <w:tr>
        <w:trPr>
          <w:trHeight w:val="103"/>
        </w:trPr>
        <w:tc>
          <w:tcPr>
            <w:tcW w:w="3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32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Other (expense) income:</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220" w:type="dxa"/>
            <w:vAlign w:val="bottom"/>
          </w:tcPr>
          <w:p>
            <w:pPr>
              <w:ind w:left="220"/>
              <w:spacing w:after="0"/>
              <w:rPr>
                <w:sz w:val="20"/>
                <w:szCs w:val="20"/>
                <w:color w:val="auto"/>
              </w:rPr>
            </w:pPr>
            <w:r>
              <w:rPr>
                <w:rFonts w:ascii="Arial" w:cs="Arial" w:eastAsia="Arial" w:hAnsi="Arial"/>
                <w:sz w:val="17"/>
                <w:szCs w:val="17"/>
                <w:color w:val="auto"/>
              </w:rPr>
              <w:t>Interest income</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2,992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6,608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146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9,746</w:t>
            </w:r>
          </w:p>
        </w:tc>
        <w:tc>
          <w:tcPr>
            <w:tcW w:w="0" w:type="dxa"/>
            <w:vAlign w:val="bottom"/>
          </w:tcPr>
          <w:p>
            <w:pPr>
              <w:spacing w:after="0"/>
              <w:rPr>
                <w:sz w:val="1"/>
                <w:szCs w:val="1"/>
                <w:color w:val="auto"/>
              </w:rPr>
            </w:pPr>
          </w:p>
        </w:tc>
      </w:tr>
      <w:tr>
        <w:trPr>
          <w:trHeight w:val="220"/>
        </w:trPr>
        <w:tc>
          <w:tcPr>
            <w:tcW w:w="32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Interest expense</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(22,297)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(5,136)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(10,428)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(37,861)</w:t>
            </w:r>
          </w:p>
        </w:tc>
        <w:tc>
          <w:tcPr>
            <w:tcW w:w="0" w:type="dxa"/>
            <w:vAlign w:val="bottom"/>
          </w:tcPr>
          <w:p>
            <w:pPr>
              <w:spacing w:after="0"/>
              <w:rPr>
                <w:sz w:val="1"/>
                <w:szCs w:val="1"/>
                <w:color w:val="auto"/>
              </w:rPr>
            </w:pPr>
          </w:p>
        </w:tc>
      </w:tr>
      <w:tr>
        <w:trPr>
          <w:trHeight w:val="220"/>
        </w:trPr>
        <w:tc>
          <w:tcPr>
            <w:tcW w:w="3220" w:type="dxa"/>
            <w:vAlign w:val="bottom"/>
          </w:tcPr>
          <w:p>
            <w:pPr>
              <w:ind w:left="220"/>
              <w:spacing w:after="0"/>
              <w:rPr>
                <w:sz w:val="20"/>
                <w:szCs w:val="20"/>
                <w:color w:val="auto"/>
              </w:rPr>
            </w:pPr>
            <w:r>
              <w:rPr>
                <w:rFonts w:ascii="Arial" w:cs="Arial" w:eastAsia="Arial" w:hAnsi="Arial"/>
                <w:sz w:val="17"/>
                <w:szCs w:val="17"/>
                <w:color w:val="auto"/>
              </w:rPr>
              <w:t>Pledged MSR liability expense</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(74,096)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(74,083)</w:t>
            </w:r>
          </w:p>
        </w:tc>
        <w:tc>
          <w:tcPr>
            <w:tcW w:w="0" w:type="dxa"/>
            <w:vAlign w:val="bottom"/>
          </w:tcPr>
          <w:p>
            <w:pPr>
              <w:spacing w:after="0"/>
              <w:rPr>
                <w:sz w:val="1"/>
                <w:szCs w:val="1"/>
                <w:color w:val="auto"/>
              </w:rPr>
            </w:pPr>
          </w:p>
        </w:tc>
      </w:tr>
      <w:tr>
        <w:trPr>
          <w:trHeight w:val="220"/>
        </w:trPr>
        <w:tc>
          <w:tcPr>
            <w:tcW w:w="32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Earnings of equity method investee</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3,932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3,932</w:t>
            </w:r>
          </w:p>
        </w:tc>
        <w:tc>
          <w:tcPr>
            <w:tcW w:w="0" w:type="dxa"/>
            <w:vAlign w:val="bottom"/>
          </w:tcPr>
          <w:p>
            <w:pPr>
              <w:spacing w:after="0"/>
              <w:rPr>
                <w:sz w:val="1"/>
                <w:szCs w:val="1"/>
                <w:color w:val="auto"/>
              </w:rPr>
            </w:pPr>
          </w:p>
        </w:tc>
      </w:tr>
      <w:tr>
        <w:trPr>
          <w:trHeight w:val="220"/>
        </w:trPr>
        <w:tc>
          <w:tcPr>
            <w:tcW w:w="3220" w:type="dxa"/>
            <w:vAlign w:val="bottom"/>
          </w:tcPr>
          <w:p>
            <w:pPr>
              <w:ind w:left="220"/>
              <w:spacing w:after="0"/>
              <w:rPr>
                <w:sz w:val="20"/>
                <w:szCs w:val="20"/>
                <w:color w:val="auto"/>
              </w:rPr>
            </w:pPr>
            <w:r>
              <w:rPr>
                <w:rFonts w:ascii="Arial" w:cs="Arial" w:eastAsia="Arial" w:hAnsi="Arial"/>
                <w:sz w:val="17"/>
                <w:szCs w:val="17"/>
                <w:color w:val="auto"/>
              </w:rPr>
              <w:t>Gain (loss) on extinguishment of debt</w:t>
            </w:r>
          </w:p>
        </w:tc>
        <w:tc>
          <w:tcPr>
            <w:tcW w:w="26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947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947</w:t>
            </w:r>
          </w:p>
        </w:tc>
        <w:tc>
          <w:tcPr>
            <w:tcW w:w="0" w:type="dxa"/>
            <w:vAlign w:val="bottom"/>
          </w:tcPr>
          <w:p>
            <w:pPr>
              <w:spacing w:after="0"/>
              <w:rPr>
                <w:sz w:val="1"/>
                <w:szCs w:val="1"/>
                <w:color w:val="auto"/>
              </w:rPr>
            </w:pPr>
          </w:p>
        </w:tc>
      </w:tr>
      <w:tr>
        <w:trPr>
          <w:trHeight w:val="220"/>
        </w:trPr>
        <w:tc>
          <w:tcPr>
            <w:tcW w:w="32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(4,279)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(244)</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(4,237)</w:t>
            </w:r>
          </w:p>
        </w:tc>
        <w:tc>
          <w:tcPr>
            <w:tcW w:w="0" w:type="dxa"/>
            <w:vAlign w:val="bottom"/>
          </w:tcPr>
          <w:p>
            <w:pPr>
              <w:spacing w:after="0"/>
              <w:rPr>
                <w:sz w:val="1"/>
                <w:szCs w:val="1"/>
                <w:color w:val="auto"/>
              </w:rPr>
            </w:pPr>
          </w:p>
        </w:tc>
      </w:tr>
      <w:tr>
        <w:trPr>
          <w:trHeight w:val="213"/>
        </w:trPr>
        <w:tc>
          <w:tcPr>
            <w:tcW w:w="3220" w:type="dxa"/>
            <w:vAlign w:val="bottom"/>
          </w:tcPr>
          <w:p>
            <w:pPr>
              <w:ind w:left="340"/>
              <w:spacing w:after="0"/>
              <w:rPr>
                <w:sz w:val="20"/>
                <w:szCs w:val="20"/>
                <w:color w:val="auto"/>
              </w:rPr>
            </w:pPr>
            <w:r>
              <w:rPr>
                <w:rFonts w:ascii="Arial" w:cs="Arial" w:eastAsia="Arial" w:hAnsi="Arial"/>
                <w:sz w:val="17"/>
                <w:szCs w:val="17"/>
                <w:color w:val="auto"/>
              </w:rPr>
              <w:t>Other income (expense), net</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(93,748)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1,758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(9,566)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(101,556)</w:t>
            </w:r>
          </w:p>
        </w:tc>
        <w:tc>
          <w:tcPr>
            <w:tcW w:w="0" w:type="dxa"/>
            <w:vAlign w:val="bottom"/>
          </w:tcPr>
          <w:p>
            <w:pPr>
              <w:spacing w:after="0"/>
              <w:rPr>
                <w:sz w:val="1"/>
                <w:szCs w:val="1"/>
                <w:color w:val="auto"/>
              </w:rPr>
            </w:pPr>
          </w:p>
        </w:tc>
      </w:tr>
      <w:tr>
        <w:trPr>
          <w:trHeight w:val="83"/>
        </w:trPr>
        <w:tc>
          <w:tcPr>
            <w:tcW w:w="3220" w:type="dxa"/>
            <w:vAlign w:val="bottom"/>
            <w:tcBorders>
              <w:top w:val="single" w:sz="8" w:color="CCEEFF"/>
            </w:tcBorders>
            <w:shd w:val="clear" w:color="auto" w:fill="CCEEFF"/>
          </w:tcPr>
          <w:p>
            <w:pPr>
              <w:spacing w:after="0"/>
              <w:rPr>
                <w:sz w:val="7"/>
                <w:szCs w:val="7"/>
                <w:color w:val="auto"/>
              </w:rPr>
            </w:pPr>
          </w:p>
        </w:tc>
        <w:tc>
          <w:tcPr>
            <w:tcW w:w="260" w:type="dxa"/>
            <w:vAlign w:val="bottom"/>
            <w:tcBorders>
              <w:top w:val="single" w:sz="8" w:color="auto"/>
              <w:bottom w:val="single" w:sz="8" w:color="auto"/>
            </w:tcBorders>
            <w:shd w:val="clear" w:color="auto" w:fill="CCEEFF"/>
          </w:tcPr>
          <w:p>
            <w:pPr>
              <w:spacing w:after="0"/>
              <w:rPr>
                <w:sz w:val="7"/>
                <w:szCs w:val="7"/>
                <w:color w:val="auto"/>
              </w:rPr>
            </w:pPr>
          </w:p>
        </w:tc>
        <w:tc>
          <w:tcPr>
            <w:tcW w:w="1260" w:type="dxa"/>
            <w:vAlign w:val="bottom"/>
            <w:tcBorders>
              <w:top w:val="single" w:sz="8" w:color="auto"/>
              <w:bottom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200" w:type="dxa"/>
            <w:vAlign w:val="bottom"/>
            <w:tcBorders>
              <w:top w:val="single" w:sz="8" w:color="auto"/>
              <w:bottom w:val="single" w:sz="8" w:color="auto"/>
            </w:tcBorders>
            <w:shd w:val="clear" w:color="auto" w:fill="CCEEFF"/>
          </w:tcPr>
          <w:p>
            <w:pPr>
              <w:spacing w:after="0"/>
              <w:rPr>
                <w:sz w:val="7"/>
                <w:szCs w:val="7"/>
                <w:color w:val="auto"/>
              </w:rPr>
            </w:pPr>
          </w:p>
        </w:tc>
        <w:tc>
          <w:tcPr>
            <w:tcW w:w="1320" w:type="dxa"/>
            <w:vAlign w:val="bottom"/>
            <w:tcBorders>
              <w:top w:val="single" w:sz="8" w:color="auto"/>
              <w:bottom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40" w:type="dxa"/>
            <w:vAlign w:val="bottom"/>
            <w:tcBorders>
              <w:top w:val="single" w:sz="8" w:color="auto"/>
              <w:bottom w:val="single" w:sz="8" w:color="auto"/>
            </w:tcBorders>
            <w:shd w:val="clear" w:color="auto" w:fill="CCEEFF"/>
          </w:tcPr>
          <w:p>
            <w:pPr>
              <w:spacing w:after="0"/>
              <w:rPr>
                <w:sz w:val="7"/>
                <w:szCs w:val="7"/>
                <w:color w:val="auto"/>
              </w:rPr>
            </w:pPr>
          </w:p>
        </w:tc>
        <w:tc>
          <w:tcPr>
            <w:tcW w:w="1380" w:type="dxa"/>
            <w:vAlign w:val="bottom"/>
            <w:tcBorders>
              <w:top w:val="single" w:sz="8" w:color="auto"/>
              <w:bottom w:val="single" w:sz="8" w:color="auto"/>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auto"/>
              <w:bottom w:val="single" w:sz="8" w:color="auto"/>
            </w:tcBorders>
            <w:shd w:val="clear" w:color="auto" w:fill="CCEEFF"/>
          </w:tcPr>
          <w:p>
            <w:pPr>
              <w:spacing w:after="0"/>
              <w:rPr>
                <w:sz w:val="7"/>
                <w:szCs w:val="7"/>
                <w:color w:val="auto"/>
              </w:rPr>
            </w:pPr>
          </w:p>
        </w:tc>
        <w:tc>
          <w:tcPr>
            <w:tcW w:w="1400" w:type="dxa"/>
            <w:vAlign w:val="bottom"/>
            <w:tcBorders>
              <w:top w:val="single" w:sz="8" w:color="auto"/>
              <w:bottom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200" w:type="dxa"/>
            <w:vAlign w:val="bottom"/>
            <w:tcBorders>
              <w:top w:val="single" w:sz="8" w:color="auto"/>
              <w:bottom w:val="single" w:sz="8" w:color="auto"/>
            </w:tcBorders>
            <w:shd w:val="clear" w:color="auto" w:fill="CCEEFF"/>
          </w:tcPr>
          <w:p>
            <w:pPr>
              <w:spacing w:after="0"/>
              <w:rPr>
                <w:sz w:val="7"/>
                <w:szCs w:val="7"/>
                <w:color w:val="auto"/>
              </w:rPr>
            </w:pPr>
          </w:p>
        </w:tc>
        <w:tc>
          <w:tcPr>
            <w:tcW w:w="1320" w:type="dxa"/>
            <w:vAlign w:val="bottom"/>
            <w:tcBorders>
              <w:top w:val="single" w:sz="8" w:color="auto"/>
              <w:bottom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3"/>
        </w:trPr>
        <w:tc>
          <w:tcPr>
            <w:tcW w:w="3220" w:type="dxa"/>
            <w:vAlign w:val="bottom"/>
          </w:tcPr>
          <w:p>
            <w:pPr>
              <w:ind w:left="140"/>
              <w:spacing w:after="0"/>
              <w:rPr>
                <w:sz w:val="20"/>
                <w:szCs w:val="20"/>
                <w:color w:val="auto"/>
              </w:rPr>
            </w:pPr>
            <w:r>
              <w:rPr>
                <w:rFonts w:ascii="Arial" w:cs="Arial" w:eastAsia="Arial" w:hAnsi="Arial"/>
                <w:sz w:val="17"/>
                <w:szCs w:val="17"/>
                <w:color w:val="auto"/>
              </w:rPr>
              <w:t>Income (loss) before income taxes</w:t>
            </w: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38,559</w:t>
            </w:r>
          </w:p>
        </w:tc>
        <w:tc>
          <w:tcPr>
            <w:tcW w:w="100" w:type="dxa"/>
            <w:vAlign w:val="bottom"/>
          </w:tcPr>
          <w:p>
            <w:pPr>
              <w:spacing w:after="0"/>
              <w:rPr>
                <w:sz w:val="18"/>
                <w:szCs w:val="18"/>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(1,826)</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(27,302)</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5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9,430</w:t>
            </w:r>
          </w:p>
        </w:tc>
        <w:tc>
          <w:tcPr>
            <w:tcW w:w="0" w:type="dxa"/>
            <w:vAlign w:val="bottom"/>
          </w:tcPr>
          <w:p>
            <w:pPr>
              <w:spacing w:after="0"/>
              <w:rPr>
                <w:sz w:val="1"/>
                <w:szCs w:val="1"/>
                <w:color w:val="auto"/>
              </w:rPr>
            </w:pPr>
          </w:p>
        </w:tc>
      </w:tr>
      <w:tr>
        <w:trPr>
          <w:trHeight w:val="20"/>
        </w:trPr>
        <w:tc>
          <w:tcPr>
            <w:tcW w:w="322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3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31"/>
        </w:trPr>
        <w:tc>
          <w:tcPr>
            <w:tcW w:w="3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jc w:val="right"/>
              <w:ind w:right="554"/>
              <w:spacing w:after="0"/>
              <w:rPr>
                <w:sz w:val="20"/>
                <w:szCs w:val="20"/>
                <w:color w:val="auto"/>
              </w:rPr>
            </w:pPr>
            <w:r>
              <w:rPr>
                <w:rFonts w:ascii="Arial" w:cs="Arial" w:eastAsia="Arial" w:hAnsi="Arial"/>
                <w:sz w:val="17"/>
                <w:szCs w:val="17"/>
                <w:color w:val="auto"/>
              </w:rPr>
              <w:t>46</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32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4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67" w:right="3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25"/>
        </w:trPr>
        <w:tc>
          <w:tcPr>
            <w:tcW w:w="3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680" w:type="dxa"/>
            <w:vAlign w:val="bottom"/>
            <w:tcBorders>
              <w:bottom w:val="single" w:sz="8" w:color="auto"/>
            </w:tcBorders>
            <w:gridSpan w:val="8"/>
          </w:tcPr>
          <w:p>
            <w:pPr>
              <w:jc w:val="center"/>
              <w:ind w:right="300"/>
              <w:spacing w:after="0"/>
              <w:rPr>
                <w:sz w:val="20"/>
                <w:szCs w:val="20"/>
                <w:color w:val="auto"/>
              </w:rPr>
            </w:pPr>
            <w:r>
              <w:rPr>
                <w:rFonts w:ascii="Arial" w:cs="Arial" w:eastAsia="Arial" w:hAnsi="Arial"/>
                <w:sz w:val="17"/>
                <w:szCs w:val="17"/>
                <w:b w:val="1"/>
                <w:bCs w:val="1"/>
                <w:color w:val="auto"/>
                <w:w w:val="92"/>
              </w:rPr>
              <w:t>Three Months Ended June 30, 2021</w:t>
            </w: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1"/>
        </w:trPr>
        <w:tc>
          <w:tcPr>
            <w:tcW w:w="322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Results of Operations</w:t>
            </w:r>
          </w:p>
        </w:tc>
        <w:tc>
          <w:tcPr>
            <w:tcW w:w="260" w:type="dxa"/>
            <w:vAlign w:val="bottom"/>
          </w:tcPr>
          <w:p>
            <w:pPr>
              <w:spacing w:after="0"/>
              <w:rPr>
                <w:sz w:val="13"/>
                <w:szCs w:val="13"/>
                <w:color w:val="auto"/>
              </w:rPr>
            </w:pPr>
          </w:p>
        </w:tc>
        <w:tc>
          <w:tcPr>
            <w:tcW w:w="1260" w:type="dxa"/>
            <w:vAlign w:val="bottom"/>
            <w:vMerge w:val="restart"/>
          </w:tcPr>
          <w:p>
            <w:pPr>
              <w:jc w:val="right"/>
              <w:ind w:right="334"/>
              <w:spacing w:after="0"/>
              <w:rPr>
                <w:sz w:val="20"/>
                <w:szCs w:val="20"/>
                <w:color w:val="auto"/>
              </w:rPr>
            </w:pPr>
            <w:r>
              <w:rPr>
                <w:rFonts w:ascii="Arial" w:cs="Arial" w:eastAsia="Arial" w:hAnsi="Arial"/>
                <w:sz w:val="17"/>
                <w:szCs w:val="17"/>
                <w:b w:val="1"/>
                <w:bCs w:val="1"/>
                <w:color w:val="auto"/>
              </w:rPr>
              <w:t>Servicing</w:t>
            </w:r>
          </w:p>
        </w:tc>
        <w:tc>
          <w:tcPr>
            <w:tcW w:w="10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vMerge w:val="restart"/>
          </w:tcPr>
          <w:p>
            <w:pPr>
              <w:jc w:val="right"/>
              <w:ind w:right="214"/>
              <w:spacing w:after="0"/>
              <w:rPr>
                <w:sz w:val="20"/>
                <w:szCs w:val="20"/>
                <w:color w:val="auto"/>
              </w:rPr>
            </w:pPr>
            <w:r>
              <w:rPr>
                <w:rFonts w:ascii="Arial" w:cs="Arial" w:eastAsia="Arial" w:hAnsi="Arial"/>
                <w:sz w:val="17"/>
                <w:szCs w:val="17"/>
                <w:b w:val="1"/>
                <w:bCs w:val="1"/>
                <w:color w:val="auto"/>
                <w:w w:val="99"/>
              </w:rPr>
              <w:t>Originations</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500" w:type="dxa"/>
            <w:vAlign w:val="bottom"/>
            <w:gridSpan w:val="2"/>
          </w:tcPr>
          <w:p>
            <w:pPr>
              <w:jc w:val="center"/>
              <w:ind w:right="240"/>
              <w:spacing w:after="0" w:line="161" w:lineRule="exact"/>
              <w:rPr>
                <w:sz w:val="20"/>
                <w:szCs w:val="20"/>
                <w:color w:val="auto"/>
              </w:rPr>
            </w:pPr>
            <w:r>
              <w:rPr>
                <w:rFonts w:ascii="Arial" w:cs="Arial" w:eastAsia="Arial" w:hAnsi="Arial"/>
                <w:sz w:val="17"/>
                <w:szCs w:val="17"/>
                <w:b w:val="1"/>
                <w:bCs w:val="1"/>
                <w:color w:val="auto"/>
                <w:w w:val="93"/>
              </w:rPr>
              <w:t>Corporate Items</w:t>
            </w:r>
          </w:p>
        </w:tc>
        <w:tc>
          <w:tcPr>
            <w:tcW w:w="120" w:type="dxa"/>
            <w:vAlign w:val="bottom"/>
          </w:tcPr>
          <w:p>
            <w:pPr>
              <w:spacing w:after="0"/>
              <w:rPr>
                <w:sz w:val="13"/>
                <w:szCs w:val="13"/>
                <w:color w:val="auto"/>
              </w:rPr>
            </w:pPr>
          </w:p>
        </w:tc>
        <w:tc>
          <w:tcPr>
            <w:tcW w:w="1500" w:type="dxa"/>
            <w:vAlign w:val="bottom"/>
            <w:gridSpan w:val="2"/>
          </w:tcPr>
          <w:p>
            <w:pPr>
              <w:jc w:val="center"/>
              <w:ind w:right="220"/>
              <w:spacing w:after="0" w:line="161" w:lineRule="exact"/>
              <w:rPr>
                <w:sz w:val="20"/>
                <w:szCs w:val="20"/>
                <w:color w:val="auto"/>
              </w:rPr>
            </w:pPr>
            <w:r>
              <w:rPr>
                <w:rFonts w:ascii="Arial" w:cs="Arial" w:eastAsia="Arial" w:hAnsi="Arial"/>
                <w:sz w:val="17"/>
                <w:szCs w:val="17"/>
                <w:b w:val="1"/>
                <w:bCs w:val="1"/>
                <w:color w:val="auto"/>
                <w:w w:val="93"/>
              </w:rPr>
              <w:t>Corporate</w:t>
            </w:r>
          </w:p>
        </w:tc>
        <w:tc>
          <w:tcPr>
            <w:tcW w:w="1520" w:type="dxa"/>
            <w:vAlign w:val="bottom"/>
            <w:gridSpan w:val="2"/>
          </w:tcPr>
          <w:p>
            <w:pPr>
              <w:jc w:val="center"/>
              <w:spacing w:after="0" w:line="161" w:lineRule="exact"/>
              <w:rPr>
                <w:sz w:val="20"/>
                <w:szCs w:val="20"/>
                <w:color w:val="auto"/>
              </w:rPr>
            </w:pPr>
            <w:r>
              <w:rPr>
                <w:rFonts w:ascii="Arial" w:cs="Arial" w:eastAsia="Arial" w:hAnsi="Arial"/>
                <w:sz w:val="17"/>
                <w:szCs w:val="17"/>
                <w:b w:val="1"/>
                <w:bCs w:val="1"/>
                <w:color w:val="auto"/>
                <w:w w:val="84"/>
              </w:rPr>
              <w:t>Business Segments</w:t>
            </w:r>
          </w:p>
        </w:tc>
        <w:tc>
          <w:tcPr>
            <w:tcW w:w="0" w:type="dxa"/>
            <w:vAlign w:val="bottom"/>
          </w:tcPr>
          <w:p>
            <w:pPr>
              <w:spacing w:after="0"/>
              <w:rPr>
                <w:sz w:val="1"/>
                <w:szCs w:val="1"/>
                <w:color w:val="auto"/>
              </w:rPr>
            </w:pPr>
          </w:p>
        </w:tc>
      </w:tr>
      <w:tr>
        <w:trPr>
          <w:trHeight w:val="220"/>
        </w:trPr>
        <w:tc>
          <w:tcPr>
            <w:tcW w:w="3220" w:type="dxa"/>
            <w:vAlign w:val="bottom"/>
            <w:tcBorders>
              <w:bottom w:val="single" w:sz="8" w:color="CCEEFF"/>
            </w:tcBorders>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center"/>
              <w:ind w:right="54"/>
              <w:spacing w:after="0"/>
              <w:rPr>
                <w:sz w:val="20"/>
                <w:szCs w:val="20"/>
                <w:color w:val="auto"/>
              </w:rPr>
            </w:pPr>
            <w:r>
              <w:rPr>
                <w:rFonts w:ascii="Arial" w:cs="Arial" w:eastAsia="Arial" w:hAnsi="Arial"/>
                <w:sz w:val="17"/>
                <w:szCs w:val="17"/>
                <w:b w:val="1"/>
                <w:bCs w:val="1"/>
                <w:color w:val="auto"/>
                <w:w w:val="94"/>
              </w:rPr>
              <w:t>and Other</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center"/>
              <w:ind w:right="54"/>
              <w:spacing w:after="0"/>
              <w:rPr>
                <w:sz w:val="20"/>
                <w:szCs w:val="20"/>
                <w:color w:val="auto"/>
              </w:rPr>
            </w:pPr>
            <w:r>
              <w:rPr>
                <w:rFonts w:ascii="Arial" w:cs="Arial" w:eastAsia="Arial" w:hAnsi="Arial"/>
                <w:sz w:val="17"/>
                <w:szCs w:val="17"/>
                <w:b w:val="1"/>
                <w:bCs w:val="1"/>
                <w:color w:val="auto"/>
                <w:w w:val="93"/>
              </w:rPr>
              <w:t>Eliminations (1)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ind w:right="114"/>
              <w:spacing w:after="0"/>
              <w:rPr>
                <w:sz w:val="20"/>
                <w:szCs w:val="20"/>
                <w:color w:val="auto"/>
              </w:rPr>
            </w:pPr>
            <w:r>
              <w:rPr>
                <w:rFonts w:ascii="Arial" w:cs="Arial" w:eastAsia="Arial" w:hAnsi="Arial"/>
                <w:sz w:val="17"/>
                <w:szCs w:val="17"/>
                <w:b w:val="1"/>
                <w:bCs w:val="1"/>
                <w:color w:val="auto"/>
                <w:w w:val="89"/>
              </w:rPr>
              <w:t>Consolidated</w:t>
            </w:r>
          </w:p>
        </w:tc>
        <w:tc>
          <w:tcPr>
            <w:tcW w:w="0" w:type="dxa"/>
            <w:vAlign w:val="bottom"/>
          </w:tcPr>
          <w:p>
            <w:pPr>
              <w:spacing w:after="0"/>
              <w:rPr>
                <w:sz w:val="1"/>
                <w:szCs w:val="1"/>
                <w:color w:val="auto"/>
              </w:rPr>
            </w:pPr>
          </w:p>
        </w:tc>
      </w:tr>
      <w:tr>
        <w:trPr>
          <w:trHeight w:val="213"/>
        </w:trPr>
        <w:tc>
          <w:tcPr>
            <w:tcW w:w="32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Servicing and subservicing fees</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182,141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184,441</w:t>
            </w:r>
          </w:p>
        </w:tc>
        <w:tc>
          <w:tcPr>
            <w:tcW w:w="0" w:type="dxa"/>
            <w:vAlign w:val="bottom"/>
          </w:tcPr>
          <w:p>
            <w:pPr>
              <w:spacing w:after="0"/>
              <w:rPr>
                <w:sz w:val="1"/>
                <w:szCs w:val="1"/>
                <w:color w:val="auto"/>
              </w:rPr>
            </w:pPr>
          </w:p>
        </w:tc>
      </w:tr>
      <w:tr>
        <w:trPr>
          <w:trHeight w:val="220"/>
        </w:trPr>
        <w:tc>
          <w:tcPr>
            <w:tcW w:w="3220" w:type="dxa"/>
            <w:vAlign w:val="bottom"/>
          </w:tcPr>
          <w:p>
            <w:pPr>
              <w:ind w:left="140"/>
              <w:spacing w:after="0"/>
              <w:rPr>
                <w:sz w:val="20"/>
                <w:szCs w:val="20"/>
                <w:color w:val="auto"/>
              </w:rPr>
            </w:pPr>
            <w:r>
              <w:rPr>
                <w:rFonts w:ascii="Arial" w:cs="Arial" w:eastAsia="Arial" w:hAnsi="Arial"/>
                <w:sz w:val="17"/>
                <w:szCs w:val="17"/>
                <w:color w:val="auto"/>
              </w:rPr>
              <w:t>Reverse mortgage revenue, net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10,487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18,814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29,301</w:t>
            </w:r>
          </w:p>
        </w:tc>
        <w:tc>
          <w:tcPr>
            <w:tcW w:w="0" w:type="dxa"/>
            <w:vAlign w:val="bottom"/>
          </w:tcPr>
          <w:p>
            <w:pPr>
              <w:spacing w:after="0"/>
              <w:rPr>
                <w:sz w:val="1"/>
                <w:szCs w:val="1"/>
                <w:color w:val="auto"/>
              </w:rPr>
            </w:pPr>
          </w:p>
        </w:tc>
      </w:tr>
      <w:tr>
        <w:trPr>
          <w:trHeight w:val="220"/>
        </w:trPr>
        <w:tc>
          <w:tcPr>
            <w:tcW w:w="3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Gain on loans held for sale, net (1)</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4,130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27,273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11,310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42,713</w:t>
            </w:r>
          </w:p>
        </w:tc>
        <w:tc>
          <w:tcPr>
            <w:tcW w:w="0" w:type="dxa"/>
            <w:vAlign w:val="bottom"/>
          </w:tcPr>
          <w:p>
            <w:pPr>
              <w:spacing w:after="0"/>
              <w:rPr>
                <w:sz w:val="1"/>
                <w:szCs w:val="1"/>
                <w:color w:val="auto"/>
              </w:rPr>
            </w:pPr>
          </w:p>
        </w:tc>
      </w:tr>
      <w:tr>
        <w:trPr>
          <w:trHeight w:val="220"/>
        </w:trPr>
        <w:tc>
          <w:tcPr>
            <w:tcW w:w="3220" w:type="dxa"/>
            <w:vAlign w:val="bottom"/>
          </w:tcPr>
          <w:p>
            <w:pPr>
              <w:ind w:left="140"/>
              <w:spacing w:after="0"/>
              <w:rPr>
                <w:sz w:val="20"/>
                <w:szCs w:val="20"/>
                <w:color w:val="auto"/>
              </w:rPr>
            </w:pPr>
            <w:r>
              <w:rPr>
                <w:rFonts w:ascii="Arial" w:cs="Arial" w:eastAsia="Arial" w:hAnsi="Arial"/>
                <w:sz w:val="17"/>
                <w:szCs w:val="17"/>
                <w:color w:val="auto"/>
              </w:rPr>
              <w:t>Other revenue, net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497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6,986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1,507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8,990</w:t>
            </w:r>
          </w:p>
        </w:tc>
        <w:tc>
          <w:tcPr>
            <w:tcW w:w="0" w:type="dxa"/>
            <w:vAlign w:val="bottom"/>
          </w:tcPr>
          <w:p>
            <w:pPr>
              <w:spacing w:after="0"/>
              <w:rPr>
                <w:sz w:val="1"/>
                <w:szCs w:val="1"/>
                <w:color w:val="auto"/>
              </w:rPr>
            </w:pPr>
          </w:p>
        </w:tc>
      </w:tr>
      <w:tr>
        <w:trPr>
          <w:trHeight w:val="213"/>
        </w:trPr>
        <w:tc>
          <w:tcPr>
            <w:tcW w:w="322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7"/>
                <w:szCs w:val="17"/>
                <w:color w:val="auto"/>
              </w:rPr>
              <w:t>Revenue</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197,255</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55,373</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1,507</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11,310</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265,445</w:t>
            </w:r>
          </w:p>
        </w:tc>
        <w:tc>
          <w:tcPr>
            <w:tcW w:w="0" w:type="dxa"/>
            <w:vAlign w:val="bottom"/>
          </w:tcPr>
          <w:p>
            <w:pPr>
              <w:spacing w:after="0"/>
              <w:rPr>
                <w:sz w:val="1"/>
                <w:szCs w:val="1"/>
                <w:color w:val="auto"/>
              </w:rPr>
            </w:pPr>
          </w:p>
        </w:tc>
      </w:tr>
      <w:tr>
        <w:trPr>
          <w:trHeight w:val="122"/>
        </w:trPr>
        <w:tc>
          <w:tcPr>
            <w:tcW w:w="3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0"/>
        </w:trPr>
        <w:tc>
          <w:tcPr>
            <w:tcW w:w="3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MSR valuation adjustments, net (1)</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(69,948)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8,808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(11,310)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(72,450)</w:t>
            </w:r>
          </w:p>
        </w:tc>
        <w:tc>
          <w:tcPr>
            <w:tcW w:w="0" w:type="dxa"/>
            <w:vAlign w:val="bottom"/>
          </w:tcPr>
          <w:p>
            <w:pPr>
              <w:spacing w:after="0"/>
              <w:rPr>
                <w:sz w:val="1"/>
                <w:szCs w:val="1"/>
                <w:color w:val="auto"/>
              </w:rPr>
            </w:pPr>
          </w:p>
        </w:tc>
      </w:tr>
      <w:tr>
        <w:trPr>
          <w:trHeight w:val="142"/>
        </w:trPr>
        <w:tc>
          <w:tcPr>
            <w:tcW w:w="3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0"/>
        </w:trPr>
        <w:tc>
          <w:tcPr>
            <w:tcW w:w="32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Operating expenses</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83,626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40,172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26,010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149,808</w:t>
            </w:r>
          </w:p>
        </w:tc>
        <w:tc>
          <w:tcPr>
            <w:tcW w:w="0" w:type="dxa"/>
            <w:vAlign w:val="bottom"/>
          </w:tcPr>
          <w:p>
            <w:pPr>
              <w:spacing w:after="0"/>
              <w:rPr>
                <w:sz w:val="1"/>
                <w:szCs w:val="1"/>
                <w:color w:val="auto"/>
              </w:rPr>
            </w:pPr>
          </w:p>
        </w:tc>
      </w:tr>
      <w:tr>
        <w:trPr>
          <w:trHeight w:val="142"/>
        </w:trPr>
        <w:tc>
          <w:tcPr>
            <w:tcW w:w="3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0"/>
        </w:trPr>
        <w:tc>
          <w:tcPr>
            <w:tcW w:w="32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Other (expense) income:</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220" w:type="dxa"/>
            <w:vAlign w:val="bottom"/>
          </w:tcPr>
          <w:p>
            <w:pPr>
              <w:ind w:left="220"/>
              <w:spacing w:after="0"/>
              <w:rPr>
                <w:sz w:val="20"/>
                <w:szCs w:val="20"/>
                <w:color w:val="auto"/>
              </w:rPr>
            </w:pPr>
            <w:r>
              <w:rPr>
                <w:rFonts w:ascii="Arial" w:cs="Arial" w:eastAsia="Arial" w:hAnsi="Arial"/>
                <w:sz w:val="17"/>
                <w:szCs w:val="17"/>
                <w:color w:val="auto"/>
              </w:rPr>
              <w:t>Interest income</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1,232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2,862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94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4,188</w:t>
            </w:r>
          </w:p>
        </w:tc>
        <w:tc>
          <w:tcPr>
            <w:tcW w:w="0" w:type="dxa"/>
            <w:vAlign w:val="bottom"/>
          </w:tcPr>
          <w:p>
            <w:pPr>
              <w:spacing w:after="0"/>
              <w:rPr>
                <w:sz w:val="1"/>
                <w:szCs w:val="1"/>
                <w:color w:val="auto"/>
              </w:rPr>
            </w:pPr>
          </w:p>
        </w:tc>
      </w:tr>
      <w:tr>
        <w:trPr>
          <w:trHeight w:val="220"/>
        </w:trPr>
        <w:tc>
          <w:tcPr>
            <w:tcW w:w="32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Interest expense</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(17,404)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(4,701)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(11,411)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(33,516)</w:t>
            </w:r>
          </w:p>
        </w:tc>
        <w:tc>
          <w:tcPr>
            <w:tcW w:w="0" w:type="dxa"/>
            <w:vAlign w:val="bottom"/>
          </w:tcPr>
          <w:p>
            <w:pPr>
              <w:spacing w:after="0"/>
              <w:rPr>
                <w:sz w:val="1"/>
                <w:szCs w:val="1"/>
                <w:color w:val="auto"/>
              </w:rPr>
            </w:pPr>
          </w:p>
        </w:tc>
      </w:tr>
      <w:tr>
        <w:trPr>
          <w:trHeight w:val="220"/>
        </w:trPr>
        <w:tc>
          <w:tcPr>
            <w:tcW w:w="3220" w:type="dxa"/>
            <w:vAlign w:val="bottom"/>
          </w:tcPr>
          <w:p>
            <w:pPr>
              <w:ind w:left="220"/>
              <w:spacing w:after="0"/>
              <w:rPr>
                <w:sz w:val="20"/>
                <w:szCs w:val="20"/>
                <w:color w:val="auto"/>
              </w:rPr>
            </w:pPr>
            <w:r>
              <w:rPr>
                <w:rFonts w:ascii="Arial" w:cs="Arial" w:eastAsia="Arial" w:hAnsi="Arial"/>
                <w:sz w:val="17"/>
                <w:szCs w:val="17"/>
                <w:color w:val="auto"/>
              </w:rPr>
              <w:t>Pledged MSR liability expense</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(39,844)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34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(39,810)</w:t>
            </w:r>
          </w:p>
        </w:tc>
        <w:tc>
          <w:tcPr>
            <w:tcW w:w="0" w:type="dxa"/>
            <w:vAlign w:val="bottom"/>
          </w:tcPr>
          <w:p>
            <w:pPr>
              <w:spacing w:after="0"/>
              <w:rPr>
                <w:sz w:val="1"/>
                <w:szCs w:val="1"/>
                <w:color w:val="auto"/>
              </w:rPr>
            </w:pPr>
          </w:p>
        </w:tc>
      </w:tr>
      <w:tr>
        <w:trPr>
          <w:trHeight w:val="220"/>
        </w:trPr>
        <w:tc>
          <w:tcPr>
            <w:tcW w:w="32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Earnings of equity method investee</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350</w:t>
            </w:r>
          </w:p>
        </w:tc>
        <w:tc>
          <w:tcPr>
            <w:tcW w:w="0" w:type="dxa"/>
            <w:vAlign w:val="bottom"/>
          </w:tcPr>
          <w:p>
            <w:pPr>
              <w:spacing w:after="0"/>
              <w:rPr>
                <w:sz w:val="1"/>
                <w:szCs w:val="1"/>
                <w:color w:val="auto"/>
              </w:rPr>
            </w:pPr>
          </w:p>
        </w:tc>
      </w:tr>
      <w:tr>
        <w:trPr>
          <w:trHeight w:val="220"/>
        </w:trPr>
        <w:tc>
          <w:tcPr>
            <w:tcW w:w="3220" w:type="dxa"/>
            <w:vAlign w:val="bottom"/>
          </w:tcPr>
          <w:p>
            <w:pPr>
              <w:ind w:left="220"/>
              <w:spacing w:after="0"/>
              <w:rPr>
                <w:sz w:val="20"/>
                <w:szCs w:val="20"/>
                <w:color w:val="auto"/>
              </w:rPr>
            </w:pPr>
            <w:r>
              <w:rPr>
                <w:rFonts w:ascii="Arial" w:cs="Arial" w:eastAsia="Arial" w:hAnsi="Arial"/>
                <w:sz w:val="17"/>
                <w:szCs w:val="17"/>
                <w:color w:val="auto"/>
              </w:rPr>
              <w:t>Gain (loss) on extinguishment of debt</w:t>
            </w:r>
          </w:p>
        </w:tc>
        <w:tc>
          <w:tcPr>
            <w:tcW w:w="26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32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2,892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640</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3,364</w:t>
            </w:r>
          </w:p>
        </w:tc>
        <w:tc>
          <w:tcPr>
            <w:tcW w:w="0" w:type="dxa"/>
            <w:vAlign w:val="bottom"/>
          </w:tcPr>
          <w:p>
            <w:pPr>
              <w:spacing w:after="0"/>
              <w:rPr>
                <w:sz w:val="1"/>
                <w:szCs w:val="1"/>
                <w:color w:val="auto"/>
              </w:rPr>
            </w:pPr>
          </w:p>
        </w:tc>
      </w:tr>
      <w:tr>
        <w:trPr>
          <w:trHeight w:val="213"/>
        </w:trPr>
        <w:tc>
          <w:tcPr>
            <w:tcW w:w="3220" w:type="dxa"/>
            <w:vAlign w:val="bottom"/>
          </w:tcPr>
          <w:p>
            <w:pPr>
              <w:ind w:left="340"/>
              <w:spacing w:after="0"/>
              <w:rPr>
                <w:sz w:val="20"/>
                <w:szCs w:val="20"/>
                <w:color w:val="auto"/>
              </w:rPr>
            </w:pPr>
            <w:r>
              <w:rPr>
                <w:rFonts w:ascii="Arial" w:cs="Arial" w:eastAsia="Arial" w:hAnsi="Arial"/>
                <w:sz w:val="17"/>
                <w:szCs w:val="17"/>
                <w:color w:val="auto"/>
              </w:rPr>
              <w:t>Other income (expense), net</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(52,774)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(2,007)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(10,643)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(65,424)</w:t>
            </w:r>
          </w:p>
        </w:tc>
        <w:tc>
          <w:tcPr>
            <w:tcW w:w="0" w:type="dxa"/>
            <w:vAlign w:val="bottom"/>
          </w:tcPr>
          <w:p>
            <w:pPr>
              <w:spacing w:after="0"/>
              <w:rPr>
                <w:sz w:val="1"/>
                <w:szCs w:val="1"/>
                <w:color w:val="auto"/>
              </w:rPr>
            </w:pPr>
          </w:p>
        </w:tc>
      </w:tr>
      <w:tr>
        <w:trPr>
          <w:trHeight w:val="122"/>
        </w:trPr>
        <w:tc>
          <w:tcPr>
            <w:tcW w:w="3220" w:type="dxa"/>
            <w:vAlign w:val="bottom"/>
            <w:tcBorders>
              <w:top w:val="single" w:sz="8" w:color="CCEEFF"/>
            </w:tcBorders>
            <w:shd w:val="clear" w:color="auto" w:fill="CCEEFF"/>
          </w:tcPr>
          <w:p>
            <w:pPr>
              <w:spacing w:after="0"/>
              <w:rPr>
                <w:sz w:val="10"/>
                <w:szCs w:val="10"/>
                <w:color w:val="auto"/>
              </w:rPr>
            </w:pPr>
          </w:p>
        </w:tc>
        <w:tc>
          <w:tcPr>
            <w:tcW w:w="260" w:type="dxa"/>
            <w:vAlign w:val="bottom"/>
            <w:tcBorders>
              <w:top w:val="single" w:sz="8" w:color="auto"/>
              <w:bottom w:val="single" w:sz="8" w:color="auto"/>
            </w:tcBorders>
            <w:shd w:val="clear" w:color="auto" w:fill="CCEEFF"/>
          </w:tcPr>
          <w:p>
            <w:pPr>
              <w:spacing w:after="0"/>
              <w:rPr>
                <w:sz w:val="10"/>
                <w:szCs w:val="10"/>
                <w:color w:val="auto"/>
              </w:rPr>
            </w:pPr>
          </w:p>
        </w:tc>
        <w:tc>
          <w:tcPr>
            <w:tcW w:w="1260" w:type="dxa"/>
            <w:vAlign w:val="bottom"/>
            <w:tcBorders>
              <w:top w:val="single" w:sz="8" w:color="auto"/>
              <w:bottom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bottom w:val="single" w:sz="8" w:color="auto"/>
            </w:tcBorders>
            <w:shd w:val="clear" w:color="auto" w:fill="CCEEFF"/>
          </w:tcPr>
          <w:p>
            <w:pPr>
              <w:spacing w:after="0"/>
              <w:rPr>
                <w:sz w:val="10"/>
                <w:szCs w:val="10"/>
                <w:color w:val="auto"/>
              </w:rPr>
            </w:pPr>
          </w:p>
        </w:tc>
        <w:tc>
          <w:tcPr>
            <w:tcW w:w="1320" w:type="dxa"/>
            <w:vAlign w:val="bottom"/>
            <w:tcBorders>
              <w:top w:val="single" w:sz="8" w:color="auto"/>
              <w:bottom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bottom w:val="single" w:sz="8" w:color="auto"/>
            </w:tcBorders>
            <w:shd w:val="clear" w:color="auto" w:fill="CCEEFF"/>
          </w:tcPr>
          <w:p>
            <w:pPr>
              <w:spacing w:after="0"/>
              <w:rPr>
                <w:sz w:val="10"/>
                <w:szCs w:val="10"/>
                <w:color w:val="auto"/>
              </w:rPr>
            </w:pPr>
          </w:p>
        </w:tc>
        <w:tc>
          <w:tcPr>
            <w:tcW w:w="1380" w:type="dxa"/>
            <w:vAlign w:val="bottom"/>
            <w:tcBorders>
              <w:top w:val="single" w:sz="8" w:color="auto"/>
              <w:bottom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bottom w:val="single" w:sz="8" w:color="auto"/>
            </w:tcBorders>
            <w:shd w:val="clear" w:color="auto" w:fill="CCEEFF"/>
          </w:tcPr>
          <w:p>
            <w:pPr>
              <w:spacing w:after="0"/>
              <w:rPr>
                <w:sz w:val="10"/>
                <w:szCs w:val="10"/>
                <w:color w:val="auto"/>
              </w:rPr>
            </w:pPr>
          </w:p>
        </w:tc>
        <w:tc>
          <w:tcPr>
            <w:tcW w:w="1400" w:type="dxa"/>
            <w:vAlign w:val="bottom"/>
            <w:tcBorders>
              <w:top w:val="single" w:sz="8" w:color="auto"/>
              <w:bottom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bottom w:val="single" w:sz="8" w:color="auto"/>
            </w:tcBorders>
            <w:shd w:val="clear" w:color="auto" w:fill="CCEEFF"/>
          </w:tcPr>
          <w:p>
            <w:pPr>
              <w:spacing w:after="0"/>
              <w:rPr>
                <w:sz w:val="10"/>
                <w:szCs w:val="10"/>
                <w:color w:val="auto"/>
              </w:rPr>
            </w:pPr>
          </w:p>
        </w:tc>
        <w:tc>
          <w:tcPr>
            <w:tcW w:w="1320" w:type="dxa"/>
            <w:vAlign w:val="bottom"/>
            <w:tcBorders>
              <w:top w:val="single" w:sz="8" w:color="auto"/>
              <w:bottom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13"/>
        </w:trPr>
        <w:tc>
          <w:tcPr>
            <w:tcW w:w="3220" w:type="dxa"/>
            <w:vAlign w:val="bottom"/>
          </w:tcPr>
          <w:p>
            <w:pPr>
              <w:ind w:left="180"/>
              <w:spacing w:after="0"/>
              <w:rPr>
                <w:sz w:val="20"/>
                <w:szCs w:val="20"/>
                <w:color w:val="auto"/>
              </w:rPr>
            </w:pPr>
            <w:r>
              <w:rPr>
                <w:rFonts w:ascii="Arial" w:cs="Arial" w:eastAsia="Arial" w:hAnsi="Arial"/>
                <w:sz w:val="17"/>
                <w:szCs w:val="17"/>
                <w:color w:val="auto"/>
              </w:rPr>
              <w:t>Income (loss) before income taxes</w:t>
            </w: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(9,093)</w:t>
            </w:r>
          </w:p>
        </w:tc>
        <w:tc>
          <w:tcPr>
            <w:tcW w:w="100" w:type="dxa"/>
            <w:vAlign w:val="bottom"/>
          </w:tcPr>
          <w:p>
            <w:pPr>
              <w:spacing w:after="0"/>
              <w:rPr>
                <w:sz w:val="18"/>
                <w:szCs w:val="18"/>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22,002</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(35,146)</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5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(22,237)</w:t>
            </w:r>
          </w:p>
        </w:tc>
        <w:tc>
          <w:tcPr>
            <w:tcW w:w="0" w:type="dxa"/>
            <w:vAlign w:val="bottom"/>
          </w:tcPr>
          <w:p>
            <w:pPr>
              <w:spacing w:after="0"/>
              <w:rPr>
                <w:sz w:val="1"/>
                <w:szCs w:val="1"/>
                <w:color w:val="auto"/>
              </w:rPr>
            </w:pPr>
          </w:p>
        </w:tc>
      </w:tr>
      <w:tr>
        <w:trPr>
          <w:trHeight w:val="20"/>
        </w:trPr>
        <w:tc>
          <w:tcPr>
            <w:tcW w:w="322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32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2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3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3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3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20"/>
        </w:trPr>
        <w:tc>
          <w:tcPr>
            <w:tcW w:w="3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680" w:type="dxa"/>
            <w:vAlign w:val="bottom"/>
            <w:tcBorders>
              <w:bottom w:val="single" w:sz="8" w:color="auto"/>
            </w:tcBorders>
            <w:gridSpan w:val="8"/>
          </w:tcPr>
          <w:p>
            <w:pPr>
              <w:jc w:val="center"/>
              <w:ind w:right="280"/>
              <w:spacing w:after="0"/>
              <w:rPr>
                <w:sz w:val="20"/>
                <w:szCs w:val="20"/>
                <w:color w:val="auto"/>
              </w:rPr>
            </w:pPr>
            <w:r>
              <w:rPr>
                <w:rFonts w:ascii="Arial" w:cs="Arial" w:eastAsia="Arial" w:hAnsi="Arial"/>
                <w:sz w:val="17"/>
                <w:szCs w:val="17"/>
                <w:b w:val="1"/>
                <w:bCs w:val="1"/>
                <w:color w:val="auto"/>
                <w:w w:val="91"/>
              </w:rPr>
              <w:t>Six Months Ended June 30, 2022</w:t>
            </w: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1"/>
        </w:trPr>
        <w:tc>
          <w:tcPr>
            <w:tcW w:w="322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Results of Operations</w:t>
            </w:r>
          </w:p>
        </w:tc>
        <w:tc>
          <w:tcPr>
            <w:tcW w:w="260" w:type="dxa"/>
            <w:vAlign w:val="bottom"/>
          </w:tcPr>
          <w:p>
            <w:pPr>
              <w:spacing w:after="0"/>
              <w:rPr>
                <w:sz w:val="13"/>
                <w:szCs w:val="13"/>
                <w:color w:val="auto"/>
              </w:rPr>
            </w:pPr>
          </w:p>
        </w:tc>
        <w:tc>
          <w:tcPr>
            <w:tcW w:w="1260" w:type="dxa"/>
            <w:vAlign w:val="bottom"/>
            <w:vMerge w:val="restart"/>
          </w:tcPr>
          <w:p>
            <w:pPr>
              <w:jc w:val="right"/>
              <w:ind w:right="334"/>
              <w:spacing w:after="0"/>
              <w:rPr>
                <w:sz w:val="20"/>
                <w:szCs w:val="20"/>
                <w:color w:val="auto"/>
              </w:rPr>
            </w:pPr>
            <w:r>
              <w:rPr>
                <w:rFonts w:ascii="Arial" w:cs="Arial" w:eastAsia="Arial" w:hAnsi="Arial"/>
                <w:sz w:val="17"/>
                <w:szCs w:val="17"/>
                <w:b w:val="1"/>
                <w:bCs w:val="1"/>
                <w:color w:val="auto"/>
              </w:rPr>
              <w:t>Servicing</w:t>
            </w:r>
          </w:p>
        </w:tc>
        <w:tc>
          <w:tcPr>
            <w:tcW w:w="10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vMerge w:val="restart"/>
          </w:tcPr>
          <w:p>
            <w:pPr>
              <w:jc w:val="right"/>
              <w:ind w:right="214"/>
              <w:spacing w:after="0"/>
              <w:rPr>
                <w:sz w:val="20"/>
                <w:szCs w:val="20"/>
                <w:color w:val="auto"/>
              </w:rPr>
            </w:pPr>
            <w:r>
              <w:rPr>
                <w:rFonts w:ascii="Arial" w:cs="Arial" w:eastAsia="Arial" w:hAnsi="Arial"/>
                <w:sz w:val="17"/>
                <w:szCs w:val="17"/>
                <w:b w:val="1"/>
                <w:bCs w:val="1"/>
                <w:color w:val="auto"/>
                <w:w w:val="99"/>
              </w:rPr>
              <w:t>Originations</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500" w:type="dxa"/>
            <w:vAlign w:val="bottom"/>
            <w:gridSpan w:val="2"/>
          </w:tcPr>
          <w:p>
            <w:pPr>
              <w:jc w:val="center"/>
              <w:ind w:right="240"/>
              <w:spacing w:after="0" w:line="161" w:lineRule="exact"/>
              <w:rPr>
                <w:sz w:val="20"/>
                <w:szCs w:val="20"/>
                <w:color w:val="auto"/>
              </w:rPr>
            </w:pPr>
            <w:r>
              <w:rPr>
                <w:rFonts w:ascii="Arial" w:cs="Arial" w:eastAsia="Arial" w:hAnsi="Arial"/>
                <w:sz w:val="17"/>
                <w:szCs w:val="17"/>
                <w:b w:val="1"/>
                <w:bCs w:val="1"/>
                <w:color w:val="auto"/>
                <w:w w:val="93"/>
              </w:rPr>
              <w:t>Corporate Items</w:t>
            </w:r>
          </w:p>
        </w:tc>
        <w:tc>
          <w:tcPr>
            <w:tcW w:w="120" w:type="dxa"/>
            <w:vAlign w:val="bottom"/>
          </w:tcPr>
          <w:p>
            <w:pPr>
              <w:spacing w:after="0"/>
              <w:rPr>
                <w:sz w:val="13"/>
                <w:szCs w:val="13"/>
                <w:color w:val="auto"/>
              </w:rPr>
            </w:pPr>
          </w:p>
        </w:tc>
        <w:tc>
          <w:tcPr>
            <w:tcW w:w="1500" w:type="dxa"/>
            <w:vAlign w:val="bottom"/>
            <w:gridSpan w:val="2"/>
          </w:tcPr>
          <w:p>
            <w:pPr>
              <w:jc w:val="center"/>
              <w:ind w:right="220"/>
              <w:spacing w:after="0" w:line="161" w:lineRule="exact"/>
              <w:rPr>
                <w:sz w:val="20"/>
                <w:szCs w:val="20"/>
                <w:color w:val="auto"/>
              </w:rPr>
            </w:pPr>
            <w:r>
              <w:rPr>
                <w:rFonts w:ascii="Arial" w:cs="Arial" w:eastAsia="Arial" w:hAnsi="Arial"/>
                <w:sz w:val="17"/>
                <w:szCs w:val="17"/>
                <w:b w:val="1"/>
                <w:bCs w:val="1"/>
                <w:color w:val="auto"/>
                <w:w w:val="93"/>
              </w:rPr>
              <w:t>Corporate</w:t>
            </w:r>
          </w:p>
        </w:tc>
        <w:tc>
          <w:tcPr>
            <w:tcW w:w="1520" w:type="dxa"/>
            <w:vAlign w:val="bottom"/>
            <w:gridSpan w:val="2"/>
          </w:tcPr>
          <w:p>
            <w:pPr>
              <w:jc w:val="center"/>
              <w:spacing w:after="0" w:line="161" w:lineRule="exact"/>
              <w:rPr>
                <w:sz w:val="20"/>
                <w:szCs w:val="20"/>
                <w:color w:val="auto"/>
              </w:rPr>
            </w:pPr>
            <w:r>
              <w:rPr>
                <w:rFonts w:ascii="Arial" w:cs="Arial" w:eastAsia="Arial" w:hAnsi="Arial"/>
                <w:sz w:val="17"/>
                <w:szCs w:val="17"/>
                <w:b w:val="1"/>
                <w:bCs w:val="1"/>
                <w:color w:val="auto"/>
                <w:w w:val="84"/>
              </w:rPr>
              <w:t>Business Segments</w:t>
            </w:r>
          </w:p>
        </w:tc>
        <w:tc>
          <w:tcPr>
            <w:tcW w:w="0" w:type="dxa"/>
            <w:vAlign w:val="bottom"/>
          </w:tcPr>
          <w:p>
            <w:pPr>
              <w:spacing w:after="0"/>
              <w:rPr>
                <w:sz w:val="1"/>
                <w:szCs w:val="1"/>
                <w:color w:val="auto"/>
              </w:rPr>
            </w:pPr>
          </w:p>
        </w:tc>
      </w:tr>
      <w:tr>
        <w:trPr>
          <w:trHeight w:val="220"/>
        </w:trPr>
        <w:tc>
          <w:tcPr>
            <w:tcW w:w="3220" w:type="dxa"/>
            <w:vAlign w:val="bottom"/>
            <w:tcBorders>
              <w:bottom w:val="single" w:sz="8" w:color="CCEEFF"/>
            </w:tcBorders>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center"/>
              <w:ind w:right="54"/>
              <w:spacing w:after="0"/>
              <w:rPr>
                <w:sz w:val="20"/>
                <w:szCs w:val="20"/>
                <w:color w:val="auto"/>
              </w:rPr>
            </w:pPr>
            <w:r>
              <w:rPr>
                <w:rFonts w:ascii="Arial" w:cs="Arial" w:eastAsia="Arial" w:hAnsi="Arial"/>
                <w:sz w:val="17"/>
                <w:szCs w:val="17"/>
                <w:b w:val="1"/>
                <w:bCs w:val="1"/>
                <w:color w:val="auto"/>
                <w:w w:val="94"/>
              </w:rPr>
              <w:t>and Other</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center"/>
              <w:ind w:right="54"/>
              <w:spacing w:after="0"/>
              <w:rPr>
                <w:sz w:val="20"/>
                <w:szCs w:val="20"/>
                <w:color w:val="auto"/>
              </w:rPr>
            </w:pPr>
            <w:r>
              <w:rPr>
                <w:rFonts w:ascii="Arial" w:cs="Arial" w:eastAsia="Arial" w:hAnsi="Arial"/>
                <w:sz w:val="17"/>
                <w:szCs w:val="17"/>
                <w:b w:val="1"/>
                <w:bCs w:val="1"/>
                <w:color w:val="auto"/>
                <w:w w:val="93"/>
              </w:rPr>
              <w:t>Eliminations (1)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ind w:right="114"/>
              <w:spacing w:after="0"/>
              <w:rPr>
                <w:sz w:val="20"/>
                <w:szCs w:val="20"/>
                <w:color w:val="auto"/>
              </w:rPr>
            </w:pPr>
            <w:r>
              <w:rPr>
                <w:rFonts w:ascii="Arial" w:cs="Arial" w:eastAsia="Arial" w:hAnsi="Arial"/>
                <w:sz w:val="17"/>
                <w:szCs w:val="17"/>
                <w:b w:val="1"/>
                <w:bCs w:val="1"/>
                <w:color w:val="auto"/>
                <w:w w:val="89"/>
              </w:rPr>
              <w:t>Consolidated</w:t>
            </w:r>
          </w:p>
        </w:tc>
        <w:tc>
          <w:tcPr>
            <w:tcW w:w="0" w:type="dxa"/>
            <w:vAlign w:val="bottom"/>
          </w:tcPr>
          <w:p>
            <w:pPr>
              <w:spacing w:after="0"/>
              <w:rPr>
                <w:sz w:val="1"/>
                <w:szCs w:val="1"/>
                <w:color w:val="auto"/>
              </w:rPr>
            </w:pPr>
          </w:p>
        </w:tc>
      </w:tr>
      <w:tr>
        <w:trPr>
          <w:trHeight w:val="213"/>
        </w:trPr>
        <w:tc>
          <w:tcPr>
            <w:tcW w:w="32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Servicing and subservicing fees</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426,701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427,754</w:t>
            </w:r>
          </w:p>
        </w:tc>
        <w:tc>
          <w:tcPr>
            <w:tcW w:w="0" w:type="dxa"/>
            <w:vAlign w:val="bottom"/>
          </w:tcPr>
          <w:p>
            <w:pPr>
              <w:spacing w:after="0"/>
              <w:rPr>
                <w:sz w:val="1"/>
                <w:szCs w:val="1"/>
                <w:color w:val="auto"/>
              </w:rPr>
            </w:pPr>
          </w:p>
        </w:tc>
      </w:tr>
      <w:tr>
        <w:trPr>
          <w:trHeight w:val="220"/>
        </w:trPr>
        <w:tc>
          <w:tcPr>
            <w:tcW w:w="3220" w:type="dxa"/>
            <w:vAlign w:val="bottom"/>
          </w:tcPr>
          <w:p>
            <w:pPr>
              <w:ind w:left="120"/>
              <w:spacing w:after="0"/>
              <w:rPr>
                <w:sz w:val="20"/>
                <w:szCs w:val="20"/>
                <w:color w:val="auto"/>
              </w:rPr>
            </w:pPr>
            <w:r>
              <w:rPr>
                <w:rFonts w:ascii="Arial" w:cs="Arial" w:eastAsia="Arial" w:hAnsi="Arial"/>
                <w:sz w:val="17"/>
                <w:szCs w:val="17"/>
                <w:color w:val="auto"/>
              </w:rPr>
              <w:t>Reverse mortgage revenue, net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(30,881)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41,375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10,494</w:t>
            </w:r>
          </w:p>
        </w:tc>
        <w:tc>
          <w:tcPr>
            <w:tcW w:w="0" w:type="dxa"/>
            <w:vAlign w:val="bottom"/>
          </w:tcPr>
          <w:p>
            <w:pPr>
              <w:spacing w:after="0"/>
              <w:rPr>
                <w:sz w:val="1"/>
                <w:szCs w:val="1"/>
                <w:color w:val="auto"/>
              </w:rPr>
            </w:pPr>
          </w:p>
        </w:tc>
      </w:tr>
      <w:tr>
        <w:trPr>
          <w:trHeight w:val="220"/>
        </w:trPr>
        <w:tc>
          <w:tcPr>
            <w:tcW w:w="32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Gain on loans held for sale, net (1)</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(14,169)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25,313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(13,410)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(2,266)</w:t>
            </w:r>
          </w:p>
        </w:tc>
        <w:tc>
          <w:tcPr>
            <w:tcW w:w="0" w:type="dxa"/>
            <w:vAlign w:val="bottom"/>
          </w:tcPr>
          <w:p>
            <w:pPr>
              <w:spacing w:after="0"/>
              <w:rPr>
                <w:sz w:val="1"/>
                <w:szCs w:val="1"/>
                <w:color w:val="auto"/>
              </w:rPr>
            </w:pPr>
          </w:p>
        </w:tc>
      </w:tr>
      <w:tr>
        <w:trPr>
          <w:trHeight w:val="220"/>
        </w:trPr>
        <w:tc>
          <w:tcPr>
            <w:tcW w:w="3220" w:type="dxa"/>
            <w:vAlign w:val="bottom"/>
          </w:tcPr>
          <w:p>
            <w:pPr>
              <w:ind w:left="120"/>
              <w:spacing w:after="0"/>
              <w:rPr>
                <w:sz w:val="20"/>
                <w:szCs w:val="20"/>
                <w:color w:val="auto"/>
              </w:rPr>
            </w:pPr>
            <w:r>
              <w:rPr>
                <w:rFonts w:ascii="Arial" w:cs="Arial" w:eastAsia="Arial" w:hAnsi="Arial"/>
                <w:sz w:val="17"/>
                <w:szCs w:val="17"/>
                <w:color w:val="auto"/>
              </w:rPr>
              <w:t>Other revenue, net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764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13,542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3,433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17,740</w:t>
            </w:r>
          </w:p>
        </w:tc>
        <w:tc>
          <w:tcPr>
            <w:tcW w:w="0" w:type="dxa"/>
            <w:vAlign w:val="bottom"/>
          </w:tcPr>
          <w:p>
            <w:pPr>
              <w:spacing w:after="0"/>
              <w:rPr>
                <w:sz w:val="1"/>
                <w:szCs w:val="1"/>
                <w:color w:val="auto"/>
              </w:rPr>
            </w:pPr>
          </w:p>
        </w:tc>
      </w:tr>
      <w:tr>
        <w:trPr>
          <w:trHeight w:val="213"/>
        </w:trPr>
        <w:tc>
          <w:tcPr>
            <w:tcW w:w="322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Revenue</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382,415</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81,283</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3,433</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(13,410)</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453,722</w:t>
            </w:r>
          </w:p>
        </w:tc>
        <w:tc>
          <w:tcPr>
            <w:tcW w:w="0" w:type="dxa"/>
            <w:vAlign w:val="bottom"/>
          </w:tcPr>
          <w:p>
            <w:pPr>
              <w:spacing w:after="0"/>
              <w:rPr>
                <w:sz w:val="1"/>
                <w:szCs w:val="1"/>
                <w:color w:val="auto"/>
              </w:rPr>
            </w:pPr>
          </w:p>
        </w:tc>
      </w:tr>
      <w:tr>
        <w:trPr>
          <w:trHeight w:val="122"/>
        </w:trPr>
        <w:tc>
          <w:tcPr>
            <w:tcW w:w="3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0"/>
        </w:trPr>
        <w:tc>
          <w:tcPr>
            <w:tcW w:w="32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MSR valuation adjustments, net (1)</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78,732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3,688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13,410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95,830</w:t>
            </w:r>
          </w:p>
        </w:tc>
        <w:tc>
          <w:tcPr>
            <w:tcW w:w="0" w:type="dxa"/>
            <w:vAlign w:val="bottom"/>
          </w:tcPr>
          <w:p>
            <w:pPr>
              <w:spacing w:after="0"/>
              <w:rPr>
                <w:sz w:val="1"/>
                <w:szCs w:val="1"/>
                <w:color w:val="auto"/>
              </w:rPr>
            </w:pPr>
          </w:p>
        </w:tc>
      </w:tr>
      <w:tr>
        <w:trPr>
          <w:trHeight w:val="142"/>
        </w:trPr>
        <w:tc>
          <w:tcPr>
            <w:tcW w:w="3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0"/>
        </w:trPr>
        <w:tc>
          <w:tcPr>
            <w:tcW w:w="32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Operating expenses</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156,783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88,710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25,896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271,389</w:t>
            </w:r>
          </w:p>
        </w:tc>
        <w:tc>
          <w:tcPr>
            <w:tcW w:w="0" w:type="dxa"/>
            <w:vAlign w:val="bottom"/>
          </w:tcPr>
          <w:p>
            <w:pPr>
              <w:spacing w:after="0"/>
              <w:rPr>
                <w:sz w:val="1"/>
                <w:szCs w:val="1"/>
                <w:color w:val="auto"/>
              </w:rPr>
            </w:pPr>
          </w:p>
        </w:tc>
      </w:tr>
      <w:tr>
        <w:trPr>
          <w:trHeight w:val="142"/>
        </w:trPr>
        <w:tc>
          <w:tcPr>
            <w:tcW w:w="3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0"/>
        </w:trPr>
        <w:tc>
          <w:tcPr>
            <w:tcW w:w="32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Other (expense) income:</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220" w:type="dxa"/>
            <w:vAlign w:val="bottom"/>
          </w:tcPr>
          <w:p>
            <w:pPr>
              <w:ind w:left="220"/>
              <w:spacing w:after="0"/>
              <w:rPr>
                <w:sz w:val="20"/>
                <w:szCs w:val="20"/>
                <w:color w:val="auto"/>
              </w:rPr>
            </w:pPr>
            <w:r>
              <w:rPr>
                <w:rFonts w:ascii="Arial" w:cs="Arial" w:eastAsia="Arial" w:hAnsi="Arial"/>
                <w:sz w:val="17"/>
                <w:szCs w:val="17"/>
                <w:color w:val="auto"/>
              </w:rPr>
              <w:t>Interest income</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7,052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9,582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225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16,858</w:t>
            </w:r>
          </w:p>
        </w:tc>
        <w:tc>
          <w:tcPr>
            <w:tcW w:w="0" w:type="dxa"/>
            <w:vAlign w:val="bottom"/>
          </w:tcPr>
          <w:p>
            <w:pPr>
              <w:spacing w:after="0"/>
              <w:rPr>
                <w:sz w:val="1"/>
                <w:szCs w:val="1"/>
                <w:color w:val="auto"/>
              </w:rPr>
            </w:pPr>
          </w:p>
        </w:tc>
      </w:tr>
      <w:tr>
        <w:trPr>
          <w:trHeight w:val="220"/>
        </w:trPr>
        <w:tc>
          <w:tcPr>
            <w:tcW w:w="32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Interest expense</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(45,398)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(9,370)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(20,967)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(75,736)</w:t>
            </w:r>
          </w:p>
        </w:tc>
        <w:tc>
          <w:tcPr>
            <w:tcW w:w="0" w:type="dxa"/>
            <w:vAlign w:val="bottom"/>
          </w:tcPr>
          <w:p>
            <w:pPr>
              <w:spacing w:after="0"/>
              <w:rPr>
                <w:sz w:val="1"/>
                <w:szCs w:val="1"/>
                <w:color w:val="auto"/>
              </w:rPr>
            </w:pPr>
          </w:p>
        </w:tc>
      </w:tr>
      <w:tr>
        <w:trPr>
          <w:trHeight w:val="220"/>
        </w:trPr>
        <w:tc>
          <w:tcPr>
            <w:tcW w:w="3220" w:type="dxa"/>
            <w:vAlign w:val="bottom"/>
          </w:tcPr>
          <w:p>
            <w:pPr>
              <w:ind w:left="220"/>
              <w:spacing w:after="0"/>
              <w:rPr>
                <w:sz w:val="20"/>
                <w:szCs w:val="20"/>
                <w:color w:val="auto"/>
              </w:rPr>
            </w:pPr>
            <w:r>
              <w:rPr>
                <w:rFonts w:ascii="Arial" w:cs="Arial" w:eastAsia="Arial" w:hAnsi="Arial"/>
                <w:sz w:val="17"/>
                <w:szCs w:val="17"/>
                <w:color w:val="auto"/>
              </w:rPr>
              <w:t>Pledged MSR liability expense</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(161,005)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25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(160,980)</w:t>
            </w:r>
          </w:p>
        </w:tc>
        <w:tc>
          <w:tcPr>
            <w:tcW w:w="0" w:type="dxa"/>
            <w:vAlign w:val="bottom"/>
          </w:tcPr>
          <w:p>
            <w:pPr>
              <w:spacing w:after="0"/>
              <w:rPr>
                <w:sz w:val="1"/>
                <w:szCs w:val="1"/>
                <w:color w:val="auto"/>
              </w:rPr>
            </w:pPr>
          </w:p>
        </w:tc>
      </w:tr>
      <w:tr>
        <w:trPr>
          <w:trHeight w:val="220"/>
        </w:trPr>
        <w:tc>
          <w:tcPr>
            <w:tcW w:w="32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Earnings of equity method investee</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15,935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15,935</w:t>
            </w:r>
          </w:p>
        </w:tc>
        <w:tc>
          <w:tcPr>
            <w:tcW w:w="0" w:type="dxa"/>
            <w:vAlign w:val="bottom"/>
          </w:tcPr>
          <w:p>
            <w:pPr>
              <w:spacing w:after="0"/>
              <w:rPr>
                <w:sz w:val="1"/>
                <w:szCs w:val="1"/>
                <w:color w:val="auto"/>
              </w:rPr>
            </w:pPr>
          </w:p>
        </w:tc>
      </w:tr>
      <w:tr>
        <w:trPr>
          <w:trHeight w:val="220"/>
        </w:trPr>
        <w:tc>
          <w:tcPr>
            <w:tcW w:w="3220" w:type="dxa"/>
            <w:vAlign w:val="bottom"/>
          </w:tcPr>
          <w:p>
            <w:pPr>
              <w:ind w:left="220"/>
              <w:spacing w:after="0"/>
              <w:rPr>
                <w:sz w:val="20"/>
                <w:szCs w:val="20"/>
                <w:color w:val="auto"/>
              </w:rPr>
            </w:pPr>
            <w:r>
              <w:rPr>
                <w:rFonts w:ascii="Arial" w:cs="Arial" w:eastAsia="Arial" w:hAnsi="Arial"/>
                <w:sz w:val="17"/>
                <w:szCs w:val="17"/>
                <w:color w:val="auto"/>
              </w:rPr>
              <w:t>Gain (loss) on extinguishment of debt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(33)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947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914</w:t>
            </w:r>
          </w:p>
        </w:tc>
        <w:tc>
          <w:tcPr>
            <w:tcW w:w="0" w:type="dxa"/>
            <w:vAlign w:val="bottom"/>
          </w:tcPr>
          <w:p>
            <w:pPr>
              <w:spacing w:after="0"/>
              <w:rPr>
                <w:sz w:val="1"/>
                <w:szCs w:val="1"/>
                <w:color w:val="auto"/>
              </w:rPr>
            </w:pPr>
          </w:p>
        </w:tc>
      </w:tr>
      <w:tr>
        <w:trPr>
          <w:trHeight w:val="220"/>
        </w:trPr>
        <w:tc>
          <w:tcPr>
            <w:tcW w:w="32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(3,564)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(1,126)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291</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(4,399)</w:t>
            </w:r>
          </w:p>
        </w:tc>
        <w:tc>
          <w:tcPr>
            <w:tcW w:w="0" w:type="dxa"/>
            <w:vAlign w:val="bottom"/>
          </w:tcPr>
          <w:p>
            <w:pPr>
              <w:spacing w:after="0"/>
              <w:rPr>
                <w:sz w:val="1"/>
                <w:szCs w:val="1"/>
                <w:color w:val="auto"/>
              </w:rPr>
            </w:pPr>
          </w:p>
        </w:tc>
      </w:tr>
      <w:tr>
        <w:trPr>
          <w:trHeight w:val="213"/>
        </w:trPr>
        <w:tc>
          <w:tcPr>
            <w:tcW w:w="3220" w:type="dxa"/>
            <w:vAlign w:val="bottom"/>
          </w:tcPr>
          <w:p>
            <w:pPr>
              <w:ind w:left="340"/>
              <w:spacing w:after="0"/>
              <w:rPr>
                <w:sz w:val="20"/>
                <w:szCs w:val="20"/>
                <w:color w:val="auto"/>
              </w:rPr>
            </w:pPr>
            <w:r>
              <w:rPr>
                <w:rFonts w:ascii="Arial" w:cs="Arial" w:eastAsia="Arial" w:hAnsi="Arial"/>
                <w:sz w:val="17"/>
                <w:szCs w:val="17"/>
                <w:color w:val="auto"/>
              </w:rPr>
              <w:t>Other expense, net</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(187,013)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(914)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(19,479)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(207,408)</w:t>
            </w:r>
          </w:p>
        </w:tc>
        <w:tc>
          <w:tcPr>
            <w:tcW w:w="0" w:type="dxa"/>
            <w:vAlign w:val="bottom"/>
          </w:tcPr>
          <w:p>
            <w:pPr>
              <w:spacing w:after="0"/>
              <w:rPr>
                <w:sz w:val="1"/>
                <w:szCs w:val="1"/>
                <w:color w:val="auto"/>
              </w:rPr>
            </w:pPr>
          </w:p>
        </w:tc>
      </w:tr>
      <w:tr>
        <w:trPr>
          <w:trHeight w:val="122"/>
        </w:trPr>
        <w:tc>
          <w:tcPr>
            <w:tcW w:w="3220" w:type="dxa"/>
            <w:vAlign w:val="bottom"/>
            <w:tcBorders>
              <w:top w:val="single" w:sz="8" w:color="CCEEFF"/>
            </w:tcBorders>
            <w:shd w:val="clear" w:color="auto" w:fill="CCEEFF"/>
          </w:tcPr>
          <w:p>
            <w:pPr>
              <w:spacing w:after="0"/>
              <w:rPr>
                <w:sz w:val="10"/>
                <w:szCs w:val="10"/>
                <w:color w:val="auto"/>
              </w:rPr>
            </w:pPr>
          </w:p>
        </w:tc>
        <w:tc>
          <w:tcPr>
            <w:tcW w:w="260" w:type="dxa"/>
            <w:vAlign w:val="bottom"/>
            <w:tcBorders>
              <w:top w:val="single" w:sz="8" w:color="auto"/>
              <w:bottom w:val="single" w:sz="8" w:color="auto"/>
            </w:tcBorders>
            <w:shd w:val="clear" w:color="auto" w:fill="CCEEFF"/>
          </w:tcPr>
          <w:p>
            <w:pPr>
              <w:spacing w:after="0"/>
              <w:rPr>
                <w:sz w:val="10"/>
                <w:szCs w:val="10"/>
                <w:color w:val="auto"/>
              </w:rPr>
            </w:pPr>
          </w:p>
        </w:tc>
        <w:tc>
          <w:tcPr>
            <w:tcW w:w="1260" w:type="dxa"/>
            <w:vAlign w:val="bottom"/>
            <w:tcBorders>
              <w:top w:val="single" w:sz="8" w:color="auto"/>
              <w:bottom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bottom w:val="single" w:sz="8" w:color="auto"/>
            </w:tcBorders>
            <w:shd w:val="clear" w:color="auto" w:fill="CCEEFF"/>
          </w:tcPr>
          <w:p>
            <w:pPr>
              <w:spacing w:after="0"/>
              <w:rPr>
                <w:sz w:val="10"/>
                <w:szCs w:val="10"/>
                <w:color w:val="auto"/>
              </w:rPr>
            </w:pPr>
          </w:p>
        </w:tc>
        <w:tc>
          <w:tcPr>
            <w:tcW w:w="1320" w:type="dxa"/>
            <w:vAlign w:val="bottom"/>
            <w:tcBorders>
              <w:top w:val="single" w:sz="8" w:color="auto"/>
              <w:bottom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bottom w:val="single" w:sz="8" w:color="auto"/>
            </w:tcBorders>
            <w:shd w:val="clear" w:color="auto" w:fill="CCEEFF"/>
          </w:tcPr>
          <w:p>
            <w:pPr>
              <w:spacing w:after="0"/>
              <w:rPr>
                <w:sz w:val="10"/>
                <w:szCs w:val="10"/>
                <w:color w:val="auto"/>
              </w:rPr>
            </w:pPr>
          </w:p>
        </w:tc>
        <w:tc>
          <w:tcPr>
            <w:tcW w:w="1380" w:type="dxa"/>
            <w:vAlign w:val="bottom"/>
            <w:tcBorders>
              <w:top w:val="single" w:sz="8" w:color="auto"/>
              <w:bottom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bottom w:val="single" w:sz="8" w:color="auto"/>
            </w:tcBorders>
            <w:shd w:val="clear" w:color="auto" w:fill="CCEEFF"/>
          </w:tcPr>
          <w:p>
            <w:pPr>
              <w:spacing w:after="0"/>
              <w:rPr>
                <w:sz w:val="10"/>
                <w:szCs w:val="10"/>
                <w:color w:val="auto"/>
              </w:rPr>
            </w:pPr>
          </w:p>
        </w:tc>
        <w:tc>
          <w:tcPr>
            <w:tcW w:w="1400" w:type="dxa"/>
            <w:vAlign w:val="bottom"/>
            <w:tcBorders>
              <w:top w:val="single" w:sz="8" w:color="auto"/>
              <w:bottom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bottom w:val="single" w:sz="8" w:color="auto"/>
            </w:tcBorders>
            <w:shd w:val="clear" w:color="auto" w:fill="CCEEFF"/>
          </w:tcPr>
          <w:p>
            <w:pPr>
              <w:spacing w:after="0"/>
              <w:rPr>
                <w:sz w:val="10"/>
                <w:szCs w:val="10"/>
                <w:color w:val="auto"/>
              </w:rPr>
            </w:pPr>
          </w:p>
        </w:tc>
        <w:tc>
          <w:tcPr>
            <w:tcW w:w="1320" w:type="dxa"/>
            <w:vAlign w:val="bottom"/>
            <w:tcBorders>
              <w:top w:val="single" w:sz="8" w:color="auto"/>
              <w:bottom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13"/>
        </w:trPr>
        <w:tc>
          <w:tcPr>
            <w:tcW w:w="3220" w:type="dxa"/>
            <w:vAlign w:val="bottom"/>
          </w:tcPr>
          <w:p>
            <w:pPr>
              <w:ind w:left="180"/>
              <w:spacing w:after="0"/>
              <w:rPr>
                <w:sz w:val="20"/>
                <w:szCs w:val="20"/>
                <w:color w:val="auto"/>
              </w:rPr>
            </w:pPr>
            <w:r>
              <w:rPr>
                <w:rFonts w:ascii="Arial" w:cs="Arial" w:eastAsia="Arial" w:hAnsi="Arial"/>
                <w:sz w:val="17"/>
                <w:szCs w:val="17"/>
                <w:color w:val="auto"/>
              </w:rPr>
              <w:t>Income (loss) before income taxes</w:t>
            </w: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117,351</w:t>
            </w:r>
          </w:p>
        </w:tc>
        <w:tc>
          <w:tcPr>
            <w:tcW w:w="100" w:type="dxa"/>
            <w:vAlign w:val="bottom"/>
          </w:tcPr>
          <w:p>
            <w:pPr>
              <w:spacing w:after="0"/>
              <w:rPr>
                <w:sz w:val="18"/>
                <w:szCs w:val="18"/>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(4,653)</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(41,942)</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5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70,755</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87" w:right="339" w:bottom="1440" w:gutter="0" w:footer="0" w:header="0"/>
        </w:sectPr>
      </w:pPr>
    </w:p>
    <w:bookmarkStart w:id="49" w:name="page50"/>
    <w:bookmarkEnd w:id="49"/>
    <w:tbl>
      <w:tblPr>
        <w:tblLayout w:type="fixed"/>
        <w:tblInd w:w="100" w:type="dxa"/>
        <w:tblCellMar>
          <w:top w:w="0" w:type="dxa"/>
          <w:left w:w="0" w:type="dxa"/>
          <w:bottom w:w="0" w:type="dxa"/>
          <w:right w:w="0" w:type="dxa"/>
        </w:tblCellMar>
      </w:tblPr>
      <w:tr>
        <w:trPr>
          <w:trHeight w:val="225"/>
        </w:trPr>
        <w:tc>
          <w:tcPr>
            <w:tcW w:w="3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680" w:type="dxa"/>
            <w:vAlign w:val="bottom"/>
            <w:tcBorders>
              <w:bottom w:val="single" w:sz="8" w:color="auto"/>
            </w:tcBorders>
            <w:gridSpan w:val="8"/>
          </w:tcPr>
          <w:p>
            <w:pPr>
              <w:jc w:val="center"/>
              <w:ind w:right="280"/>
              <w:spacing w:after="0"/>
              <w:rPr>
                <w:sz w:val="20"/>
                <w:szCs w:val="20"/>
                <w:color w:val="auto"/>
              </w:rPr>
            </w:pPr>
            <w:r>
              <w:rPr>
                <w:rFonts w:ascii="Arial" w:cs="Arial" w:eastAsia="Arial" w:hAnsi="Arial"/>
                <w:sz w:val="17"/>
                <w:szCs w:val="17"/>
                <w:b w:val="1"/>
                <w:bCs w:val="1"/>
                <w:color w:val="auto"/>
                <w:w w:val="91"/>
              </w:rPr>
              <w:t>Six Months Ended June 30, 2021</w:t>
            </w: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1"/>
        </w:trPr>
        <w:tc>
          <w:tcPr>
            <w:tcW w:w="322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Results of Operations</w:t>
            </w:r>
          </w:p>
        </w:tc>
        <w:tc>
          <w:tcPr>
            <w:tcW w:w="260" w:type="dxa"/>
            <w:vAlign w:val="bottom"/>
          </w:tcPr>
          <w:p>
            <w:pPr>
              <w:spacing w:after="0"/>
              <w:rPr>
                <w:sz w:val="13"/>
                <w:szCs w:val="13"/>
                <w:color w:val="auto"/>
              </w:rPr>
            </w:pPr>
          </w:p>
        </w:tc>
        <w:tc>
          <w:tcPr>
            <w:tcW w:w="1260" w:type="dxa"/>
            <w:vAlign w:val="bottom"/>
            <w:vMerge w:val="restart"/>
          </w:tcPr>
          <w:p>
            <w:pPr>
              <w:jc w:val="right"/>
              <w:ind w:right="334"/>
              <w:spacing w:after="0"/>
              <w:rPr>
                <w:sz w:val="20"/>
                <w:szCs w:val="20"/>
                <w:color w:val="auto"/>
              </w:rPr>
            </w:pPr>
            <w:r>
              <w:rPr>
                <w:rFonts w:ascii="Arial" w:cs="Arial" w:eastAsia="Arial" w:hAnsi="Arial"/>
                <w:sz w:val="17"/>
                <w:szCs w:val="17"/>
                <w:b w:val="1"/>
                <w:bCs w:val="1"/>
                <w:color w:val="auto"/>
              </w:rPr>
              <w:t>Servicing</w:t>
            </w:r>
          </w:p>
        </w:tc>
        <w:tc>
          <w:tcPr>
            <w:tcW w:w="10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vMerge w:val="restart"/>
          </w:tcPr>
          <w:p>
            <w:pPr>
              <w:jc w:val="right"/>
              <w:ind w:right="214"/>
              <w:spacing w:after="0"/>
              <w:rPr>
                <w:sz w:val="20"/>
                <w:szCs w:val="20"/>
                <w:color w:val="auto"/>
              </w:rPr>
            </w:pPr>
            <w:r>
              <w:rPr>
                <w:rFonts w:ascii="Arial" w:cs="Arial" w:eastAsia="Arial" w:hAnsi="Arial"/>
                <w:sz w:val="17"/>
                <w:szCs w:val="17"/>
                <w:b w:val="1"/>
                <w:bCs w:val="1"/>
                <w:color w:val="auto"/>
                <w:w w:val="99"/>
              </w:rPr>
              <w:t>Originations</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500" w:type="dxa"/>
            <w:vAlign w:val="bottom"/>
            <w:gridSpan w:val="2"/>
          </w:tcPr>
          <w:p>
            <w:pPr>
              <w:jc w:val="center"/>
              <w:ind w:right="240"/>
              <w:spacing w:after="0" w:line="161" w:lineRule="exact"/>
              <w:rPr>
                <w:sz w:val="20"/>
                <w:szCs w:val="20"/>
                <w:color w:val="auto"/>
              </w:rPr>
            </w:pPr>
            <w:r>
              <w:rPr>
                <w:rFonts w:ascii="Arial" w:cs="Arial" w:eastAsia="Arial" w:hAnsi="Arial"/>
                <w:sz w:val="17"/>
                <w:szCs w:val="17"/>
                <w:b w:val="1"/>
                <w:bCs w:val="1"/>
                <w:color w:val="auto"/>
                <w:w w:val="93"/>
              </w:rPr>
              <w:t>Corporate Items</w:t>
            </w:r>
          </w:p>
        </w:tc>
        <w:tc>
          <w:tcPr>
            <w:tcW w:w="120" w:type="dxa"/>
            <w:vAlign w:val="bottom"/>
          </w:tcPr>
          <w:p>
            <w:pPr>
              <w:spacing w:after="0"/>
              <w:rPr>
                <w:sz w:val="13"/>
                <w:szCs w:val="13"/>
                <w:color w:val="auto"/>
              </w:rPr>
            </w:pPr>
          </w:p>
        </w:tc>
        <w:tc>
          <w:tcPr>
            <w:tcW w:w="1500" w:type="dxa"/>
            <w:vAlign w:val="bottom"/>
            <w:gridSpan w:val="2"/>
          </w:tcPr>
          <w:p>
            <w:pPr>
              <w:ind w:left="260"/>
              <w:spacing w:after="0" w:line="161" w:lineRule="exact"/>
              <w:rPr>
                <w:sz w:val="20"/>
                <w:szCs w:val="20"/>
                <w:color w:val="auto"/>
              </w:rPr>
            </w:pPr>
            <w:r>
              <w:rPr>
                <w:rFonts w:ascii="Arial" w:cs="Arial" w:eastAsia="Arial" w:hAnsi="Arial"/>
                <w:sz w:val="17"/>
                <w:szCs w:val="17"/>
                <w:b w:val="1"/>
                <w:bCs w:val="1"/>
                <w:color w:val="auto"/>
              </w:rPr>
              <w:t>Corporate</w:t>
            </w:r>
          </w:p>
        </w:tc>
        <w:tc>
          <w:tcPr>
            <w:tcW w:w="1520" w:type="dxa"/>
            <w:vAlign w:val="bottom"/>
            <w:gridSpan w:val="2"/>
          </w:tcPr>
          <w:p>
            <w:pPr>
              <w:jc w:val="right"/>
              <w:spacing w:after="0" w:line="161" w:lineRule="exact"/>
              <w:rPr>
                <w:sz w:val="20"/>
                <w:szCs w:val="20"/>
                <w:color w:val="auto"/>
              </w:rPr>
            </w:pPr>
            <w:r>
              <w:rPr>
                <w:rFonts w:ascii="Arial" w:cs="Arial" w:eastAsia="Arial" w:hAnsi="Arial"/>
                <w:sz w:val="17"/>
                <w:szCs w:val="17"/>
                <w:b w:val="1"/>
                <w:bCs w:val="1"/>
                <w:color w:val="auto"/>
                <w:w w:val="87"/>
              </w:rPr>
              <w:t>Business Segments</w:t>
            </w:r>
          </w:p>
        </w:tc>
        <w:tc>
          <w:tcPr>
            <w:tcW w:w="0" w:type="dxa"/>
            <w:vAlign w:val="bottom"/>
          </w:tcPr>
          <w:p>
            <w:pPr>
              <w:spacing w:after="0"/>
              <w:rPr>
                <w:sz w:val="1"/>
                <w:szCs w:val="1"/>
                <w:color w:val="auto"/>
              </w:rPr>
            </w:pPr>
          </w:p>
        </w:tc>
      </w:tr>
      <w:tr>
        <w:trPr>
          <w:trHeight w:val="220"/>
        </w:trPr>
        <w:tc>
          <w:tcPr>
            <w:tcW w:w="3220" w:type="dxa"/>
            <w:vAlign w:val="bottom"/>
            <w:tcBorders>
              <w:bottom w:val="single" w:sz="8" w:color="CCEEFF"/>
            </w:tcBorders>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center"/>
              <w:ind w:right="54"/>
              <w:spacing w:after="0"/>
              <w:rPr>
                <w:sz w:val="20"/>
                <w:szCs w:val="20"/>
                <w:color w:val="auto"/>
              </w:rPr>
            </w:pPr>
            <w:r>
              <w:rPr>
                <w:rFonts w:ascii="Arial" w:cs="Arial" w:eastAsia="Arial" w:hAnsi="Arial"/>
                <w:sz w:val="17"/>
                <w:szCs w:val="17"/>
                <w:b w:val="1"/>
                <w:bCs w:val="1"/>
                <w:color w:val="auto"/>
                <w:w w:val="94"/>
              </w:rPr>
              <w:t>and Other</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b w:val="1"/>
                <w:bCs w:val="1"/>
                <w:color w:val="auto"/>
                <w:w w:val="94"/>
              </w:rPr>
              <w:t>Eliminations (1)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b w:val="1"/>
                <w:bCs w:val="1"/>
                <w:color w:val="auto"/>
                <w:w w:val="94"/>
              </w:rPr>
              <w:t>Consolidated</w:t>
            </w:r>
          </w:p>
        </w:tc>
        <w:tc>
          <w:tcPr>
            <w:tcW w:w="0" w:type="dxa"/>
            <w:vAlign w:val="bottom"/>
          </w:tcPr>
          <w:p>
            <w:pPr>
              <w:spacing w:after="0"/>
              <w:rPr>
                <w:sz w:val="1"/>
                <w:szCs w:val="1"/>
                <w:color w:val="auto"/>
              </w:rPr>
            </w:pPr>
          </w:p>
        </w:tc>
      </w:tr>
      <w:tr>
        <w:trPr>
          <w:trHeight w:val="213"/>
        </w:trPr>
        <w:tc>
          <w:tcPr>
            <w:tcW w:w="32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Servicing and subservicing fees</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351,496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4,683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356,179</w:t>
            </w:r>
          </w:p>
        </w:tc>
        <w:tc>
          <w:tcPr>
            <w:tcW w:w="0" w:type="dxa"/>
            <w:vAlign w:val="bottom"/>
          </w:tcPr>
          <w:p>
            <w:pPr>
              <w:spacing w:after="0"/>
              <w:rPr>
                <w:sz w:val="1"/>
                <w:szCs w:val="1"/>
                <w:color w:val="auto"/>
              </w:rPr>
            </w:pPr>
          </w:p>
        </w:tc>
      </w:tr>
      <w:tr>
        <w:trPr>
          <w:trHeight w:val="220"/>
        </w:trPr>
        <w:tc>
          <w:tcPr>
            <w:tcW w:w="3220" w:type="dxa"/>
            <w:vAlign w:val="bottom"/>
          </w:tcPr>
          <w:p>
            <w:pPr>
              <w:ind w:left="140"/>
              <w:spacing w:after="0"/>
              <w:rPr>
                <w:sz w:val="20"/>
                <w:szCs w:val="20"/>
                <w:color w:val="auto"/>
              </w:rPr>
            </w:pPr>
            <w:r>
              <w:rPr>
                <w:rFonts w:ascii="Arial" w:cs="Arial" w:eastAsia="Arial" w:hAnsi="Arial"/>
                <w:sz w:val="17"/>
                <w:szCs w:val="17"/>
                <w:color w:val="auto"/>
              </w:rPr>
              <w:t>Reverse mortgage revenue, net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12,521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38,606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51,127</w:t>
            </w:r>
          </w:p>
        </w:tc>
        <w:tc>
          <w:tcPr>
            <w:tcW w:w="0" w:type="dxa"/>
            <w:vAlign w:val="bottom"/>
          </w:tcPr>
          <w:p>
            <w:pPr>
              <w:spacing w:after="0"/>
              <w:rPr>
                <w:sz w:val="1"/>
                <w:szCs w:val="1"/>
                <w:color w:val="auto"/>
              </w:rPr>
            </w:pPr>
          </w:p>
        </w:tc>
      </w:tr>
      <w:tr>
        <w:trPr>
          <w:trHeight w:val="220"/>
        </w:trPr>
        <w:tc>
          <w:tcPr>
            <w:tcW w:w="3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Gain on loans held for sale, net (1)</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7,651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64,866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(24,083)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48,434</w:t>
            </w:r>
          </w:p>
        </w:tc>
        <w:tc>
          <w:tcPr>
            <w:tcW w:w="0" w:type="dxa"/>
            <w:vAlign w:val="bottom"/>
          </w:tcPr>
          <w:p>
            <w:pPr>
              <w:spacing w:after="0"/>
              <w:rPr>
                <w:sz w:val="1"/>
                <w:szCs w:val="1"/>
                <w:color w:val="auto"/>
              </w:rPr>
            </w:pPr>
          </w:p>
        </w:tc>
      </w:tr>
      <w:tr>
        <w:trPr>
          <w:trHeight w:val="220"/>
        </w:trPr>
        <w:tc>
          <w:tcPr>
            <w:tcW w:w="3220" w:type="dxa"/>
            <w:vAlign w:val="bottom"/>
          </w:tcPr>
          <w:p>
            <w:pPr>
              <w:ind w:left="140"/>
              <w:spacing w:after="0"/>
              <w:rPr>
                <w:sz w:val="20"/>
                <w:szCs w:val="20"/>
                <w:color w:val="auto"/>
              </w:rPr>
            </w:pPr>
            <w:r>
              <w:rPr>
                <w:rFonts w:ascii="Arial" w:cs="Arial" w:eastAsia="Arial" w:hAnsi="Arial"/>
                <w:sz w:val="17"/>
                <w:szCs w:val="17"/>
                <w:color w:val="auto"/>
              </w:rPr>
              <w:t>Other revenue, net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999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13,503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2,797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17,299</w:t>
            </w:r>
          </w:p>
        </w:tc>
        <w:tc>
          <w:tcPr>
            <w:tcW w:w="0" w:type="dxa"/>
            <w:vAlign w:val="bottom"/>
          </w:tcPr>
          <w:p>
            <w:pPr>
              <w:spacing w:after="0"/>
              <w:rPr>
                <w:sz w:val="1"/>
                <w:szCs w:val="1"/>
                <w:color w:val="auto"/>
              </w:rPr>
            </w:pPr>
          </w:p>
        </w:tc>
      </w:tr>
      <w:tr>
        <w:trPr>
          <w:trHeight w:val="213"/>
        </w:trPr>
        <w:tc>
          <w:tcPr>
            <w:tcW w:w="322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7"/>
                <w:szCs w:val="17"/>
                <w:color w:val="auto"/>
              </w:rPr>
              <w:t>Revenue</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372,667</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121,658</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2,797</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(24,083)</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473,039</w:t>
            </w:r>
          </w:p>
        </w:tc>
        <w:tc>
          <w:tcPr>
            <w:tcW w:w="0" w:type="dxa"/>
            <w:vAlign w:val="bottom"/>
          </w:tcPr>
          <w:p>
            <w:pPr>
              <w:spacing w:after="0"/>
              <w:rPr>
                <w:sz w:val="1"/>
                <w:szCs w:val="1"/>
                <w:color w:val="auto"/>
              </w:rPr>
            </w:pPr>
          </w:p>
        </w:tc>
      </w:tr>
      <w:tr>
        <w:trPr>
          <w:trHeight w:val="135"/>
        </w:trPr>
        <w:tc>
          <w:tcPr>
            <w:tcW w:w="3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0"/>
        </w:trPr>
        <w:tc>
          <w:tcPr>
            <w:tcW w:w="3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MSR valuation adjustments, net (1)</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(92,638)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17,313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24,083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(51,242)</w:t>
            </w:r>
          </w:p>
        </w:tc>
        <w:tc>
          <w:tcPr>
            <w:tcW w:w="0" w:type="dxa"/>
            <w:vAlign w:val="bottom"/>
          </w:tcPr>
          <w:p>
            <w:pPr>
              <w:spacing w:after="0"/>
              <w:rPr>
                <w:sz w:val="1"/>
                <w:szCs w:val="1"/>
                <w:color w:val="auto"/>
              </w:rPr>
            </w:pPr>
          </w:p>
        </w:tc>
      </w:tr>
      <w:tr>
        <w:trPr>
          <w:trHeight w:val="155"/>
        </w:trPr>
        <w:tc>
          <w:tcPr>
            <w:tcW w:w="3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32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Operating expenses</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166,379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77,908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45,150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289,437</w:t>
            </w:r>
          </w:p>
        </w:tc>
        <w:tc>
          <w:tcPr>
            <w:tcW w:w="0" w:type="dxa"/>
            <w:vAlign w:val="bottom"/>
          </w:tcPr>
          <w:p>
            <w:pPr>
              <w:spacing w:after="0"/>
              <w:rPr>
                <w:sz w:val="1"/>
                <w:szCs w:val="1"/>
                <w:color w:val="auto"/>
              </w:rPr>
            </w:pPr>
          </w:p>
        </w:tc>
      </w:tr>
      <w:tr>
        <w:trPr>
          <w:trHeight w:val="155"/>
        </w:trPr>
        <w:tc>
          <w:tcPr>
            <w:tcW w:w="3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32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Other (expense) income:</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220" w:type="dxa"/>
            <w:vAlign w:val="bottom"/>
          </w:tcPr>
          <w:p>
            <w:pPr>
              <w:ind w:left="220"/>
              <w:spacing w:after="0"/>
              <w:rPr>
                <w:sz w:val="20"/>
                <w:szCs w:val="20"/>
                <w:color w:val="auto"/>
              </w:rPr>
            </w:pPr>
            <w:r>
              <w:rPr>
                <w:rFonts w:ascii="Arial" w:cs="Arial" w:eastAsia="Arial" w:hAnsi="Arial"/>
                <w:sz w:val="17"/>
                <w:szCs w:val="17"/>
                <w:color w:val="auto"/>
              </w:rPr>
              <w:t>Interest income</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2,489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5,428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207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8,124</w:t>
            </w:r>
          </w:p>
        </w:tc>
        <w:tc>
          <w:tcPr>
            <w:tcW w:w="0" w:type="dxa"/>
            <w:vAlign w:val="bottom"/>
          </w:tcPr>
          <w:p>
            <w:pPr>
              <w:spacing w:after="0"/>
              <w:rPr>
                <w:sz w:val="1"/>
                <w:szCs w:val="1"/>
                <w:color w:val="auto"/>
              </w:rPr>
            </w:pPr>
          </w:p>
        </w:tc>
      </w:tr>
      <w:tr>
        <w:trPr>
          <w:trHeight w:val="220"/>
        </w:trPr>
        <w:tc>
          <w:tcPr>
            <w:tcW w:w="32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Interest expense</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(36,218)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(8,252)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(17,498)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(61,968)</w:t>
            </w:r>
          </w:p>
        </w:tc>
        <w:tc>
          <w:tcPr>
            <w:tcW w:w="0" w:type="dxa"/>
            <w:vAlign w:val="bottom"/>
          </w:tcPr>
          <w:p>
            <w:pPr>
              <w:spacing w:after="0"/>
              <w:rPr>
                <w:sz w:val="1"/>
                <w:szCs w:val="1"/>
                <w:color w:val="auto"/>
              </w:rPr>
            </w:pPr>
          </w:p>
        </w:tc>
      </w:tr>
      <w:tr>
        <w:trPr>
          <w:trHeight w:val="220"/>
        </w:trPr>
        <w:tc>
          <w:tcPr>
            <w:tcW w:w="3220" w:type="dxa"/>
            <w:vAlign w:val="bottom"/>
          </w:tcPr>
          <w:p>
            <w:pPr>
              <w:ind w:left="220"/>
              <w:spacing w:after="0"/>
              <w:rPr>
                <w:sz w:val="20"/>
                <w:szCs w:val="20"/>
                <w:color w:val="auto"/>
              </w:rPr>
            </w:pPr>
            <w:r>
              <w:rPr>
                <w:rFonts w:ascii="Arial" w:cs="Arial" w:eastAsia="Arial" w:hAnsi="Arial"/>
                <w:sz w:val="17"/>
                <w:szCs w:val="17"/>
                <w:color w:val="auto"/>
              </w:rPr>
              <w:t>Pledged MSR liability expense</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(77,727)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67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(77,660)</w:t>
            </w:r>
          </w:p>
        </w:tc>
        <w:tc>
          <w:tcPr>
            <w:tcW w:w="0" w:type="dxa"/>
            <w:vAlign w:val="bottom"/>
          </w:tcPr>
          <w:p>
            <w:pPr>
              <w:spacing w:after="0"/>
              <w:rPr>
                <w:sz w:val="1"/>
                <w:szCs w:val="1"/>
                <w:color w:val="auto"/>
              </w:rPr>
            </w:pPr>
          </w:p>
        </w:tc>
      </w:tr>
      <w:tr>
        <w:trPr>
          <w:trHeight w:val="220"/>
        </w:trPr>
        <w:tc>
          <w:tcPr>
            <w:tcW w:w="32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Earnings of equity method investee</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350</w:t>
            </w:r>
          </w:p>
        </w:tc>
        <w:tc>
          <w:tcPr>
            <w:tcW w:w="0" w:type="dxa"/>
            <w:vAlign w:val="bottom"/>
          </w:tcPr>
          <w:p>
            <w:pPr>
              <w:spacing w:after="0"/>
              <w:rPr>
                <w:sz w:val="1"/>
                <w:szCs w:val="1"/>
                <w:color w:val="auto"/>
              </w:rPr>
            </w:pPr>
          </w:p>
        </w:tc>
      </w:tr>
      <w:tr>
        <w:trPr>
          <w:trHeight w:val="220"/>
        </w:trPr>
        <w:tc>
          <w:tcPr>
            <w:tcW w:w="3220" w:type="dxa"/>
            <w:vAlign w:val="bottom"/>
          </w:tcPr>
          <w:p>
            <w:pPr>
              <w:ind w:left="220"/>
              <w:spacing w:after="0"/>
              <w:rPr>
                <w:sz w:val="20"/>
                <w:szCs w:val="20"/>
                <w:color w:val="auto"/>
              </w:rPr>
            </w:pPr>
            <w:r>
              <w:rPr>
                <w:rFonts w:ascii="Arial" w:cs="Arial" w:eastAsia="Arial" w:hAnsi="Arial"/>
                <w:sz w:val="17"/>
                <w:szCs w:val="17"/>
                <w:color w:val="auto"/>
              </w:rPr>
              <w:t>Gain (loss) on extinguishment of debt</w:t>
            </w:r>
          </w:p>
        </w:tc>
        <w:tc>
          <w:tcPr>
            <w:tcW w:w="26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(15,458)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(15,458)</w:t>
            </w:r>
          </w:p>
        </w:tc>
        <w:tc>
          <w:tcPr>
            <w:tcW w:w="0" w:type="dxa"/>
            <w:vAlign w:val="bottom"/>
          </w:tcPr>
          <w:p>
            <w:pPr>
              <w:spacing w:after="0"/>
              <w:rPr>
                <w:sz w:val="1"/>
                <w:szCs w:val="1"/>
                <w:color w:val="auto"/>
              </w:rPr>
            </w:pPr>
          </w:p>
        </w:tc>
      </w:tr>
      <w:tr>
        <w:trPr>
          <w:trHeight w:val="220"/>
        </w:trPr>
        <w:tc>
          <w:tcPr>
            <w:tcW w:w="32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3,345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428</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3,654</w:t>
            </w:r>
          </w:p>
        </w:tc>
        <w:tc>
          <w:tcPr>
            <w:tcW w:w="0" w:type="dxa"/>
            <w:vAlign w:val="bottom"/>
          </w:tcPr>
          <w:p>
            <w:pPr>
              <w:spacing w:after="0"/>
              <w:rPr>
                <w:sz w:val="1"/>
                <w:szCs w:val="1"/>
                <w:color w:val="auto"/>
              </w:rPr>
            </w:pPr>
          </w:p>
        </w:tc>
      </w:tr>
      <w:tr>
        <w:trPr>
          <w:trHeight w:val="213"/>
        </w:trPr>
        <w:tc>
          <w:tcPr>
            <w:tcW w:w="3220" w:type="dxa"/>
            <w:vAlign w:val="bottom"/>
          </w:tcPr>
          <w:p>
            <w:pPr>
              <w:ind w:left="340"/>
              <w:spacing w:after="0"/>
              <w:rPr>
                <w:sz w:val="20"/>
                <w:szCs w:val="20"/>
                <w:color w:val="auto"/>
              </w:rPr>
            </w:pPr>
            <w:r>
              <w:rPr>
                <w:rFonts w:ascii="Arial" w:cs="Arial" w:eastAsia="Arial" w:hAnsi="Arial"/>
                <w:sz w:val="17"/>
                <w:szCs w:val="17"/>
                <w:color w:val="auto"/>
              </w:rPr>
              <w:t>Other expense, net</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(107,761)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(2,943)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(32,254)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(142,958)</w:t>
            </w:r>
          </w:p>
        </w:tc>
        <w:tc>
          <w:tcPr>
            <w:tcW w:w="0" w:type="dxa"/>
            <w:vAlign w:val="bottom"/>
          </w:tcPr>
          <w:p>
            <w:pPr>
              <w:spacing w:after="0"/>
              <w:rPr>
                <w:sz w:val="1"/>
                <w:szCs w:val="1"/>
                <w:color w:val="auto"/>
              </w:rPr>
            </w:pPr>
          </w:p>
        </w:tc>
      </w:tr>
      <w:tr>
        <w:trPr>
          <w:trHeight w:val="122"/>
        </w:trPr>
        <w:tc>
          <w:tcPr>
            <w:tcW w:w="3220" w:type="dxa"/>
            <w:vAlign w:val="bottom"/>
            <w:tcBorders>
              <w:top w:val="single" w:sz="8" w:color="CCEEFF"/>
            </w:tcBorders>
            <w:shd w:val="clear" w:color="auto" w:fill="CCEEFF"/>
          </w:tcPr>
          <w:p>
            <w:pPr>
              <w:spacing w:after="0"/>
              <w:rPr>
                <w:sz w:val="10"/>
                <w:szCs w:val="10"/>
                <w:color w:val="auto"/>
              </w:rPr>
            </w:pPr>
          </w:p>
        </w:tc>
        <w:tc>
          <w:tcPr>
            <w:tcW w:w="260" w:type="dxa"/>
            <w:vAlign w:val="bottom"/>
            <w:tcBorders>
              <w:top w:val="single" w:sz="8" w:color="auto"/>
              <w:bottom w:val="single" w:sz="8" w:color="auto"/>
            </w:tcBorders>
            <w:shd w:val="clear" w:color="auto" w:fill="CCEEFF"/>
          </w:tcPr>
          <w:p>
            <w:pPr>
              <w:spacing w:after="0"/>
              <w:rPr>
                <w:sz w:val="10"/>
                <w:szCs w:val="10"/>
                <w:color w:val="auto"/>
              </w:rPr>
            </w:pPr>
          </w:p>
        </w:tc>
        <w:tc>
          <w:tcPr>
            <w:tcW w:w="1260" w:type="dxa"/>
            <w:vAlign w:val="bottom"/>
            <w:tcBorders>
              <w:top w:val="single" w:sz="8" w:color="auto"/>
              <w:bottom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bottom w:val="single" w:sz="8" w:color="auto"/>
            </w:tcBorders>
            <w:shd w:val="clear" w:color="auto" w:fill="CCEEFF"/>
          </w:tcPr>
          <w:p>
            <w:pPr>
              <w:spacing w:after="0"/>
              <w:rPr>
                <w:sz w:val="10"/>
                <w:szCs w:val="10"/>
                <w:color w:val="auto"/>
              </w:rPr>
            </w:pPr>
          </w:p>
        </w:tc>
        <w:tc>
          <w:tcPr>
            <w:tcW w:w="1320" w:type="dxa"/>
            <w:vAlign w:val="bottom"/>
            <w:tcBorders>
              <w:top w:val="single" w:sz="8" w:color="auto"/>
              <w:bottom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bottom w:val="single" w:sz="8" w:color="auto"/>
            </w:tcBorders>
            <w:shd w:val="clear" w:color="auto" w:fill="CCEEFF"/>
          </w:tcPr>
          <w:p>
            <w:pPr>
              <w:spacing w:after="0"/>
              <w:rPr>
                <w:sz w:val="10"/>
                <w:szCs w:val="10"/>
                <w:color w:val="auto"/>
              </w:rPr>
            </w:pPr>
          </w:p>
        </w:tc>
        <w:tc>
          <w:tcPr>
            <w:tcW w:w="1380" w:type="dxa"/>
            <w:vAlign w:val="bottom"/>
            <w:tcBorders>
              <w:top w:val="single" w:sz="8" w:color="auto"/>
              <w:bottom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bottom w:val="single" w:sz="8" w:color="auto"/>
            </w:tcBorders>
            <w:shd w:val="clear" w:color="auto" w:fill="CCEEFF"/>
          </w:tcPr>
          <w:p>
            <w:pPr>
              <w:spacing w:after="0"/>
              <w:rPr>
                <w:sz w:val="10"/>
                <w:szCs w:val="10"/>
                <w:color w:val="auto"/>
              </w:rPr>
            </w:pPr>
          </w:p>
        </w:tc>
        <w:tc>
          <w:tcPr>
            <w:tcW w:w="1400" w:type="dxa"/>
            <w:vAlign w:val="bottom"/>
            <w:tcBorders>
              <w:top w:val="single" w:sz="8" w:color="auto"/>
              <w:bottom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bottom w:val="single" w:sz="8" w:color="auto"/>
            </w:tcBorders>
            <w:shd w:val="clear" w:color="auto" w:fill="CCEEFF"/>
          </w:tcPr>
          <w:p>
            <w:pPr>
              <w:spacing w:after="0"/>
              <w:rPr>
                <w:sz w:val="10"/>
                <w:szCs w:val="10"/>
                <w:color w:val="auto"/>
              </w:rPr>
            </w:pPr>
          </w:p>
        </w:tc>
        <w:tc>
          <w:tcPr>
            <w:tcW w:w="1320" w:type="dxa"/>
            <w:vAlign w:val="bottom"/>
            <w:tcBorders>
              <w:top w:val="single" w:sz="8" w:color="auto"/>
              <w:bottom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13"/>
        </w:trPr>
        <w:tc>
          <w:tcPr>
            <w:tcW w:w="3220" w:type="dxa"/>
            <w:vAlign w:val="bottom"/>
          </w:tcPr>
          <w:p>
            <w:pPr>
              <w:ind w:left="180"/>
              <w:spacing w:after="0"/>
              <w:rPr>
                <w:sz w:val="20"/>
                <w:szCs w:val="20"/>
                <w:color w:val="auto"/>
              </w:rPr>
            </w:pPr>
            <w:r>
              <w:rPr>
                <w:rFonts w:ascii="Arial" w:cs="Arial" w:eastAsia="Arial" w:hAnsi="Arial"/>
                <w:sz w:val="17"/>
                <w:szCs w:val="17"/>
                <w:color w:val="auto"/>
              </w:rPr>
              <w:t>Income (loss) before income taxes</w:t>
            </w: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5,889</w:t>
            </w:r>
          </w:p>
        </w:tc>
        <w:tc>
          <w:tcPr>
            <w:tcW w:w="100" w:type="dxa"/>
            <w:vAlign w:val="bottom"/>
          </w:tcPr>
          <w:p>
            <w:pPr>
              <w:spacing w:after="0"/>
              <w:rPr>
                <w:sz w:val="18"/>
                <w:szCs w:val="18"/>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58,120</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(74,607)</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5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(10,598)</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3" w:lineRule="exact"/>
        <w:rPr>
          <w:sz w:val="20"/>
          <w:szCs w:val="20"/>
          <w:color w:val="auto"/>
        </w:rPr>
      </w:pPr>
    </w:p>
    <w:p>
      <w:pPr>
        <w:ind w:left="420" w:right="60" w:hanging="317"/>
        <w:spacing w:after="0" w:line="243" w:lineRule="auto"/>
        <w:tabs>
          <w:tab w:leader="none" w:pos="4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Corporate Eliminations includes inter-segment derivatives eliminations of $0.1 million and $13.4 million for the three and six months ended June 30, 2022, respectively, and $11.3 million and $24.1 million for the three and six months ended June 30, 2021, respectively, reported as Gain on loans held for sale, net with a corresponding offset in MSR valuation adjustments, net.</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92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tal Assets</w:t>
            </w:r>
          </w:p>
        </w:tc>
        <w:tc>
          <w:tcPr>
            <w:tcW w:w="1880" w:type="dxa"/>
            <w:vAlign w:val="bottom"/>
          </w:tcPr>
          <w:p>
            <w:pPr>
              <w:spacing w:after="0"/>
              <w:rPr>
                <w:sz w:val="16"/>
                <w:szCs w:val="16"/>
                <w:color w:val="auto"/>
              </w:rPr>
            </w:pPr>
          </w:p>
        </w:tc>
        <w:tc>
          <w:tcPr>
            <w:tcW w:w="1580" w:type="dxa"/>
            <w:vAlign w:val="bottom"/>
            <w:gridSpan w:val="2"/>
            <w:vMerge w:val="restart"/>
          </w:tcPr>
          <w:p>
            <w:pPr>
              <w:ind w:left="240"/>
              <w:spacing w:after="0"/>
              <w:rPr>
                <w:sz w:val="20"/>
                <w:szCs w:val="20"/>
                <w:color w:val="auto"/>
              </w:rPr>
            </w:pPr>
            <w:r>
              <w:rPr>
                <w:rFonts w:ascii="Arial" w:cs="Arial" w:eastAsia="Arial" w:hAnsi="Arial"/>
                <w:sz w:val="17"/>
                <w:szCs w:val="17"/>
                <w:b w:val="1"/>
                <w:bCs w:val="1"/>
                <w:color w:val="auto"/>
              </w:rPr>
              <w:t>Servicing</w:t>
            </w:r>
          </w:p>
        </w:tc>
        <w:tc>
          <w:tcPr>
            <w:tcW w:w="3060" w:type="dxa"/>
            <w:vAlign w:val="bottom"/>
            <w:gridSpan w:val="3"/>
          </w:tcPr>
          <w:p>
            <w:pPr>
              <w:jc w:val="right"/>
              <w:ind w:right="34"/>
              <w:spacing w:after="0"/>
              <w:rPr>
                <w:sz w:val="20"/>
                <w:szCs w:val="20"/>
                <w:color w:val="auto"/>
              </w:rPr>
            </w:pPr>
            <w:r>
              <w:rPr>
                <w:rFonts w:ascii="Arial" w:cs="Arial" w:eastAsia="Arial" w:hAnsi="Arial"/>
                <w:sz w:val="17"/>
                <w:szCs w:val="17"/>
                <w:b w:val="1"/>
                <w:bCs w:val="1"/>
                <w:color w:val="auto"/>
              </w:rPr>
              <w:t>Corporate Items and</w:t>
            </w:r>
          </w:p>
        </w:tc>
        <w:tc>
          <w:tcPr>
            <w:tcW w:w="1600" w:type="dxa"/>
            <w:vAlign w:val="bottom"/>
            <w:gridSpan w:val="2"/>
          </w:tcPr>
          <w:p>
            <w:pPr>
              <w:jc w:val="right"/>
              <w:ind w:right="134"/>
              <w:spacing w:after="0"/>
              <w:rPr>
                <w:sz w:val="20"/>
                <w:szCs w:val="20"/>
                <w:color w:val="auto"/>
              </w:rPr>
            </w:pPr>
            <w:r>
              <w:rPr>
                <w:rFonts w:ascii="Arial" w:cs="Arial" w:eastAsia="Arial" w:hAnsi="Arial"/>
                <w:sz w:val="17"/>
                <w:szCs w:val="17"/>
                <w:b w:val="1"/>
                <w:bCs w:val="1"/>
                <w:color w:val="auto"/>
                <w:w w:val="84"/>
              </w:rPr>
              <w:t>Business Segments</w:t>
            </w:r>
          </w:p>
        </w:tc>
        <w:tc>
          <w:tcPr>
            <w:tcW w:w="0" w:type="dxa"/>
            <w:vAlign w:val="bottom"/>
          </w:tcPr>
          <w:p>
            <w:pPr>
              <w:spacing w:after="0"/>
              <w:rPr>
                <w:sz w:val="1"/>
                <w:szCs w:val="1"/>
                <w:color w:val="auto"/>
              </w:rPr>
            </w:pPr>
          </w:p>
        </w:tc>
      </w:tr>
      <w:tr>
        <w:trPr>
          <w:trHeight w:val="220"/>
        </w:trPr>
        <w:tc>
          <w:tcPr>
            <w:tcW w:w="2920" w:type="dxa"/>
            <w:vAlign w:val="bottom"/>
            <w:gridSpan w:val="2"/>
            <w:vMerge w:val="continue"/>
          </w:tcPr>
          <w:p>
            <w:pPr>
              <w:spacing w:after="0"/>
              <w:rPr>
                <w:sz w:val="19"/>
                <w:szCs w:val="19"/>
                <w:color w:val="auto"/>
              </w:rPr>
            </w:pPr>
          </w:p>
        </w:tc>
        <w:tc>
          <w:tcPr>
            <w:tcW w:w="1880" w:type="dxa"/>
            <w:vAlign w:val="bottom"/>
          </w:tcPr>
          <w:p>
            <w:pPr>
              <w:spacing w:after="0"/>
              <w:rPr>
                <w:sz w:val="19"/>
                <w:szCs w:val="19"/>
                <w:color w:val="auto"/>
              </w:rPr>
            </w:pPr>
          </w:p>
        </w:tc>
        <w:tc>
          <w:tcPr>
            <w:tcW w:w="1580" w:type="dxa"/>
            <w:vAlign w:val="bottom"/>
            <w:gridSpan w:val="2"/>
            <w:vMerge w:val="continue"/>
          </w:tcPr>
          <w:p>
            <w:pPr>
              <w:spacing w:after="0"/>
              <w:rPr>
                <w:sz w:val="19"/>
                <w:szCs w:val="19"/>
                <w:color w:val="auto"/>
              </w:rPr>
            </w:pPr>
          </w:p>
        </w:tc>
        <w:tc>
          <w:tcPr>
            <w:tcW w:w="1580" w:type="dxa"/>
            <w:vAlign w:val="bottom"/>
            <w:gridSpan w:val="2"/>
          </w:tcPr>
          <w:p>
            <w:pPr>
              <w:ind w:left="120"/>
              <w:spacing w:after="0"/>
              <w:rPr>
                <w:sz w:val="20"/>
                <w:szCs w:val="20"/>
                <w:color w:val="auto"/>
              </w:rPr>
            </w:pPr>
            <w:r>
              <w:rPr>
                <w:rFonts w:ascii="Arial" w:cs="Arial" w:eastAsia="Arial" w:hAnsi="Arial"/>
                <w:sz w:val="17"/>
                <w:szCs w:val="17"/>
                <w:b w:val="1"/>
                <w:bCs w:val="1"/>
                <w:color w:val="auto"/>
              </w:rPr>
              <w:t>Originations</w:t>
            </w:r>
          </w:p>
        </w:tc>
        <w:tc>
          <w:tcPr>
            <w:tcW w:w="1480" w:type="dxa"/>
            <w:vAlign w:val="bottom"/>
          </w:tcPr>
          <w:p>
            <w:pPr>
              <w:jc w:val="right"/>
              <w:ind w:right="434"/>
              <w:spacing w:after="0"/>
              <w:rPr>
                <w:sz w:val="20"/>
                <w:szCs w:val="20"/>
                <w:color w:val="auto"/>
              </w:rPr>
            </w:pPr>
            <w:r>
              <w:rPr>
                <w:rFonts w:ascii="Arial" w:cs="Arial" w:eastAsia="Arial" w:hAnsi="Arial"/>
                <w:sz w:val="17"/>
                <w:szCs w:val="17"/>
                <w:b w:val="1"/>
                <w:bCs w:val="1"/>
                <w:color w:val="auto"/>
              </w:rPr>
              <w:t>Other</w:t>
            </w:r>
          </w:p>
        </w:tc>
        <w:tc>
          <w:tcPr>
            <w:tcW w:w="100" w:type="dxa"/>
            <w:vAlign w:val="bottom"/>
          </w:tcPr>
          <w:p>
            <w:pPr>
              <w:spacing w:after="0"/>
              <w:rPr>
                <w:sz w:val="19"/>
                <w:szCs w:val="19"/>
                <w:color w:val="auto"/>
              </w:rPr>
            </w:pPr>
          </w:p>
        </w:tc>
        <w:tc>
          <w:tcPr>
            <w:tcW w:w="1500" w:type="dxa"/>
            <w:vAlign w:val="bottom"/>
          </w:tcPr>
          <w:p>
            <w:pPr>
              <w:jc w:val="right"/>
              <w:ind w:right="174"/>
              <w:spacing w:after="0"/>
              <w:rPr>
                <w:sz w:val="20"/>
                <w:szCs w:val="20"/>
                <w:color w:val="auto"/>
              </w:rPr>
            </w:pPr>
            <w:r>
              <w:rPr>
                <w:rFonts w:ascii="Arial" w:cs="Arial" w:eastAsia="Arial" w:hAnsi="Arial"/>
                <w:sz w:val="17"/>
                <w:szCs w:val="17"/>
                <w:b w:val="1"/>
                <w:bCs w:val="1"/>
                <w:color w:val="auto"/>
              </w:rPr>
              <w:t>Consolidated</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2820" w:type="dxa"/>
            <w:vAlign w:val="bottom"/>
            <w:shd w:val="clear" w:color="auto" w:fill="000000"/>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920" w:type="dxa"/>
            <w:vAlign w:val="bottom"/>
            <w:gridSpan w:val="2"/>
          </w:tcPr>
          <w:p>
            <w:pPr>
              <w:spacing w:after="0"/>
              <w:rPr>
                <w:sz w:val="20"/>
                <w:szCs w:val="20"/>
                <w:color w:val="auto"/>
              </w:rPr>
            </w:pPr>
            <w:r>
              <w:rPr>
                <w:rFonts w:ascii="Arial" w:cs="Arial" w:eastAsia="Arial" w:hAnsi="Arial"/>
                <w:sz w:val="17"/>
                <w:szCs w:val="17"/>
                <w:color w:val="auto"/>
              </w:rPr>
              <w:t>June 30, 2022</w:t>
            </w:r>
          </w:p>
        </w:tc>
        <w:tc>
          <w:tcPr>
            <w:tcW w:w="188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460" w:type="dxa"/>
            <w:vAlign w:val="bottom"/>
          </w:tcPr>
          <w:p>
            <w:pPr>
              <w:jc w:val="right"/>
              <w:spacing w:after="0"/>
              <w:rPr>
                <w:sz w:val="20"/>
                <w:szCs w:val="20"/>
                <w:color w:val="auto"/>
              </w:rPr>
            </w:pPr>
            <w:r>
              <w:rPr>
                <w:rFonts w:ascii="Arial" w:cs="Arial" w:eastAsia="Arial" w:hAnsi="Arial"/>
                <w:sz w:val="17"/>
                <w:szCs w:val="17"/>
                <w:color w:val="auto"/>
              </w:rPr>
              <w:t>11,053,556$</w:t>
            </w: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694,120$</w:t>
            </w: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360,014$</w:t>
            </w:r>
          </w:p>
        </w:tc>
        <w:tc>
          <w:tcPr>
            <w:tcW w:w="1600" w:type="dxa"/>
            <w:vAlign w:val="bottom"/>
            <w:gridSpan w:val="2"/>
          </w:tcPr>
          <w:p>
            <w:pPr>
              <w:jc w:val="right"/>
              <w:spacing w:after="0"/>
              <w:rPr>
                <w:sz w:val="20"/>
                <w:szCs w:val="20"/>
                <w:color w:val="auto"/>
              </w:rPr>
            </w:pPr>
            <w:r>
              <w:rPr>
                <w:rFonts w:ascii="Arial" w:cs="Arial" w:eastAsia="Arial" w:hAnsi="Arial"/>
                <w:sz w:val="17"/>
                <w:szCs w:val="17"/>
                <w:color w:val="auto"/>
              </w:rPr>
              <w:t>12,107,690</w:t>
            </w:r>
          </w:p>
        </w:tc>
        <w:tc>
          <w:tcPr>
            <w:tcW w:w="0" w:type="dxa"/>
            <w:vAlign w:val="bottom"/>
          </w:tcPr>
          <w:p>
            <w:pPr>
              <w:spacing w:after="0"/>
              <w:rPr>
                <w:sz w:val="1"/>
                <w:szCs w:val="1"/>
                <w:color w:val="auto"/>
              </w:rPr>
            </w:pPr>
          </w:p>
        </w:tc>
      </w:tr>
      <w:tr>
        <w:trPr>
          <w:trHeight w:val="155"/>
        </w:trPr>
        <w:tc>
          <w:tcPr>
            <w:tcW w:w="2920" w:type="dxa"/>
            <w:vAlign w:val="bottom"/>
            <w:gridSpan w:val="2"/>
          </w:tcPr>
          <w:p>
            <w:pPr>
              <w:spacing w:after="0"/>
              <w:rPr>
                <w:sz w:val="13"/>
                <w:szCs w:val="13"/>
                <w:color w:val="auto"/>
              </w:rPr>
            </w:pPr>
          </w:p>
        </w:tc>
        <w:tc>
          <w:tcPr>
            <w:tcW w:w="18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100" w:type="dxa"/>
            <w:vAlign w:val="bottom"/>
          </w:tcPr>
          <w:p>
            <w:pPr>
              <w:spacing w:after="0"/>
              <w:rPr>
                <w:sz w:val="19"/>
                <w:szCs w:val="19"/>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7"/>
                <w:szCs w:val="17"/>
                <w:color w:val="auto"/>
              </w:rPr>
              <w:t>December 31, 2021</w:t>
            </w:r>
          </w:p>
        </w:tc>
        <w:tc>
          <w:tcPr>
            <w:tcW w:w="188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10,999,204$</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823,530$</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324,389$</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12,147,123</w:t>
            </w:r>
          </w:p>
        </w:tc>
        <w:tc>
          <w:tcPr>
            <w:tcW w:w="0" w:type="dxa"/>
            <w:vAlign w:val="bottom"/>
          </w:tcPr>
          <w:p>
            <w:pPr>
              <w:spacing w:after="0"/>
              <w:rPr>
                <w:sz w:val="1"/>
                <w:szCs w:val="1"/>
                <w:color w:val="auto"/>
              </w:rPr>
            </w:pPr>
          </w:p>
        </w:tc>
      </w:tr>
      <w:tr>
        <w:trPr>
          <w:trHeight w:val="375"/>
        </w:trPr>
        <w:tc>
          <w:tcPr>
            <w:tcW w:w="2920" w:type="dxa"/>
            <w:vAlign w:val="bottom"/>
            <w:gridSpan w:val="2"/>
          </w:tcPr>
          <w:p>
            <w:pPr>
              <w:spacing w:after="0"/>
              <w:rPr>
                <w:sz w:val="20"/>
                <w:szCs w:val="20"/>
                <w:color w:val="auto"/>
              </w:rPr>
            </w:pPr>
            <w:r>
              <w:rPr>
                <w:rFonts w:ascii="Arial" w:cs="Arial" w:eastAsia="Arial" w:hAnsi="Arial"/>
                <w:sz w:val="17"/>
                <w:szCs w:val="17"/>
                <w:color w:val="auto"/>
              </w:rPr>
              <w:t>June 30, 2021</w:t>
            </w:r>
          </w:p>
        </w:tc>
        <w:tc>
          <w:tcPr>
            <w:tcW w:w="188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460" w:type="dxa"/>
            <w:vAlign w:val="bottom"/>
          </w:tcPr>
          <w:p>
            <w:pPr>
              <w:jc w:val="right"/>
              <w:spacing w:after="0"/>
              <w:rPr>
                <w:sz w:val="20"/>
                <w:szCs w:val="20"/>
                <w:color w:val="auto"/>
              </w:rPr>
            </w:pPr>
            <w:r>
              <w:rPr>
                <w:rFonts w:ascii="Arial" w:cs="Arial" w:eastAsia="Arial" w:hAnsi="Arial"/>
                <w:sz w:val="17"/>
                <w:szCs w:val="17"/>
                <w:color w:val="auto"/>
              </w:rPr>
              <w:t>10,747,791$</w:t>
            </w:r>
          </w:p>
        </w:tc>
        <w:tc>
          <w:tcPr>
            <w:tcW w:w="12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641,946$</w:t>
            </w:r>
          </w:p>
        </w:tc>
        <w:tc>
          <w:tcPr>
            <w:tcW w:w="10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377,973$</w:t>
            </w:r>
          </w:p>
        </w:tc>
        <w:tc>
          <w:tcPr>
            <w:tcW w:w="1600" w:type="dxa"/>
            <w:vAlign w:val="bottom"/>
            <w:gridSpan w:val="2"/>
          </w:tcPr>
          <w:p>
            <w:pPr>
              <w:jc w:val="right"/>
              <w:spacing w:after="0"/>
              <w:rPr>
                <w:sz w:val="20"/>
                <w:szCs w:val="20"/>
                <w:color w:val="auto"/>
              </w:rPr>
            </w:pPr>
            <w:r>
              <w:rPr>
                <w:rFonts w:ascii="Arial" w:cs="Arial" w:eastAsia="Arial" w:hAnsi="Arial"/>
                <w:sz w:val="17"/>
                <w:szCs w:val="17"/>
                <w:color w:val="auto"/>
              </w:rPr>
              <w:t>11,767,710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-622935</wp:posOffset>
            </wp:positionV>
            <wp:extent cx="6941185" cy="1479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41185" cy="147955"/>
                    </a:xfrm>
                    <a:prstGeom prst="rect">
                      <a:avLst/>
                    </a:prstGeom>
                    <a:noFill/>
                  </pic:spPr>
                </pic:pic>
              </a:graphicData>
            </a:graphic>
          </wp:anchor>
        </w:drawing>
        <w:drawing>
          <wp:anchor simplePos="0" relativeHeight="251657728" behindDoc="1" locked="0" layoutInCell="0" allowOverlap="1">
            <wp:simplePos x="0" y="0"/>
            <wp:positionH relativeFrom="column">
              <wp:posOffset>65405</wp:posOffset>
            </wp:positionH>
            <wp:positionV relativeFrom="paragraph">
              <wp:posOffset>-139065</wp:posOffset>
            </wp:positionV>
            <wp:extent cx="6941185" cy="1397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941185" cy="139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wp:posOffset>
            </wp:positionH>
            <wp:positionV relativeFrom="paragraph">
              <wp:posOffset>67945</wp:posOffset>
            </wp:positionV>
            <wp:extent cx="7163435"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340"/>
          </w:cols>
          <w:pgMar w:left="220" w:top="987" w:right="3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195"/>
        </w:trPr>
        <w:tc>
          <w:tcPr>
            <w:tcW w:w="414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Depreciation and Amortization Expense</w:t>
            </w:r>
          </w:p>
        </w:tc>
        <w:tc>
          <w:tcPr>
            <w:tcW w:w="880" w:type="dxa"/>
            <w:vAlign w:val="bottom"/>
          </w:tcPr>
          <w:p>
            <w:pPr>
              <w:spacing w:after="0"/>
              <w:rPr>
                <w:sz w:val="16"/>
                <w:szCs w:val="16"/>
                <w:color w:val="auto"/>
              </w:rPr>
            </w:pPr>
          </w:p>
        </w:tc>
        <w:tc>
          <w:tcPr>
            <w:tcW w:w="1280" w:type="dxa"/>
            <w:vAlign w:val="bottom"/>
            <w:vMerge w:val="restart"/>
          </w:tcPr>
          <w:p>
            <w:pPr>
              <w:jc w:val="right"/>
              <w:ind w:right="354"/>
              <w:spacing w:after="0"/>
              <w:rPr>
                <w:sz w:val="20"/>
                <w:szCs w:val="20"/>
                <w:color w:val="auto"/>
              </w:rPr>
            </w:pPr>
            <w:r>
              <w:rPr>
                <w:rFonts w:ascii="Arial" w:cs="Arial" w:eastAsia="Arial" w:hAnsi="Arial"/>
                <w:sz w:val="17"/>
                <w:szCs w:val="17"/>
                <w:b w:val="1"/>
                <w:bCs w:val="1"/>
                <w:color w:val="auto"/>
              </w:rPr>
              <w:t>Servicing</w:t>
            </w:r>
          </w:p>
        </w:tc>
        <w:tc>
          <w:tcPr>
            <w:tcW w:w="280" w:type="dxa"/>
            <w:vAlign w:val="bottom"/>
          </w:tcPr>
          <w:p>
            <w:pPr>
              <w:spacing w:after="0"/>
              <w:rPr>
                <w:sz w:val="16"/>
                <w:szCs w:val="16"/>
                <w:color w:val="auto"/>
              </w:rPr>
            </w:pPr>
          </w:p>
        </w:tc>
        <w:tc>
          <w:tcPr>
            <w:tcW w:w="1360" w:type="dxa"/>
            <w:vAlign w:val="bottom"/>
            <w:vMerge w:val="restart"/>
          </w:tcPr>
          <w:p>
            <w:pPr>
              <w:jc w:val="right"/>
              <w:ind w:right="234"/>
              <w:spacing w:after="0"/>
              <w:rPr>
                <w:sz w:val="20"/>
                <w:szCs w:val="20"/>
                <w:color w:val="auto"/>
              </w:rPr>
            </w:pPr>
            <w:r>
              <w:rPr>
                <w:rFonts w:ascii="Arial" w:cs="Arial" w:eastAsia="Arial" w:hAnsi="Arial"/>
                <w:sz w:val="17"/>
                <w:szCs w:val="17"/>
                <w:b w:val="1"/>
                <w:bCs w:val="1"/>
                <w:color w:val="auto"/>
              </w:rPr>
              <w:t>Originations</w:t>
            </w:r>
          </w:p>
        </w:tc>
        <w:tc>
          <w:tcPr>
            <w:tcW w:w="200" w:type="dxa"/>
            <w:vAlign w:val="bottom"/>
          </w:tcPr>
          <w:p>
            <w:pPr>
              <w:spacing w:after="0"/>
              <w:rPr>
                <w:sz w:val="16"/>
                <w:szCs w:val="16"/>
                <w:color w:val="auto"/>
              </w:rPr>
            </w:pPr>
          </w:p>
        </w:tc>
        <w:tc>
          <w:tcPr>
            <w:tcW w:w="1420" w:type="dxa"/>
            <w:vAlign w:val="bottom"/>
          </w:tcPr>
          <w:p>
            <w:pPr>
              <w:jc w:val="right"/>
              <w:ind w:right="94"/>
              <w:spacing w:after="0"/>
              <w:rPr>
                <w:sz w:val="20"/>
                <w:szCs w:val="20"/>
                <w:color w:val="auto"/>
              </w:rPr>
            </w:pPr>
            <w:r>
              <w:rPr>
                <w:rFonts w:ascii="Arial" w:cs="Arial" w:eastAsia="Arial" w:hAnsi="Arial"/>
                <w:sz w:val="17"/>
                <w:szCs w:val="17"/>
                <w:b w:val="1"/>
                <w:bCs w:val="1"/>
                <w:color w:val="auto"/>
                <w:w w:val="93"/>
              </w:rPr>
              <w:t>Corporate Items</w:t>
            </w:r>
          </w:p>
        </w:tc>
        <w:tc>
          <w:tcPr>
            <w:tcW w:w="1600" w:type="dxa"/>
            <w:vAlign w:val="bottom"/>
            <w:gridSpan w:val="2"/>
          </w:tcPr>
          <w:p>
            <w:pPr>
              <w:jc w:val="right"/>
              <w:spacing w:after="0"/>
              <w:rPr>
                <w:sz w:val="20"/>
                <w:szCs w:val="20"/>
                <w:color w:val="auto"/>
              </w:rPr>
            </w:pPr>
            <w:r>
              <w:rPr>
                <w:rFonts w:ascii="Arial" w:cs="Arial" w:eastAsia="Arial" w:hAnsi="Arial"/>
                <w:sz w:val="17"/>
                <w:szCs w:val="17"/>
                <w:b w:val="1"/>
                <w:bCs w:val="1"/>
                <w:color w:val="auto"/>
                <w:w w:val="94"/>
              </w:rPr>
              <w:t>Business Segments</w:t>
            </w:r>
          </w:p>
        </w:tc>
        <w:tc>
          <w:tcPr>
            <w:tcW w:w="0" w:type="dxa"/>
            <w:vAlign w:val="bottom"/>
          </w:tcPr>
          <w:p>
            <w:pPr>
              <w:spacing w:after="0"/>
              <w:rPr>
                <w:sz w:val="1"/>
                <w:szCs w:val="1"/>
                <w:color w:val="auto"/>
              </w:rPr>
            </w:pPr>
          </w:p>
        </w:tc>
      </w:tr>
      <w:tr>
        <w:trPr>
          <w:trHeight w:val="220"/>
        </w:trPr>
        <w:tc>
          <w:tcPr>
            <w:tcW w:w="4140" w:type="dxa"/>
            <w:vAlign w:val="bottom"/>
            <w:tcBorders>
              <w:bottom w:val="single" w:sz="8" w:color="auto"/>
            </w:tcBorders>
            <w:vMerge w:val="continue"/>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b w:val="1"/>
                <w:bCs w:val="1"/>
                <w:color w:val="auto"/>
              </w:rPr>
              <w:t>and Other</w:t>
            </w: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b w:val="1"/>
                <w:bCs w:val="1"/>
                <w:color w:val="auto"/>
                <w:w w:val="94"/>
              </w:rPr>
              <w:t>Consolidated</w:t>
            </w:r>
          </w:p>
        </w:tc>
        <w:tc>
          <w:tcPr>
            <w:tcW w:w="0" w:type="dxa"/>
            <w:vAlign w:val="bottom"/>
          </w:tcPr>
          <w:p>
            <w:pPr>
              <w:spacing w:after="0"/>
              <w:rPr>
                <w:sz w:val="1"/>
                <w:szCs w:val="1"/>
                <w:color w:val="auto"/>
              </w:rPr>
            </w:pPr>
          </w:p>
        </w:tc>
      </w:tr>
      <w:tr>
        <w:trPr>
          <w:trHeight w:val="213"/>
        </w:trPr>
        <w:tc>
          <w:tcPr>
            <w:tcW w:w="41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Three months ended June 30, 2022</w:t>
            </w:r>
          </w:p>
        </w:tc>
        <w:tc>
          <w:tcPr>
            <w:tcW w:w="8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140" w:type="dxa"/>
            <w:vAlign w:val="bottom"/>
          </w:tcPr>
          <w:p>
            <w:pPr>
              <w:ind w:left="140"/>
              <w:spacing w:after="0"/>
              <w:rPr>
                <w:sz w:val="20"/>
                <w:szCs w:val="20"/>
                <w:color w:val="auto"/>
              </w:rPr>
            </w:pPr>
            <w:r>
              <w:rPr>
                <w:rFonts w:ascii="Arial" w:cs="Arial" w:eastAsia="Arial" w:hAnsi="Arial"/>
                <w:sz w:val="17"/>
                <w:szCs w:val="17"/>
                <w:color w:val="auto"/>
              </w:rPr>
              <w:t>Depreciation expense</w:t>
            </w:r>
          </w:p>
        </w:tc>
        <w:tc>
          <w:tcPr>
            <w:tcW w:w="880" w:type="dxa"/>
            <w:vAlign w:val="bottom"/>
          </w:tcPr>
          <w:p>
            <w:pPr>
              <w:jc w:val="right"/>
              <w:ind w:right="74"/>
              <w:spacing w:after="0"/>
              <w:rPr>
                <w:sz w:val="20"/>
                <w:szCs w:val="20"/>
                <w:color w:val="auto"/>
              </w:rPr>
            </w:pPr>
            <w:r>
              <w:rPr>
                <w:rFonts w:ascii="Arial" w:cs="Arial" w:eastAsia="Arial" w:hAnsi="Arial"/>
                <w:sz w:val="17"/>
                <w:szCs w:val="17"/>
                <w:color w:val="auto"/>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253</w:t>
            </w:r>
          </w:p>
        </w:tc>
        <w:tc>
          <w:tcPr>
            <w:tcW w:w="28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1360" w:type="dxa"/>
            <w:vAlign w:val="bottom"/>
          </w:tcPr>
          <w:p>
            <w:pPr>
              <w:jc w:val="right"/>
              <w:ind w:right="14"/>
              <w:spacing w:after="0"/>
              <w:rPr>
                <w:sz w:val="20"/>
                <w:szCs w:val="20"/>
                <w:color w:val="auto"/>
              </w:rPr>
            </w:pPr>
            <w:r>
              <w:rPr>
                <w:rFonts w:ascii="Arial" w:cs="Arial" w:eastAsia="Arial" w:hAnsi="Arial"/>
                <w:sz w:val="17"/>
                <w:szCs w:val="17"/>
                <w:color w:val="auto"/>
              </w:rPr>
              <w:t>107</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420" w:type="dxa"/>
            <w:vAlign w:val="bottom"/>
          </w:tcPr>
          <w:p>
            <w:pPr>
              <w:jc w:val="right"/>
              <w:spacing w:after="0"/>
              <w:rPr>
                <w:sz w:val="20"/>
                <w:szCs w:val="20"/>
                <w:color w:val="auto"/>
              </w:rPr>
            </w:pPr>
            <w:r>
              <w:rPr>
                <w:rFonts w:ascii="Arial" w:cs="Arial" w:eastAsia="Arial" w:hAnsi="Arial"/>
                <w:sz w:val="17"/>
                <w:szCs w:val="17"/>
                <w:color w:val="auto"/>
              </w:rPr>
              <w:t>2,207</w:t>
            </w:r>
          </w:p>
        </w:tc>
        <w:tc>
          <w:tcPr>
            <w:tcW w:w="28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2,566</w:t>
            </w:r>
          </w:p>
        </w:tc>
        <w:tc>
          <w:tcPr>
            <w:tcW w:w="0" w:type="dxa"/>
            <w:vAlign w:val="bottom"/>
          </w:tcPr>
          <w:p>
            <w:pPr>
              <w:spacing w:after="0"/>
              <w:rPr>
                <w:sz w:val="1"/>
                <w:szCs w:val="1"/>
                <w:color w:val="auto"/>
              </w:rPr>
            </w:pPr>
          </w:p>
        </w:tc>
      </w:tr>
      <w:tr>
        <w:trPr>
          <w:trHeight w:val="220"/>
        </w:trPr>
        <w:tc>
          <w:tcPr>
            <w:tcW w:w="41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Amortization of debt issuance costs and discount</w:t>
            </w:r>
          </w:p>
        </w:tc>
        <w:tc>
          <w:tcPr>
            <w:tcW w:w="8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212</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2,331</w:t>
            </w: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2,543</w:t>
            </w:r>
          </w:p>
        </w:tc>
        <w:tc>
          <w:tcPr>
            <w:tcW w:w="0" w:type="dxa"/>
            <w:vAlign w:val="bottom"/>
          </w:tcPr>
          <w:p>
            <w:pPr>
              <w:spacing w:after="0"/>
              <w:rPr>
                <w:sz w:val="1"/>
                <w:szCs w:val="1"/>
                <w:color w:val="auto"/>
              </w:rPr>
            </w:pPr>
          </w:p>
        </w:tc>
      </w:tr>
      <w:tr>
        <w:trPr>
          <w:trHeight w:val="220"/>
        </w:trPr>
        <w:tc>
          <w:tcPr>
            <w:tcW w:w="4140" w:type="dxa"/>
            <w:vAlign w:val="bottom"/>
          </w:tcPr>
          <w:p>
            <w:pPr>
              <w:ind w:left="140"/>
              <w:spacing w:after="0"/>
              <w:rPr>
                <w:sz w:val="20"/>
                <w:szCs w:val="20"/>
                <w:color w:val="auto"/>
              </w:rPr>
            </w:pPr>
            <w:r>
              <w:rPr>
                <w:rFonts w:ascii="Arial" w:cs="Arial" w:eastAsia="Arial" w:hAnsi="Arial"/>
                <w:sz w:val="17"/>
                <w:szCs w:val="17"/>
                <w:color w:val="auto"/>
              </w:rPr>
              <w:t>Amortization of intangibles</w:t>
            </w:r>
          </w:p>
        </w:tc>
        <w:tc>
          <w:tcPr>
            <w:tcW w:w="8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1,522</w:t>
            </w:r>
          </w:p>
        </w:tc>
        <w:tc>
          <w:tcPr>
            <w:tcW w:w="280" w:type="dxa"/>
            <w:vAlign w:val="bottom"/>
          </w:tcPr>
          <w:p>
            <w:pPr>
              <w:spacing w:after="0"/>
              <w:rPr>
                <w:sz w:val="19"/>
                <w:szCs w:val="19"/>
                <w:color w:val="auto"/>
              </w:rPr>
            </w:pPr>
          </w:p>
        </w:tc>
        <w:tc>
          <w:tcPr>
            <w:tcW w:w="136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1,522</w:t>
            </w:r>
          </w:p>
        </w:tc>
        <w:tc>
          <w:tcPr>
            <w:tcW w:w="0" w:type="dxa"/>
            <w:vAlign w:val="bottom"/>
          </w:tcPr>
          <w:p>
            <w:pPr>
              <w:spacing w:after="0"/>
              <w:rPr>
                <w:sz w:val="1"/>
                <w:szCs w:val="1"/>
                <w:color w:val="auto"/>
              </w:rPr>
            </w:pPr>
          </w:p>
        </w:tc>
      </w:tr>
      <w:tr>
        <w:trPr>
          <w:trHeight w:val="155"/>
        </w:trPr>
        <w:tc>
          <w:tcPr>
            <w:tcW w:w="41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4140" w:type="dxa"/>
            <w:vAlign w:val="bottom"/>
          </w:tcPr>
          <w:p>
            <w:pPr>
              <w:ind w:left="20"/>
              <w:spacing w:after="0"/>
              <w:rPr>
                <w:sz w:val="20"/>
                <w:szCs w:val="20"/>
                <w:color w:val="auto"/>
              </w:rPr>
            </w:pPr>
            <w:r>
              <w:rPr>
                <w:rFonts w:ascii="Arial" w:cs="Arial" w:eastAsia="Arial" w:hAnsi="Arial"/>
                <w:sz w:val="17"/>
                <w:szCs w:val="17"/>
                <w:b w:val="1"/>
                <w:bCs w:val="1"/>
                <w:color w:val="auto"/>
              </w:rPr>
              <w:t>Three months ended June 30, 2021</w:t>
            </w:r>
          </w:p>
        </w:tc>
        <w:tc>
          <w:tcPr>
            <w:tcW w:w="8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1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Depreciation expense</w:t>
            </w:r>
          </w:p>
        </w:tc>
        <w:tc>
          <w:tcPr>
            <w:tcW w:w="88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168</w:t>
            </w:r>
          </w:p>
        </w:tc>
        <w:tc>
          <w:tcPr>
            <w:tcW w:w="28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26</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2,015</w:t>
            </w:r>
          </w:p>
        </w:tc>
        <w:tc>
          <w:tcPr>
            <w:tcW w:w="28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2,209</w:t>
            </w:r>
          </w:p>
        </w:tc>
        <w:tc>
          <w:tcPr>
            <w:tcW w:w="0" w:type="dxa"/>
            <w:vAlign w:val="bottom"/>
          </w:tcPr>
          <w:p>
            <w:pPr>
              <w:spacing w:after="0"/>
              <w:rPr>
                <w:sz w:val="1"/>
                <w:szCs w:val="1"/>
                <w:color w:val="auto"/>
              </w:rPr>
            </w:pPr>
          </w:p>
        </w:tc>
      </w:tr>
      <w:tr>
        <w:trPr>
          <w:trHeight w:val="220"/>
        </w:trPr>
        <w:tc>
          <w:tcPr>
            <w:tcW w:w="4140" w:type="dxa"/>
            <w:vAlign w:val="bottom"/>
          </w:tcPr>
          <w:p>
            <w:pPr>
              <w:ind w:left="140"/>
              <w:spacing w:after="0"/>
              <w:rPr>
                <w:sz w:val="20"/>
                <w:szCs w:val="20"/>
                <w:color w:val="auto"/>
              </w:rPr>
            </w:pPr>
            <w:r>
              <w:rPr>
                <w:rFonts w:ascii="Arial" w:cs="Arial" w:eastAsia="Arial" w:hAnsi="Arial"/>
                <w:sz w:val="17"/>
                <w:szCs w:val="17"/>
                <w:color w:val="auto"/>
              </w:rPr>
              <w:t>Amortization of debt issuance costs and discount</w:t>
            </w:r>
          </w:p>
        </w:tc>
        <w:tc>
          <w:tcPr>
            <w:tcW w:w="8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129</w:t>
            </w:r>
          </w:p>
        </w:tc>
        <w:tc>
          <w:tcPr>
            <w:tcW w:w="280" w:type="dxa"/>
            <w:vAlign w:val="bottom"/>
          </w:tcPr>
          <w:p>
            <w:pPr>
              <w:spacing w:after="0"/>
              <w:rPr>
                <w:sz w:val="19"/>
                <w:szCs w:val="19"/>
                <w:color w:val="auto"/>
              </w:rPr>
            </w:pPr>
          </w:p>
        </w:tc>
        <w:tc>
          <w:tcPr>
            <w:tcW w:w="136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1,480</w:t>
            </w: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1,609</w:t>
            </w:r>
          </w:p>
        </w:tc>
        <w:tc>
          <w:tcPr>
            <w:tcW w:w="0" w:type="dxa"/>
            <w:vAlign w:val="bottom"/>
          </w:tcPr>
          <w:p>
            <w:pPr>
              <w:spacing w:after="0"/>
              <w:rPr>
                <w:sz w:val="1"/>
                <w:szCs w:val="1"/>
                <w:color w:val="auto"/>
              </w:rPr>
            </w:pPr>
          </w:p>
        </w:tc>
      </w:tr>
      <w:tr>
        <w:trPr>
          <w:trHeight w:val="155"/>
        </w:trPr>
        <w:tc>
          <w:tcPr>
            <w:tcW w:w="41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4140" w:type="dxa"/>
            <w:vAlign w:val="bottom"/>
          </w:tcPr>
          <w:p>
            <w:pPr>
              <w:ind w:left="20"/>
              <w:spacing w:after="0"/>
              <w:rPr>
                <w:sz w:val="20"/>
                <w:szCs w:val="20"/>
                <w:color w:val="auto"/>
              </w:rPr>
            </w:pPr>
            <w:r>
              <w:rPr>
                <w:rFonts w:ascii="Arial" w:cs="Arial" w:eastAsia="Arial" w:hAnsi="Arial"/>
                <w:sz w:val="17"/>
                <w:szCs w:val="17"/>
                <w:b w:val="1"/>
                <w:bCs w:val="1"/>
                <w:color w:val="auto"/>
              </w:rPr>
              <w:t>Six months ended June 30, 2022</w:t>
            </w:r>
          </w:p>
        </w:tc>
        <w:tc>
          <w:tcPr>
            <w:tcW w:w="8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1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Depreciation expense</w:t>
            </w:r>
          </w:p>
        </w:tc>
        <w:tc>
          <w:tcPr>
            <w:tcW w:w="88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424</w:t>
            </w:r>
          </w:p>
        </w:tc>
        <w:tc>
          <w:tcPr>
            <w:tcW w:w="28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214</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4,531</w:t>
            </w:r>
          </w:p>
        </w:tc>
        <w:tc>
          <w:tcPr>
            <w:tcW w:w="28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5,169</w:t>
            </w:r>
          </w:p>
        </w:tc>
        <w:tc>
          <w:tcPr>
            <w:tcW w:w="0" w:type="dxa"/>
            <w:vAlign w:val="bottom"/>
          </w:tcPr>
          <w:p>
            <w:pPr>
              <w:spacing w:after="0"/>
              <w:rPr>
                <w:sz w:val="1"/>
                <w:szCs w:val="1"/>
                <w:color w:val="auto"/>
              </w:rPr>
            </w:pPr>
          </w:p>
        </w:tc>
      </w:tr>
      <w:tr>
        <w:trPr>
          <w:trHeight w:val="220"/>
        </w:trPr>
        <w:tc>
          <w:tcPr>
            <w:tcW w:w="4140" w:type="dxa"/>
            <w:vAlign w:val="bottom"/>
          </w:tcPr>
          <w:p>
            <w:pPr>
              <w:ind w:left="140"/>
              <w:spacing w:after="0"/>
              <w:rPr>
                <w:sz w:val="20"/>
                <w:szCs w:val="20"/>
                <w:color w:val="auto"/>
              </w:rPr>
            </w:pPr>
            <w:r>
              <w:rPr>
                <w:rFonts w:ascii="Arial" w:cs="Arial" w:eastAsia="Arial" w:hAnsi="Arial"/>
                <w:sz w:val="17"/>
                <w:szCs w:val="17"/>
                <w:color w:val="auto"/>
              </w:rPr>
              <w:t>Amortization of debt issuance costs and discount</w:t>
            </w:r>
          </w:p>
        </w:tc>
        <w:tc>
          <w:tcPr>
            <w:tcW w:w="8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415</w:t>
            </w:r>
          </w:p>
        </w:tc>
        <w:tc>
          <w:tcPr>
            <w:tcW w:w="280" w:type="dxa"/>
            <w:vAlign w:val="bottom"/>
          </w:tcPr>
          <w:p>
            <w:pPr>
              <w:spacing w:after="0"/>
              <w:rPr>
                <w:sz w:val="19"/>
                <w:szCs w:val="19"/>
                <w:color w:val="auto"/>
              </w:rPr>
            </w:pPr>
          </w:p>
        </w:tc>
        <w:tc>
          <w:tcPr>
            <w:tcW w:w="136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4,667</w:t>
            </w: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5,082</w:t>
            </w:r>
          </w:p>
        </w:tc>
        <w:tc>
          <w:tcPr>
            <w:tcW w:w="0" w:type="dxa"/>
            <w:vAlign w:val="bottom"/>
          </w:tcPr>
          <w:p>
            <w:pPr>
              <w:spacing w:after="0"/>
              <w:rPr>
                <w:sz w:val="1"/>
                <w:szCs w:val="1"/>
                <w:color w:val="auto"/>
              </w:rPr>
            </w:pPr>
          </w:p>
        </w:tc>
      </w:tr>
      <w:tr>
        <w:trPr>
          <w:trHeight w:val="220"/>
        </w:trPr>
        <w:tc>
          <w:tcPr>
            <w:tcW w:w="41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Amortization of intangibles</w:t>
            </w:r>
          </w:p>
        </w:tc>
        <w:tc>
          <w:tcPr>
            <w:tcW w:w="8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2,125</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2,125</w:t>
            </w:r>
          </w:p>
        </w:tc>
        <w:tc>
          <w:tcPr>
            <w:tcW w:w="0" w:type="dxa"/>
            <w:vAlign w:val="bottom"/>
          </w:tcPr>
          <w:p>
            <w:pPr>
              <w:spacing w:after="0"/>
              <w:rPr>
                <w:sz w:val="1"/>
                <w:szCs w:val="1"/>
                <w:color w:val="auto"/>
              </w:rPr>
            </w:pPr>
          </w:p>
        </w:tc>
      </w:tr>
      <w:tr>
        <w:trPr>
          <w:trHeight w:val="155"/>
        </w:trPr>
        <w:tc>
          <w:tcPr>
            <w:tcW w:w="4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41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Six months ended June 30, 2021</w:t>
            </w:r>
          </w:p>
        </w:tc>
        <w:tc>
          <w:tcPr>
            <w:tcW w:w="8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140" w:type="dxa"/>
            <w:vAlign w:val="bottom"/>
          </w:tcPr>
          <w:p>
            <w:pPr>
              <w:ind w:left="140"/>
              <w:spacing w:after="0"/>
              <w:rPr>
                <w:sz w:val="20"/>
                <w:szCs w:val="20"/>
                <w:color w:val="auto"/>
              </w:rPr>
            </w:pPr>
            <w:r>
              <w:rPr>
                <w:rFonts w:ascii="Arial" w:cs="Arial" w:eastAsia="Arial" w:hAnsi="Arial"/>
                <w:sz w:val="17"/>
                <w:szCs w:val="17"/>
                <w:color w:val="auto"/>
              </w:rPr>
              <w:t>Depreciation expense</w:t>
            </w:r>
          </w:p>
        </w:tc>
        <w:tc>
          <w:tcPr>
            <w:tcW w:w="880" w:type="dxa"/>
            <w:vAlign w:val="bottom"/>
          </w:tcPr>
          <w:p>
            <w:pPr>
              <w:jc w:val="right"/>
              <w:ind w:right="74"/>
              <w:spacing w:after="0"/>
              <w:rPr>
                <w:sz w:val="20"/>
                <w:szCs w:val="20"/>
                <w:color w:val="auto"/>
              </w:rPr>
            </w:pPr>
            <w:r>
              <w:rPr>
                <w:rFonts w:ascii="Arial" w:cs="Arial" w:eastAsia="Arial" w:hAnsi="Arial"/>
                <w:sz w:val="17"/>
                <w:szCs w:val="17"/>
                <w:color w:val="auto"/>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376</w:t>
            </w:r>
          </w:p>
        </w:tc>
        <w:tc>
          <w:tcPr>
            <w:tcW w:w="28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1360" w:type="dxa"/>
            <w:vAlign w:val="bottom"/>
          </w:tcPr>
          <w:p>
            <w:pPr>
              <w:jc w:val="right"/>
              <w:ind w:right="14"/>
              <w:spacing w:after="0"/>
              <w:rPr>
                <w:sz w:val="20"/>
                <w:szCs w:val="20"/>
                <w:color w:val="auto"/>
              </w:rPr>
            </w:pPr>
            <w:r>
              <w:rPr>
                <w:rFonts w:ascii="Arial" w:cs="Arial" w:eastAsia="Arial" w:hAnsi="Arial"/>
                <w:sz w:val="17"/>
                <w:szCs w:val="17"/>
                <w:color w:val="auto"/>
              </w:rPr>
              <w:t>49</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420" w:type="dxa"/>
            <w:vAlign w:val="bottom"/>
          </w:tcPr>
          <w:p>
            <w:pPr>
              <w:jc w:val="right"/>
              <w:spacing w:after="0"/>
              <w:rPr>
                <w:sz w:val="20"/>
                <w:szCs w:val="20"/>
                <w:color w:val="auto"/>
              </w:rPr>
            </w:pPr>
            <w:r>
              <w:rPr>
                <w:rFonts w:ascii="Arial" w:cs="Arial" w:eastAsia="Arial" w:hAnsi="Arial"/>
                <w:sz w:val="17"/>
                <w:szCs w:val="17"/>
                <w:color w:val="auto"/>
              </w:rPr>
              <w:t>4,641</w:t>
            </w:r>
          </w:p>
        </w:tc>
        <w:tc>
          <w:tcPr>
            <w:tcW w:w="28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5,066</w:t>
            </w:r>
          </w:p>
        </w:tc>
        <w:tc>
          <w:tcPr>
            <w:tcW w:w="0" w:type="dxa"/>
            <w:vAlign w:val="bottom"/>
          </w:tcPr>
          <w:p>
            <w:pPr>
              <w:spacing w:after="0"/>
              <w:rPr>
                <w:sz w:val="1"/>
                <w:szCs w:val="1"/>
                <w:color w:val="auto"/>
              </w:rPr>
            </w:pPr>
          </w:p>
        </w:tc>
      </w:tr>
      <w:tr>
        <w:trPr>
          <w:trHeight w:val="220"/>
        </w:trPr>
        <w:tc>
          <w:tcPr>
            <w:tcW w:w="41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Amortization of debt issuance costs and discount</w:t>
            </w:r>
          </w:p>
        </w:tc>
        <w:tc>
          <w:tcPr>
            <w:tcW w:w="8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258</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2,974</w:t>
            </w: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3,232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0"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Note 20 – Regulatory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84455</wp:posOffset>
            </wp:positionV>
            <wp:extent cx="712152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07"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Our business is subject to extensive regulation and supervision by federal, state, local and foreign governmental authorities, including the Consumer Financial Protection Bureau (CFPB), HUD, the SEC and various state agencies that license and conduct examinations of our servicing and lending activities. In addition, we operate under a number of regulatory settlements that subject us to ongoing reporting and other obligations. From time to time, we also receive requests (including requests in the form of subpoenas and civil investigative demands) from federal, state and local agencies for records, documents and information relating to our servicing and lending activities. The GSEs (and their conservator, the Federal Housing Finance Authority (FHFA)), Ginnie Mae, the United States Treasury Department, various investors, non-Agency securitization trustees and others also subject us to periodic reviews and audits.</w:t>
      </w:r>
    </w:p>
    <w:p>
      <w:pPr>
        <w:spacing w:after="0" w:line="65" w:lineRule="exact"/>
        <w:rPr>
          <w:sz w:val="20"/>
          <w:szCs w:val="20"/>
          <w:color w:val="auto"/>
        </w:rPr>
      </w:pPr>
    </w:p>
    <w:p>
      <w:pPr>
        <w:ind w:right="20"/>
        <w:spacing w:after="0" w:line="272" w:lineRule="auto"/>
        <w:rPr>
          <w:sz w:val="20"/>
          <w:szCs w:val="20"/>
          <w:color w:val="auto"/>
        </w:rPr>
      </w:pPr>
      <w:r>
        <w:rPr>
          <w:rFonts w:ascii="Arial" w:cs="Arial" w:eastAsia="Arial" w:hAnsi="Arial"/>
          <w:sz w:val="16"/>
          <w:szCs w:val="16"/>
          <w:color w:val="auto"/>
        </w:rPr>
        <w:t>We must comply with a large number of federal, state and local consumer protection and other laws and regulations, including, among others, the CARES Act, the Dodd-Frank Wall Street Reform and Consumer Protection Act (the Dodd-Frank Act), the Telephone Consumer Protection Act (TCPA), the Gramm-Leach-Bliley Act, the Fair Debt Collection Practices Act (FDCPA), the Real Estate Settlement Procedures Act (RESPA), the Truth in Lending Act (TILA), the Servicemembers Civil Relief Act, the Homeowners Protection Act, the Federal Trade Commission Act, the Fair Credit Reporting Act, the Equal Credit Opportunity Act, as well as individual state and local laws, and federal and local bankruptcy rules. These laws and regulations apply to all facets of our business, including, but not limited to, licensing, loan originations, consumer disclosures, default servicing and collections, foreclosure, filing of claims, registration of vacant or foreclosed properties, handling of escrow accounts, payment application, interest rate adjustments, assessment of fees, loss mitigation, use of credit reports, handling of unclaimed property, safeguarding of non-public personally identifiable information about our customers, and the ability of our employees to work remotely. These complex requirements can and do change as laws and regulations are enacted, promulgated, amended, interpreted and enforced, and the requirements applicable to our business have been changing especially rapidly in response to the COVID-19 pandemic. Most recently, the CFPB promulgated certain amendments to Regulation X (which implements RESPA) that became effective on August 31, 2021 and that impose certain additional COVID-19-related requirements with respect to loss mitigation, early intervention call requirements, and initiating new foreclosures before January 1, 2022. The CFPB also promulgated two sets of amendments to Regulation F (which implements the FDCPA), that each became effective on November 30, 2021 and that impose additional requirements regarding contacting borrowers and debt validation communications, among other things. In addition, the actions of legislative bodies and regulatory agencies relating to a particular matter or business practice may or may not be coordinated or consistent. The general trend among federal, state and local legislative bodies and regulatory agencies as well as state attorneys general has been toward increasing laws, regulations, investigative proceedings and enforcement actions with regard to residential real estate lenders and servicers.</w:t>
      </w:r>
    </w:p>
    <w:p>
      <w:pPr>
        <w:spacing w:after="0" w:line="73" w:lineRule="exact"/>
        <w:rPr>
          <w:sz w:val="20"/>
          <w:szCs w:val="20"/>
          <w:color w:val="auto"/>
        </w:rPr>
      </w:pPr>
    </w:p>
    <w:p>
      <w:pPr>
        <w:ind w:right="260"/>
        <w:spacing w:after="0" w:line="283" w:lineRule="auto"/>
        <w:rPr>
          <w:sz w:val="20"/>
          <w:szCs w:val="20"/>
          <w:color w:val="auto"/>
        </w:rPr>
      </w:pPr>
      <w:r>
        <w:rPr>
          <w:rFonts w:ascii="Arial" w:cs="Arial" w:eastAsia="Arial" w:hAnsi="Arial"/>
          <w:sz w:val="17"/>
          <w:szCs w:val="17"/>
          <w:color w:val="auto"/>
        </w:rPr>
        <w:t>In addition, a number of foreign laws and regulations apply to our operations outside of the U.S., including laws and regulations that govern licensing, privacy, employment, safety, payroll and other taxes and insurance and laws and regulations</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965" w:right="359" w:bottom="1440" w:gutter="0" w:footer="0" w:header="0"/>
        </w:sectPr>
      </w:pPr>
    </w:p>
    <w:bookmarkStart w:id="51" w:name="page52"/>
    <w:bookmarkEnd w:id="51"/>
    <w:p>
      <w:pPr>
        <w:ind w:right="20"/>
        <w:spacing w:after="0" w:line="268" w:lineRule="auto"/>
        <w:rPr>
          <w:sz w:val="20"/>
          <w:szCs w:val="20"/>
          <w:color w:val="auto"/>
        </w:rPr>
      </w:pPr>
      <w:r>
        <w:rPr>
          <w:rFonts w:ascii="Arial" w:cs="Arial" w:eastAsia="Arial" w:hAnsi="Arial"/>
          <w:sz w:val="17"/>
          <w:szCs w:val="17"/>
          <w:color w:val="auto"/>
        </w:rPr>
        <w:t>that govern the creation, continuation and the winding up of companies as well as the relationships between shareholders, our corporate entities, the public and the government in these countries. Our foreign subsidiaries are subject to inquiries and examinations from foreign governmental regulators in the countries in which we operate outside of the U.S.</w:t>
      </w:r>
    </w:p>
    <w:p>
      <w:pPr>
        <w:spacing w:after="0" w:line="69" w:lineRule="exact"/>
        <w:rPr>
          <w:sz w:val="20"/>
          <w:szCs w:val="20"/>
          <w:color w:val="auto"/>
        </w:rPr>
      </w:pPr>
    </w:p>
    <w:p>
      <w:pPr>
        <w:ind w:right="20"/>
        <w:spacing w:after="0" w:line="295" w:lineRule="auto"/>
        <w:rPr>
          <w:sz w:val="20"/>
          <w:szCs w:val="20"/>
          <w:color w:val="auto"/>
        </w:rPr>
      </w:pPr>
      <w:r>
        <w:rPr>
          <w:rFonts w:ascii="Arial" w:cs="Arial" w:eastAsia="Arial" w:hAnsi="Arial"/>
          <w:sz w:val="15"/>
          <w:szCs w:val="15"/>
          <w:color w:val="auto"/>
        </w:rPr>
        <w:t>Our licensed entities are required to renew their licenses, typically on an annual basis, and to do so they must satisfy the license renewal requirements of each jurisdiction, which generally include financial requirements such as providing audited financial statements and satisfying minimum net worth requirements and non-financial requirements such as satisfactory completion of examinations relating to the licensee’s compliance with applicable laws and regulations. We are also subject to seller/servicer obligations under agreements with the GSEs, HUD, FHA, VA and Ginnie Mae, including capital requirements related to tangible net worth, as defined by the applicable agency, an obligation to provide audited financial statements within 90 days of the applicable entity’s fiscal year end as well as extensive requirements regarding servicing, selling and other matters. We believe our licensed entities were in compliance with all of their minimum net worth requirements at June 30, 2022. Our non-Agency servicing agreements also contain requirements regarding servicing practices and other matters, and a failure to</w:t>
      </w:r>
    </w:p>
    <w:p>
      <w:pPr>
        <w:spacing w:after="0" w:line="2"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comply with these requirements could have a material adverse impact on our business. The most restrictive of the various net worth requirements for licensing and seller/servicer obligations referenced above is based on the UPB of assets serviced by PMC. Under the applicable formula, the required minimum net worth was $346.7 million at June 30, 2022. PMC’s adjusted net worth was $623.2 million at June 30, 2022. The most restrictive of the various liquidity requirements for licensing and seller/servicer obligations referenced above pertains to PMC and was $37.6 million at June 30, 2022. PMC’s liquid assets were $202.8 million at June 30, 2022</w:t>
      </w:r>
    </w:p>
    <w:p>
      <w:pPr>
        <w:spacing w:after="0" w:line="74" w:lineRule="exact"/>
        <w:rPr>
          <w:sz w:val="20"/>
          <w:szCs w:val="20"/>
          <w:color w:val="auto"/>
        </w:rPr>
      </w:pPr>
    </w:p>
    <w:p>
      <w:pPr>
        <w:ind w:right="20"/>
        <w:spacing w:after="0" w:line="293" w:lineRule="auto"/>
        <w:rPr>
          <w:sz w:val="20"/>
          <w:szCs w:val="20"/>
          <w:color w:val="auto"/>
        </w:rPr>
      </w:pPr>
      <w:r>
        <w:rPr>
          <w:rFonts w:ascii="Arial" w:cs="Arial" w:eastAsia="Arial" w:hAnsi="Arial"/>
          <w:sz w:val="15"/>
          <w:szCs w:val="15"/>
          <w:i w:val="1"/>
          <w:iCs w:val="1"/>
          <w:color w:val="auto"/>
        </w:rPr>
        <w:t xml:space="preserve">New York Department of Financial Services (NY DFS). </w:t>
      </w:r>
      <w:r>
        <w:rPr>
          <w:rFonts w:ascii="Arial" w:cs="Arial" w:eastAsia="Arial" w:hAnsi="Arial"/>
          <w:sz w:val="15"/>
          <w:szCs w:val="15"/>
          <w:color w:val="auto"/>
        </w:rPr>
        <w:t>We operate pursuant to certain regulatory requirements with the NY DFS, including obligations arising</w:t>
      </w:r>
      <w:r>
        <w:rPr>
          <w:rFonts w:ascii="Arial" w:cs="Arial" w:eastAsia="Arial" w:hAnsi="Arial"/>
          <w:sz w:val="15"/>
          <w:szCs w:val="15"/>
          <w:i w:val="1"/>
          <w:iCs w:val="1"/>
          <w:color w:val="auto"/>
        </w:rPr>
        <w:t xml:space="preserve"> </w:t>
      </w:r>
      <w:r>
        <w:rPr>
          <w:rFonts w:ascii="Arial" w:cs="Arial" w:eastAsia="Arial" w:hAnsi="Arial"/>
          <w:sz w:val="15"/>
          <w:szCs w:val="15"/>
          <w:color w:val="auto"/>
        </w:rPr>
        <w:t>under a consent order entered into in March 2017 (the NY Consent Order) and the terms of the NY DFS’ conditional approval in September 2018 of our acquisition of PHH. The conditional approval includes reporting obligations and record retention and other requirements relating to the transfer of loans collateralized by New York property (New York loans) onto our servicing system, the Black Knight Financial Services, Inc. (Black Knight) LoanSphere MSP® servicing system (Black Knight MSP), and certain requirements with respect to the evaluation and supervision of management of both Ocwen and PMC. In addition, we were prohibited from boarding any additional loans onto the REALServicing system and we were required to transfer all New York loans off the REALServicing system by April 30, 2020. The conditional approval also restricts our ability to acquire MSRs with respect to New York loans, so that Ocwen may not increase its aggregate portfolio of New York loans serviced or subserviced by Ocwen by more than 2% per year. This restriction will remain in place until the NY DFS determines that all loans serviced on the REALServicing system have been successfully migrated to Black Knight MSP and that Ocwen has developed a satisfactory infrastructure to board sizable portfolios of MSRs. We transferred all loans onto Black Knight MSP in 2019 and no longer service any loans on the REALServicing system. We believe we have complied with all terms of the PHH acquisition conditional approval to date. We continue to work with the NY DFS to address matters they raise with us as well as to fulfill our commitments under the NY Consent Order and PHH acquisition conditional approval.</w:t>
      </w:r>
    </w:p>
    <w:p>
      <w:pPr>
        <w:spacing w:after="0" w:line="57" w:lineRule="exact"/>
        <w:rPr>
          <w:sz w:val="20"/>
          <w:szCs w:val="20"/>
          <w:color w:val="auto"/>
        </w:rPr>
      </w:pPr>
    </w:p>
    <w:p>
      <w:pPr>
        <w:spacing w:after="0" w:line="261" w:lineRule="auto"/>
        <w:rPr>
          <w:sz w:val="20"/>
          <w:szCs w:val="20"/>
          <w:color w:val="auto"/>
        </w:rPr>
      </w:pPr>
      <w:r>
        <w:rPr>
          <w:rFonts w:ascii="Arial" w:cs="Arial" w:eastAsia="Arial" w:hAnsi="Arial"/>
          <w:sz w:val="17"/>
          <w:szCs w:val="17"/>
          <w:i w:val="1"/>
          <w:iCs w:val="1"/>
          <w:color w:val="auto"/>
        </w:rPr>
        <w:t>California Department of Financial Protection and Innovation (CA DFPI)</w:t>
      </w:r>
      <w:r>
        <w:rPr>
          <w:rFonts w:ascii="Arial" w:cs="Arial" w:eastAsia="Arial" w:hAnsi="Arial"/>
          <w:sz w:val="17"/>
          <w:szCs w:val="17"/>
          <w:color w:val="auto"/>
        </w:rPr>
        <w:t>. In January 2015 and February 2017, Ocwen Loan Servicing, LLC (OLS) entered into</w:t>
      </w:r>
      <w:r>
        <w:rPr>
          <w:rFonts w:ascii="Arial" w:cs="Arial" w:eastAsia="Arial" w:hAnsi="Arial"/>
          <w:sz w:val="17"/>
          <w:szCs w:val="17"/>
          <w:i w:val="1"/>
          <w:iCs w:val="1"/>
          <w:color w:val="auto"/>
        </w:rPr>
        <w:t xml:space="preserve"> </w:t>
      </w:r>
      <w:r>
        <w:rPr>
          <w:rFonts w:ascii="Arial" w:cs="Arial" w:eastAsia="Arial" w:hAnsi="Arial"/>
          <w:sz w:val="17"/>
          <w:szCs w:val="17"/>
          <w:color w:val="auto"/>
        </w:rPr>
        <w:t>consent orders with the CA DFPI (formerly known as the California Department of Business Oversight) relating to our alleged failure to produce certain information and documents during a routine licensing examination and relating to alleged servicing practices. We have completed all of our obligations under each of these consent orders. We continue to work with the CA DFPI to address matters they raise with us, including regarding the post-boarding process to verify loan and payment terms are properly implemented, calculated, and applied.</w:t>
      </w:r>
    </w:p>
    <w:p>
      <w:pPr>
        <w:spacing w:after="0" w:line="365"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Note 21 — Commitments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84455</wp:posOffset>
            </wp:positionV>
            <wp:extent cx="712152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Unfunded Lending Commitments</w:t>
      </w:r>
    </w:p>
    <w:p>
      <w:pPr>
        <w:spacing w:after="0" w:line="121" w:lineRule="exact"/>
        <w:rPr>
          <w:sz w:val="20"/>
          <w:szCs w:val="20"/>
          <w:color w:val="auto"/>
        </w:rPr>
      </w:pPr>
    </w:p>
    <w:p>
      <w:pPr>
        <w:ind w:right="100"/>
        <w:spacing w:after="0" w:line="261" w:lineRule="auto"/>
        <w:rPr>
          <w:sz w:val="20"/>
          <w:szCs w:val="20"/>
          <w:color w:val="auto"/>
        </w:rPr>
      </w:pPr>
      <w:r>
        <w:rPr>
          <w:rFonts w:ascii="Arial" w:cs="Arial" w:eastAsia="Arial" w:hAnsi="Arial"/>
          <w:sz w:val="17"/>
          <w:szCs w:val="17"/>
          <w:color w:val="auto"/>
        </w:rPr>
        <w:t>We have originated floating-rate reverse mortgage loans under which the borrowers have additional borrowing capacity of $1.7 billion at June 30, 2022. This additional borrowing capacity is available on a scheduled or unscheduled payment basis. During the six months ended June 30, 2022, we funded $114.6 million out of the $1.5 billion borrowing capacity as of December 31, 2021. We also had short-term commitments to lend $526.2 million and $31.2 million in connection with our forward and reverse mortgage loan IRLCs, respectively, outstanding at June 30, 2022. We finance originated and purchased forward and reverse mortgage loans with repurchase and participation agreements, referred to as warehouse lines.</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HMBS Issuer Obligations</w:t>
      </w:r>
    </w:p>
    <w:p>
      <w:pPr>
        <w:spacing w:after="0" w:line="121" w:lineRule="exact"/>
        <w:rPr>
          <w:sz w:val="20"/>
          <w:szCs w:val="20"/>
          <w:color w:val="auto"/>
        </w:rPr>
      </w:pPr>
    </w:p>
    <w:p>
      <w:pPr>
        <w:ind w:right="280"/>
        <w:spacing w:after="0" w:line="268" w:lineRule="auto"/>
        <w:rPr>
          <w:sz w:val="20"/>
          <w:szCs w:val="20"/>
          <w:color w:val="auto"/>
        </w:rPr>
      </w:pPr>
      <w:r>
        <w:rPr>
          <w:rFonts w:ascii="Arial" w:cs="Arial" w:eastAsia="Arial" w:hAnsi="Arial"/>
          <w:sz w:val="17"/>
          <w:szCs w:val="17"/>
          <w:color w:val="auto"/>
        </w:rPr>
        <w:t>As an HMBS issuer, we are required to purchase loans out of the Ginnie Mae securitization pools once the outstanding principal balance of a reverse mortgage loan is equal to or greater than 98% of the maximum claim amount (MCA repurchases), or when they become inactive (the borrower is deceased, no longer occupies the property or is delinquent on tax and insurance</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967" w:right="359" w:bottom="1440" w:gutter="0" w:footer="0" w:header="0"/>
        </w:sectPr>
      </w:pPr>
    </w:p>
    <w:bookmarkStart w:id="52" w:name="page53"/>
    <w:bookmarkEnd w:id="52"/>
    <w:p>
      <w:pPr>
        <w:ind w:right="360"/>
        <w:spacing w:after="0" w:line="283" w:lineRule="auto"/>
        <w:rPr>
          <w:sz w:val="20"/>
          <w:szCs w:val="20"/>
          <w:color w:val="auto"/>
        </w:rPr>
      </w:pPr>
      <w:r>
        <w:rPr>
          <w:rFonts w:ascii="Arial" w:cs="Arial" w:eastAsia="Arial" w:hAnsi="Arial"/>
          <w:sz w:val="17"/>
          <w:szCs w:val="17"/>
          <w:color w:val="auto"/>
        </w:rPr>
        <w:t>payments). Our subservicing clients bear the financial obligation and risks associated with purchasing loans out of securitization pools within the portfolio we subservice.</w:t>
      </w:r>
    </w:p>
    <w:p>
      <w:pPr>
        <w:spacing w:after="0" w:line="56" w:lineRule="exact"/>
        <w:rPr>
          <w:sz w:val="20"/>
          <w:szCs w:val="20"/>
          <w:color w:val="auto"/>
        </w:rPr>
      </w:pPr>
    </w:p>
    <w:p>
      <w:pPr>
        <w:spacing w:after="0"/>
        <w:rPr>
          <w:sz w:val="20"/>
          <w:szCs w:val="20"/>
          <w:color w:val="auto"/>
        </w:rPr>
      </w:pPr>
      <w:r>
        <w:rPr>
          <w:rFonts w:ascii="Arial" w:cs="Arial" w:eastAsia="Arial" w:hAnsi="Arial"/>
          <w:sz w:val="17"/>
          <w:szCs w:val="17"/>
          <w:color w:val="auto"/>
        </w:rPr>
        <w:t>Activity with regard to HMBS repurchases, primarily MCA repurchases, are as follows:</w:t>
      </w:r>
    </w:p>
    <w:p>
      <w:pPr>
        <w:spacing w:after="0" w:line="238" w:lineRule="exact"/>
        <w:rPr>
          <w:sz w:val="20"/>
          <w:szCs w:val="20"/>
          <w:color w:val="auto"/>
        </w:rPr>
      </w:pPr>
    </w:p>
    <w:p>
      <w:pPr>
        <w:ind w:left="5520"/>
        <w:spacing w:after="0"/>
        <w:rPr>
          <w:sz w:val="20"/>
          <w:szCs w:val="20"/>
          <w:color w:val="auto"/>
        </w:rPr>
      </w:pPr>
      <w:r>
        <w:rPr>
          <w:rFonts w:ascii="Arial" w:cs="Arial" w:eastAsia="Arial" w:hAnsi="Arial"/>
          <w:sz w:val="17"/>
          <w:szCs w:val="17"/>
          <w:b w:val="1"/>
          <w:bCs w:val="1"/>
          <w:color w:val="auto"/>
        </w:rPr>
        <w:t>Six Months Ended June 30, 2022</w:t>
      </w:r>
    </w:p>
    <w:p>
      <w:pPr>
        <w:spacing w:after="0" w:line="30"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2180" w:type="dxa"/>
            <w:vAlign w:val="bottom"/>
          </w:tcPr>
          <w:p>
            <w:pPr>
              <w:spacing w:after="0"/>
              <w:rPr>
                <w:sz w:val="18"/>
                <w:szCs w:val="18"/>
                <w:color w:val="auto"/>
              </w:rPr>
            </w:pPr>
          </w:p>
        </w:tc>
        <w:tc>
          <w:tcPr>
            <w:tcW w:w="10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gridSpan w:val="3"/>
          </w:tcPr>
          <w:p>
            <w:pPr>
              <w:jc w:val="right"/>
              <w:ind w:right="34"/>
              <w:spacing w:after="0"/>
              <w:rPr>
                <w:sz w:val="20"/>
                <w:szCs w:val="20"/>
                <w:color w:val="auto"/>
              </w:rPr>
            </w:pPr>
            <w:r>
              <w:rPr>
                <w:rFonts w:ascii="Arial" w:cs="Arial" w:eastAsia="Arial" w:hAnsi="Arial"/>
                <w:sz w:val="17"/>
                <w:szCs w:val="17"/>
                <w:b w:val="1"/>
                <w:bCs w:val="1"/>
                <w:color w:val="auto"/>
              </w:rPr>
              <w:t>Active</w:t>
            </w:r>
          </w:p>
        </w:tc>
        <w:tc>
          <w:tcPr>
            <w:tcW w:w="11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Inactive</w:t>
            </w:r>
          </w:p>
        </w:tc>
        <w:tc>
          <w:tcPr>
            <w:tcW w:w="11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0" w:type="dxa"/>
            <w:vAlign w:val="bottom"/>
            <w:tcBorders>
              <w:top w:val="single" w:sz="8" w:color="auto"/>
              <w:bottom w:val="single" w:sz="8" w:color="auto"/>
            </w:tcBorders>
            <w:gridSpan w:val="3"/>
          </w:tcPr>
          <w:p>
            <w:pPr>
              <w:jc w:val="right"/>
              <w:ind w:right="54"/>
              <w:spacing w:after="0"/>
              <w:rPr>
                <w:sz w:val="20"/>
                <w:szCs w:val="20"/>
                <w:color w:val="auto"/>
              </w:rPr>
            </w:pPr>
            <w:r>
              <w:rPr>
                <w:rFonts w:ascii="Arial" w:cs="Arial" w:eastAsia="Arial" w:hAnsi="Arial"/>
                <w:sz w:val="17"/>
                <w:szCs w:val="17"/>
                <w:b w:val="1"/>
                <w:bCs w:val="1"/>
                <w:color w:val="auto"/>
              </w:rPr>
              <w:t>Total</w:t>
            </w:r>
          </w:p>
        </w:tc>
        <w:tc>
          <w:tcPr>
            <w:tcW w:w="1160" w:type="dxa"/>
            <w:vAlign w:val="bottom"/>
            <w:tcBorders>
              <w:top w:val="single" w:sz="8" w:color="auto"/>
              <w:bottom w:val="single" w:sz="8" w:color="auto"/>
            </w:tcBorders>
          </w:tcPr>
          <w:p>
            <w:pPr>
              <w:spacing w:after="0"/>
              <w:rPr>
                <w:sz w:val="18"/>
                <w:szCs w:val="18"/>
                <w:color w:val="auto"/>
              </w:rPr>
            </w:pPr>
          </w:p>
        </w:tc>
      </w:tr>
      <w:tr>
        <w:trPr>
          <w:trHeight w:val="213"/>
        </w:trPr>
        <w:tc>
          <w:tcPr>
            <w:tcW w:w="2180" w:type="dxa"/>
            <w:vAlign w:val="bottom"/>
          </w:tcPr>
          <w:p>
            <w:pPr>
              <w:spacing w:after="0"/>
              <w:rPr>
                <w:sz w:val="18"/>
                <w:szCs w:val="18"/>
                <w:color w:val="auto"/>
              </w:rPr>
            </w:pPr>
          </w:p>
        </w:tc>
        <w:tc>
          <w:tcPr>
            <w:tcW w:w="1020" w:type="dxa"/>
            <w:vAlign w:val="bottom"/>
          </w:tcPr>
          <w:p>
            <w:pPr>
              <w:ind w:left="400"/>
              <w:spacing w:after="0"/>
              <w:rPr>
                <w:sz w:val="20"/>
                <w:szCs w:val="20"/>
                <w:color w:val="auto"/>
              </w:rPr>
            </w:pPr>
            <w:r>
              <w:rPr>
                <w:rFonts w:ascii="Arial" w:cs="Arial" w:eastAsia="Arial" w:hAnsi="Arial"/>
                <w:sz w:val="17"/>
                <w:szCs w:val="17"/>
                <w:b w:val="1"/>
                <w:bCs w:val="1"/>
                <w:color w:val="auto"/>
                <w:w w:val="93"/>
              </w:rPr>
              <w:t>Number</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334"/>
              <w:spacing w:after="0"/>
              <w:rPr>
                <w:sz w:val="20"/>
                <w:szCs w:val="20"/>
                <w:color w:val="auto"/>
              </w:rPr>
            </w:pPr>
            <w:r>
              <w:rPr>
                <w:rFonts w:ascii="Arial" w:cs="Arial" w:eastAsia="Arial" w:hAnsi="Arial"/>
                <w:sz w:val="17"/>
                <w:szCs w:val="17"/>
                <w:b w:val="1"/>
                <w:bCs w:val="1"/>
                <w:color w:val="auto"/>
              </w:rPr>
              <w:t>Amount</w:t>
            </w:r>
          </w:p>
        </w:tc>
        <w:tc>
          <w:tcPr>
            <w:tcW w:w="100" w:type="dxa"/>
            <w:vAlign w:val="bottom"/>
          </w:tcPr>
          <w:p>
            <w:pPr>
              <w:spacing w:after="0"/>
              <w:rPr>
                <w:sz w:val="18"/>
                <w:szCs w:val="18"/>
                <w:color w:val="auto"/>
              </w:rPr>
            </w:pPr>
          </w:p>
        </w:tc>
        <w:tc>
          <w:tcPr>
            <w:tcW w:w="1520" w:type="dxa"/>
            <w:vAlign w:val="bottom"/>
            <w:gridSpan w:val="2"/>
          </w:tcPr>
          <w:p>
            <w:pPr>
              <w:ind w:left="400"/>
              <w:spacing w:after="0"/>
              <w:rPr>
                <w:sz w:val="20"/>
                <w:szCs w:val="20"/>
                <w:color w:val="auto"/>
              </w:rPr>
            </w:pPr>
            <w:r>
              <w:rPr>
                <w:rFonts w:ascii="Arial" w:cs="Arial" w:eastAsia="Arial" w:hAnsi="Arial"/>
                <w:sz w:val="17"/>
                <w:szCs w:val="17"/>
                <w:b w:val="1"/>
                <w:bCs w:val="1"/>
                <w:color w:val="auto"/>
              </w:rPr>
              <w:t>Number</w:t>
            </w:r>
          </w:p>
        </w:tc>
        <w:tc>
          <w:tcPr>
            <w:tcW w:w="320" w:type="dxa"/>
            <w:vAlign w:val="bottom"/>
          </w:tcPr>
          <w:p>
            <w:pPr>
              <w:spacing w:after="0"/>
              <w:rPr>
                <w:sz w:val="18"/>
                <w:szCs w:val="18"/>
                <w:color w:val="auto"/>
              </w:rPr>
            </w:pPr>
          </w:p>
        </w:tc>
        <w:tc>
          <w:tcPr>
            <w:tcW w:w="1100" w:type="dxa"/>
            <w:vAlign w:val="bottom"/>
          </w:tcPr>
          <w:p>
            <w:pPr>
              <w:jc w:val="right"/>
              <w:ind w:right="314"/>
              <w:spacing w:after="0"/>
              <w:rPr>
                <w:sz w:val="20"/>
                <w:szCs w:val="20"/>
                <w:color w:val="auto"/>
              </w:rPr>
            </w:pPr>
            <w:r>
              <w:rPr>
                <w:rFonts w:ascii="Arial" w:cs="Arial" w:eastAsia="Arial" w:hAnsi="Arial"/>
                <w:sz w:val="17"/>
                <w:szCs w:val="17"/>
                <w:b w:val="1"/>
                <w:bCs w:val="1"/>
                <w:color w:val="auto"/>
              </w:rPr>
              <w:t>Amount</w:t>
            </w:r>
          </w:p>
        </w:tc>
        <w:tc>
          <w:tcPr>
            <w:tcW w:w="100" w:type="dxa"/>
            <w:vAlign w:val="bottom"/>
          </w:tcPr>
          <w:p>
            <w:pPr>
              <w:spacing w:after="0"/>
              <w:rPr>
                <w:sz w:val="18"/>
                <w:szCs w:val="18"/>
                <w:color w:val="auto"/>
              </w:rPr>
            </w:pPr>
          </w:p>
        </w:tc>
        <w:tc>
          <w:tcPr>
            <w:tcW w:w="1540" w:type="dxa"/>
            <w:vAlign w:val="bottom"/>
            <w:gridSpan w:val="2"/>
          </w:tcPr>
          <w:p>
            <w:pPr>
              <w:ind w:left="420"/>
              <w:spacing w:after="0"/>
              <w:rPr>
                <w:sz w:val="20"/>
                <w:szCs w:val="20"/>
                <w:color w:val="auto"/>
              </w:rPr>
            </w:pPr>
            <w:r>
              <w:rPr>
                <w:rFonts w:ascii="Arial" w:cs="Arial" w:eastAsia="Arial" w:hAnsi="Arial"/>
                <w:sz w:val="17"/>
                <w:szCs w:val="17"/>
                <w:b w:val="1"/>
                <w:bCs w:val="1"/>
                <w:color w:val="auto"/>
              </w:rPr>
              <w:t>Number</w:t>
            </w:r>
          </w:p>
        </w:tc>
        <w:tc>
          <w:tcPr>
            <w:tcW w:w="260" w:type="dxa"/>
            <w:vAlign w:val="bottom"/>
          </w:tcPr>
          <w:p>
            <w:pPr>
              <w:spacing w:after="0"/>
              <w:rPr>
                <w:sz w:val="18"/>
                <w:szCs w:val="18"/>
                <w:color w:val="auto"/>
              </w:rPr>
            </w:pPr>
          </w:p>
        </w:tc>
        <w:tc>
          <w:tcPr>
            <w:tcW w:w="1160" w:type="dxa"/>
            <w:vAlign w:val="bottom"/>
          </w:tcPr>
          <w:p>
            <w:pPr>
              <w:jc w:val="right"/>
              <w:ind w:right="334"/>
              <w:spacing w:after="0"/>
              <w:rPr>
                <w:sz w:val="20"/>
                <w:szCs w:val="20"/>
                <w:color w:val="auto"/>
              </w:rPr>
            </w:pPr>
            <w:r>
              <w:rPr>
                <w:rFonts w:ascii="Arial" w:cs="Arial" w:eastAsia="Arial" w:hAnsi="Arial"/>
                <w:sz w:val="17"/>
                <w:szCs w:val="17"/>
                <w:b w:val="1"/>
                <w:bCs w:val="1"/>
                <w:color w:val="auto"/>
              </w:rPr>
              <w:t>Amount</w:t>
            </w:r>
          </w:p>
        </w:tc>
      </w:tr>
      <w:tr>
        <w:trPr>
          <w:trHeight w:val="213"/>
        </w:trPr>
        <w:tc>
          <w:tcPr>
            <w:tcW w:w="2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Beginning balance</w:t>
            </w:r>
          </w:p>
        </w:tc>
        <w:tc>
          <w:tcPr>
            <w:tcW w:w="102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138</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35,322</w:t>
            </w:r>
          </w:p>
        </w:tc>
        <w:tc>
          <w:tcPr>
            <w:tcW w:w="1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448</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93,813</w:t>
            </w:r>
          </w:p>
        </w:tc>
        <w:tc>
          <w:tcPr>
            <w:tcW w:w="1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586</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129,135</w:t>
            </w:r>
          </w:p>
        </w:tc>
      </w:tr>
      <w:tr>
        <w:trPr>
          <w:trHeight w:val="220"/>
        </w:trPr>
        <w:tc>
          <w:tcPr>
            <w:tcW w:w="3200" w:type="dxa"/>
            <w:vAlign w:val="bottom"/>
            <w:gridSpan w:val="2"/>
          </w:tcPr>
          <w:p>
            <w:pPr>
              <w:ind w:left="120"/>
              <w:spacing w:after="0"/>
              <w:rPr>
                <w:sz w:val="20"/>
                <w:szCs w:val="20"/>
                <w:color w:val="auto"/>
              </w:rPr>
            </w:pPr>
            <w:r>
              <w:rPr>
                <w:rFonts w:ascii="Arial" w:cs="Arial" w:eastAsia="Arial" w:hAnsi="Arial"/>
                <w:sz w:val="17"/>
                <w:szCs w:val="17"/>
                <w:color w:val="auto"/>
              </w:rPr>
              <w:t>Additions</w:t>
            </w:r>
          </w:p>
        </w:tc>
        <w:tc>
          <w:tcPr>
            <w:tcW w:w="380" w:type="dxa"/>
            <w:vAlign w:val="bottom"/>
          </w:tcPr>
          <w:p>
            <w:pPr>
              <w:jc w:val="right"/>
              <w:spacing w:after="0"/>
              <w:rPr>
                <w:sz w:val="20"/>
                <w:szCs w:val="20"/>
                <w:color w:val="auto"/>
              </w:rPr>
            </w:pPr>
            <w:r>
              <w:rPr>
                <w:rFonts w:ascii="Arial" w:cs="Arial" w:eastAsia="Arial" w:hAnsi="Arial"/>
                <w:sz w:val="17"/>
                <w:szCs w:val="17"/>
                <w:color w:val="auto"/>
              </w:rPr>
              <w:t>262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70,611</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106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26,014</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368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96,625</w:t>
            </w:r>
          </w:p>
        </w:tc>
      </w:tr>
      <w:tr>
        <w:trPr>
          <w:trHeight w:val="220"/>
        </w:trPr>
        <w:tc>
          <w:tcPr>
            <w:tcW w:w="320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Recoveries, net (1)</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5"/>
              </w:rPr>
              <w:t>(215)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(58,179)</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(23,067)</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(81,246)</w:t>
            </w:r>
          </w:p>
        </w:tc>
      </w:tr>
      <w:tr>
        <w:trPr>
          <w:trHeight w:val="220"/>
        </w:trPr>
        <w:tc>
          <w:tcPr>
            <w:tcW w:w="3200" w:type="dxa"/>
            <w:vAlign w:val="bottom"/>
            <w:gridSpan w:val="2"/>
          </w:tcPr>
          <w:p>
            <w:pPr>
              <w:ind w:left="120"/>
              <w:spacing w:after="0"/>
              <w:rPr>
                <w:sz w:val="20"/>
                <w:szCs w:val="20"/>
                <w:color w:val="auto"/>
              </w:rPr>
            </w:pPr>
            <w:r>
              <w:rPr>
                <w:rFonts w:ascii="Arial" w:cs="Arial" w:eastAsia="Arial" w:hAnsi="Arial"/>
                <w:sz w:val="17"/>
                <w:szCs w:val="17"/>
                <w:color w:val="auto"/>
              </w:rPr>
              <w:t>Transfers</w:t>
            </w:r>
          </w:p>
        </w:tc>
        <w:tc>
          <w:tcPr>
            <w:tcW w:w="380" w:type="dxa"/>
            <w:vAlign w:val="bottom"/>
          </w:tcPr>
          <w:p>
            <w:pPr>
              <w:jc w:val="right"/>
              <w:spacing w:after="0"/>
              <w:rPr>
                <w:sz w:val="20"/>
                <w:szCs w:val="20"/>
                <w:color w:val="auto"/>
              </w:rPr>
            </w:pPr>
            <w:r>
              <w:rPr>
                <w:rFonts w:ascii="Arial" w:cs="Arial" w:eastAsia="Arial" w:hAnsi="Arial"/>
                <w:sz w:val="17"/>
                <w:szCs w:val="17"/>
                <w:color w:val="auto"/>
              </w:rPr>
              <w:t>(11)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(3,656)</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3,656</w:t>
            </w:r>
          </w:p>
        </w:tc>
        <w:tc>
          <w:tcPr>
            <w:tcW w:w="10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21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Changes in value</w:t>
            </w:r>
          </w:p>
        </w:tc>
        <w:tc>
          <w:tcPr>
            <w:tcW w:w="102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w:t>
            </w:r>
          </w:p>
        </w:tc>
        <w:tc>
          <w:tcPr>
            <w:tcW w:w="10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(1,836)</w:t>
            </w:r>
          </w:p>
        </w:tc>
        <w:tc>
          <w:tcPr>
            <w:tcW w:w="10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(1,767)</w:t>
            </w:r>
          </w:p>
        </w:tc>
      </w:tr>
      <w:tr>
        <w:trPr>
          <w:trHeight w:val="213"/>
        </w:trPr>
        <w:tc>
          <w:tcPr>
            <w:tcW w:w="3200" w:type="dxa"/>
            <w:vAlign w:val="bottom"/>
            <w:gridSpan w:val="2"/>
          </w:tcPr>
          <w:p>
            <w:pPr>
              <w:ind w:left="20"/>
              <w:spacing w:after="0"/>
              <w:rPr>
                <w:sz w:val="20"/>
                <w:szCs w:val="20"/>
                <w:color w:val="auto"/>
              </w:rPr>
            </w:pPr>
            <w:r>
              <w:rPr>
                <w:rFonts w:ascii="Arial" w:cs="Arial" w:eastAsia="Arial" w:hAnsi="Arial"/>
                <w:sz w:val="17"/>
                <w:szCs w:val="17"/>
                <w:b w:val="1"/>
                <w:bCs w:val="1"/>
                <w:color w:val="auto"/>
              </w:rPr>
              <w:t>Ending balance</w:t>
            </w:r>
          </w:p>
        </w:tc>
        <w:tc>
          <w:tcPr>
            <w:tcW w:w="380" w:type="dxa"/>
            <w:vAlign w:val="bottom"/>
          </w:tcPr>
          <w:p>
            <w:pPr>
              <w:jc w:val="right"/>
              <w:spacing w:after="0"/>
              <w:rPr>
                <w:sz w:val="20"/>
                <w:szCs w:val="20"/>
                <w:color w:val="auto"/>
              </w:rPr>
            </w:pPr>
            <w:r>
              <w:rPr>
                <w:rFonts w:ascii="Arial" w:cs="Arial" w:eastAsia="Arial" w:hAnsi="Arial"/>
                <w:sz w:val="17"/>
                <w:szCs w:val="17"/>
                <w:color w:val="auto"/>
              </w:rPr>
              <w:t>174</w:t>
            </w:r>
          </w:p>
        </w:tc>
        <w:tc>
          <w:tcPr>
            <w:tcW w:w="120" w:type="dxa"/>
            <w:vAlign w:val="bottom"/>
          </w:tcPr>
          <w:p>
            <w:pPr>
              <w:spacing w:after="0"/>
              <w:rPr>
                <w:sz w:val="18"/>
                <w:szCs w:val="18"/>
                <w:color w:val="auto"/>
              </w:rPr>
            </w:pP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44,167</w:t>
            </w: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459</w:t>
            </w:r>
          </w:p>
        </w:tc>
        <w:tc>
          <w:tcPr>
            <w:tcW w:w="100" w:type="dxa"/>
            <w:vAlign w:val="bottom"/>
          </w:tcPr>
          <w:p>
            <w:pPr>
              <w:spacing w:after="0"/>
              <w:rPr>
                <w:sz w:val="18"/>
                <w:szCs w:val="18"/>
                <w:color w:val="auto"/>
              </w:rPr>
            </w:pP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98,580</w:t>
            </w: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633</w:t>
            </w:r>
          </w:p>
        </w:tc>
        <w:tc>
          <w:tcPr>
            <w:tcW w:w="120" w:type="dxa"/>
            <w:vAlign w:val="bottom"/>
          </w:tcPr>
          <w:p>
            <w:pPr>
              <w:spacing w:after="0"/>
              <w:rPr>
                <w:sz w:val="18"/>
                <w:szCs w:val="18"/>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142,747</w:t>
            </w:r>
          </w:p>
        </w:tc>
      </w:tr>
      <w:tr>
        <w:trPr>
          <w:trHeight w:val="20"/>
        </w:trPr>
        <w:tc>
          <w:tcPr>
            <w:tcW w:w="21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320" w:hanging="317"/>
        <w:spacing w:after="0"/>
        <w:tabs>
          <w:tab w:leader="none" w:pos="3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Includes amounts received upon assignment of loan to HUD, loan payoff, REO liquidation and claim proceeds less any amounts charged off as unrecoverable.</w:t>
      </w:r>
    </w:p>
    <w:p>
      <w:pPr>
        <w:spacing w:after="0" w:line="112"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7"/>
          <w:szCs w:val="17"/>
          <w:b w:val="1"/>
          <w:bCs w:val="1"/>
          <w:color w:val="auto"/>
        </w:rPr>
        <w:t>NRZ Relationship</w:t>
      </w:r>
    </w:p>
    <w:p>
      <w:pPr>
        <w:spacing w:after="0" w:line="121" w:lineRule="exact"/>
        <w:rPr>
          <w:sz w:val="20"/>
          <w:szCs w:val="20"/>
          <w:color w:val="auto"/>
        </w:rPr>
      </w:pPr>
    </w:p>
    <w:p>
      <w:pPr>
        <w:ind w:right="40"/>
        <w:spacing w:after="0" w:line="276" w:lineRule="auto"/>
        <w:rPr>
          <w:sz w:val="20"/>
          <w:szCs w:val="20"/>
          <w:color w:val="auto"/>
        </w:rPr>
      </w:pPr>
      <w:r>
        <w:rPr>
          <w:rFonts w:ascii="Arial" w:cs="Arial" w:eastAsia="Arial" w:hAnsi="Arial"/>
          <w:sz w:val="16"/>
          <w:szCs w:val="16"/>
          <w:color w:val="auto"/>
        </w:rPr>
        <w:t>Our Servicing segment has exposure to concentration risk and client retention risk. As of June 30, 2022, our servicing portfolio included significant client relationships with NRZ which represented 18% and 28% of our servicing portfolio UPB and loan count, respectively, and approximately 69% of all delinquent loans that Ocwen services. Our Subservicing Agreements and Servicing Addendum with NRZ are in their Second Terms that end December 31, 2023. At the end of the Second Term, subject to notice by October 1, 2023, NRZ has the right to terminate the Subservicing Agreements and Servicing Addendum for convenience. If NRZ exercised its right to terminate all or some of the agreements for convenience at the end of the Second Term on December 31, 2023, we might need to right-size certain aspects of our servicing business as well as the related corporate support functions. Receivables and Other liabilities recorded on our consolidated balance sheets as well as the impacts to our consolidated statements of operations in connection with our NRZ agreements are disclosed in Note 8 — MSR Transfers Not Qualifying for Sale Accounting.</w:t>
      </w:r>
    </w:p>
    <w:p>
      <w:pPr>
        <w:spacing w:after="0" w:line="200" w:lineRule="exact"/>
        <w:rPr>
          <w:sz w:val="20"/>
          <w:szCs w:val="20"/>
          <w:color w:val="auto"/>
        </w:rPr>
      </w:pPr>
    </w:p>
    <w:p>
      <w:pPr>
        <w:spacing w:after="0" w:line="246"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Note 22 –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84455</wp:posOffset>
            </wp:positionV>
            <wp:extent cx="712152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07"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When we become aware of a matter involving uncertainty for which we may incur a loss, we assess the likelihood of any loss. If a loss contingency is probable and the amount of the loss can be reasonably estimated, we record an accrual for the loss. In such cases, there may be an exposure to potential loss in excess of the amount accrued. Where a loss is not probable but is reasonably possible or where a loss in excess of the amount accrued is reasonably possible, we disclose an estimate of the amount of the loss or range of possible losses for the claim if a reasonable estimate can be made, unless the amount of such reasonably possible loss is not material to our financial position, results of operations or cash flows. If a reasonable estimate of loss cannot be made, we do not accrue for any loss or disclose any estimate of exposure to potential loss even if the potential loss could be material and adverse to our business, reputation, financial condition and results of operations. An assessment regarding the ultimate outcome of any such matter involves judgments about future events, actions and circumstances that are inherently uncertain. The actual outcome could differ materially. Where we have retained external legal counsel or other professional advisers, such advisers assist us in making such assessments.</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Litigation</w:t>
      </w:r>
    </w:p>
    <w:p>
      <w:pPr>
        <w:spacing w:after="0" w:line="121" w:lineRule="exact"/>
        <w:rPr>
          <w:sz w:val="20"/>
          <w:szCs w:val="20"/>
          <w:color w:val="auto"/>
        </w:rPr>
      </w:pPr>
    </w:p>
    <w:p>
      <w:pPr>
        <w:ind w:right="40"/>
        <w:spacing w:after="0" w:line="298" w:lineRule="auto"/>
        <w:rPr>
          <w:sz w:val="20"/>
          <w:szCs w:val="20"/>
          <w:color w:val="auto"/>
        </w:rPr>
      </w:pPr>
      <w:r>
        <w:rPr>
          <w:rFonts w:ascii="Arial" w:cs="Arial" w:eastAsia="Arial" w:hAnsi="Arial"/>
          <w:sz w:val="15"/>
          <w:szCs w:val="15"/>
          <w:color w:val="auto"/>
        </w:rPr>
        <w:t>In the ordinary course of business, we are a defendant in, or a party or potential party to, many threatened and pending legal proceedings, including proceedings brought by regulatory agencies (discussed further under “Regulatory” below), those brought on behalf of various classes of claimants, and those brought derivatively on behalf of Ocwen against certain current or former officers and directors or others, and those brought under the False Claims Act by private citizens on behalf of the U.S. In addition, we may be a party or potential party to threatened or pending legal proceedings brought by fair-housing advocates, current and former commercial counterparties and market competitors, including, among others, claims related to the sale or purchase of loans, MSRs or other assets, and breach of contract actions, parties on whose behalf we service or serviced mortgage loans, parties who provide ancillary services including property preservation and other post-foreclosure related services, and parties who provide or provided consulting, subservicing, or other services to Ocwen.</w:t>
      </w:r>
    </w:p>
    <w:p>
      <w:pPr>
        <w:spacing w:after="0" w:line="51" w:lineRule="exact"/>
        <w:rPr>
          <w:sz w:val="20"/>
          <w:szCs w:val="20"/>
          <w:color w:val="auto"/>
        </w:rPr>
      </w:pPr>
    </w:p>
    <w:p>
      <w:pPr>
        <w:ind w:right="240"/>
        <w:spacing w:after="0" w:line="283" w:lineRule="auto"/>
        <w:rPr>
          <w:sz w:val="20"/>
          <w:szCs w:val="20"/>
          <w:color w:val="auto"/>
        </w:rPr>
      </w:pPr>
      <w:r>
        <w:rPr>
          <w:rFonts w:ascii="Arial" w:cs="Arial" w:eastAsia="Arial" w:hAnsi="Arial"/>
          <w:sz w:val="17"/>
          <w:szCs w:val="17"/>
          <w:color w:val="auto"/>
        </w:rPr>
        <w:t>The majority of these proceedings are based on alleged violations of federal, state and local laws and regulations governing our mortgage servicing and lending activities, including, among others, the Dodd-Frank Act, the Gramm-Leach-Bliley Act, the</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7" w:right="339" w:bottom="1440" w:gutter="0" w:footer="0" w:header="0"/>
        </w:sectPr>
      </w:pPr>
    </w:p>
    <w:bookmarkStart w:id="53" w:name="page54"/>
    <w:bookmarkEnd w:id="53"/>
    <w:p>
      <w:pPr>
        <w:spacing w:after="0" w:line="272" w:lineRule="auto"/>
        <w:rPr>
          <w:sz w:val="20"/>
          <w:szCs w:val="20"/>
          <w:color w:val="auto"/>
        </w:rPr>
      </w:pPr>
      <w:r>
        <w:rPr>
          <w:rFonts w:ascii="Arial" w:cs="Arial" w:eastAsia="Arial" w:hAnsi="Arial"/>
          <w:sz w:val="16"/>
          <w:szCs w:val="16"/>
          <w:color w:val="auto"/>
        </w:rPr>
        <w:t>FDCPA, the RESPA, the TILA, the Fair Credit Reporting Act, the Servicemembers Civil Relief Act, the Homeowners Protection Act, the Federal Trade Commission Act, the TCPA, the Equal Credit Opportunity Act, as well as individual state licensing and foreclosure laws and federal and local bankruptcy rules. Such proceedings include wrongful foreclosure and eviction actions, bankruptcy violation actions, payment misapplication actions, allegations of wrongdoing in connection with lender-placed insurance and mortgage reinsurance arrangements, claims relating to our property preservation activities, claims related to REO management, claims relating to our written and telephonic communications with our borrowers such as claims under the TCPA and individual state laws, claims related to our payment, escrow and other processing operations, claims relating to fees imposed on borrowers relating to inspection fees, foreclosure attorneys’ fees, reinstatement fees, foreclosure registration fees, payment processing, payment facilitation or payment convenience fees, claims related to ancillary products marketed and sold to borrowers, claims related to call recordings, claims regarding certifications of our legal compliance related to our participation in certain government programs, claims related to improper occupancy inspections, and claims related to untimely recording of mortgage satisfactions. In some of these proceedings, claims for substantial monetary damages are asserted against us. For example, we are currently a defendant in various matters alleging that (1) certain fees imposed on borrowers relating to payment processing, payment facilitation or payment convenience violate the FDCPA and similar state laws, (2) certain fees we assess on borrowers are improperly assessed and/or marked up improperly in violation of applicable state and federal law, (3) we breached fiduciary duties we purportedly owe to benefit plans due to the discretion we exercise in servicing certain securitized mortgage loans, and (4) certain legacy mortgage reinsurance arrangements violated RESPA. In the future, we are likely to become subject to other private legal proceedings alleging failures to comply with applicable laws and regulations, including putative class actions, in the ordinary course of our business.</w:t>
      </w:r>
    </w:p>
    <w:p>
      <w:pPr>
        <w:spacing w:after="0" w:line="77" w:lineRule="exact"/>
        <w:rPr>
          <w:sz w:val="20"/>
          <w:szCs w:val="20"/>
          <w:color w:val="auto"/>
        </w:rPr>
      </w:pPr>
    </w:p>
    <w:p>
      <w:pPr>
        <w:jc w:val="both"/>
        <w:ind w:right="240"/>
        <w:spacing w:after="0" w:line="285" w:lineRule="auto"/>
        <w:rPr>
          <w:sz w:val="20"/>
          <w:szCs w:val="20"/>
          <w:color w:val="auto"/>
        </w:rPr>
      </w:pPr>
      <w:r>
        <w:rPr>
          <w:rFonts w:ascii="Arial" w:cs="Arial" w:eastAsia="Arial" w:hAnsi="Arial"/>
          <w:sz w:val="16"/>
          <w:szCs w:val="16"/>
          <w:color w:val="auto"/>
        </w:rPr>
        <w:t>In view of the inherent difficulty of predicting the outcome of any threatened or pending legal proceedings, particularly where the claimants seek very large or indeterminate damages, including punitive damages, or where the matters present novel legal theories or involve a large number of parties, we generally cannot predict what the eventual outcome of such proceedings will be, what the timing of the ultimate resolution will be, or what the eventual loss, if any, will be. Any material adverse resolution could materially and adversely affect our business, reputation, financial condition, liquidity and results of operations.</w:t>
      </w:r>
    </w:p>
    <w:p>
      <w:pPr>
        <w:spacing w:after="0" w:line="56"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Where we determine that a loss contingency is probable in connection with a pending or threatened legal proceeding and the amount of our loss can be reasonably estimated, we record an accrual for the loss. We have accrued for losses relating to threatened and pending litigation that we believe are probable and reasonably estimable based on current information regarding these matters. Where we determine that a loss is not probable but is reasonably possible or where a loss in excess of the amount accrued is reasonably possible, we disclose an estimate of the amount of the loss or range of possible losses for the claim if a reasonable estimate can be made, unless the amount of such reasonably possible loss is not material to our financial position, results of operations or cash flows. It is possible that we will incur losses relating to threatened and pending litigation that materially exceed the amount accrued. Our accrual for probable and estimable legal and regulatory matters, including accrued legal fees, was $43.6 million at June 30, 2022. We cannot currently estimate the amount, if any, of reasonably possible losses above amounts that have been recorded at June 30, 2022.</w:t>
      </w:r>
    </w:p>
    <w:p>
      <w:pPr>
        <w:spacing w:after="0" w:line="65"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As previously disclosed, we are subject to individual lawsuits relating to our FDCPA compliance and putative state law class actions based on the FDCPA and state statutes similar to the FDCPA. Ocwen agreed to a settlement in principle of a putative class action</w:t>
      </w:r>
      <w:r>
        <w:rPr>
          <w:rFonts w:ascii="Arial" w:cs="Arial" w:eastAsia="Arial" w:hAnsi="Arial"/>
          <w:sz w:val="16"/>
          <w:szCs w:val="16"/>
          <w:i w:val="1"/>
          <w:iCs w:val="1"/>
          <w:color w:val="auto"/>
        </w:rPr>
        <w:t>, Morris v. PHH Mortgage Corp.</w:t>
      </w:r>
      <w:r>
        <w:rPr>
          <w:rFonts w:ascii="Arial" w:cs="Arial" w:eastAsia="Arial" w:hAnsi="Arial"/>
          <w:sz w:val="16"/>
          <w:szCs w:val="16"/>
          <w:color w:val="auto"/>
        </w:rPr>
        <w:t xml:space="preserve">, filed in March 2020 in the United States District Court for the Southern District of Florida, alleging that PMC’s and legacy Ocwen’s practices of charging a fee to borrowers who voluntarily use certain optional expedited payment options violates the FDCPA and its state law analogs. Several similar putative class actions have been filed against PMC and Ocwen since July 2019. Following mediation, PMC agreed to the terms of a settlement agreement to resolve all claims in the </w:t>
      </w:r>
      <w:r>
        <w:rPr>
          <w:rFonts w:ascii="Arial" w:cs="Arial" w:eastAsia="Arial" w:hAnsi="Arial"/>
          <w:sz w:val="16"/>
          <w:szCs w:val="16"/>
          <w:i w:val="1"/>
          <w:iCs w:val="1"/>
          <w:color w:val="auto"/>
        </w:rPr>
        <w:t>Morris</w:t>
      </w:r>
      <w:r>
        <w:rPr>
          <w:rFonts w:ascii="Arial" w:cs="Arial" w:eastAsia="Arial" w:hAnsi="Arial"/>
          <w:sz w:val="16"/>
          <w:szCs w:val="16"/>
          <w:color w:val="auto"/>
        </w:rPr>
        <w:t xml:space="preserve"> matter. During the preliminary approval process, several third parties, including a group of state Attorneys General, expressed opposition to the proposed settlement. As a result of this opposition, we also received requests for information from various state regulators and Attorneys General regarding our practices, to which we have responded in due course. On November 8, 2021, in a similar lawsuit also challenging our convenience fees practices in California, </w:t>
      </w:r>
      <w:r>
        <w:rPr>
          <w:rFonts w:ascii="Arial" w:cs="Arial" w:eastAsia="Arial" w:hAnsi="Arial"/>
          <w:sz w:val="16"/>
          <w:szCs w:val="16"/>
          <w:i w:val="1"/>
          <w:iCs w:val="1"/>
          <w:color w:val="auto"/>
        </w:rPr>
        <w:t>Torliatt v. PHH Mortgage Corp.</w:t>
      </w:r>
      <w:r>
        <w:rPr>
          <w:rFonts w:ascii="Arial" w:cs="Arial" w:eastAsia="Arial" w:hAnsi="Arial"/>
          <w:sz w:val="16"/>
          <w:szCs w:val="16"/>
          <w:color w:val="auto"/>
        </w:rPr>
        <w:t xml:space="preserve"> (pending in the Northern District of California), the Court granted the plaintiff’s motion for class certification and certified a class of California borrowers. Because the certified </w:t>
      </w:r>
      <w:r>
        <w:rPr>
          <w:rFonts w:ascii="Arial" w:cs="Arial" w:eastAsia="Arial" w:hAnsi="Arial"/>
          <w:sz w:val="16"/>
          <w:szCs w:val="16"/>
          <w:i w:val="1"/>
          <w:iCs w:val="1"/>
          <w:color w:val="auto"/>
        </w:rPr>
        <w:t>Torliatt</w:t>
      </w:r>
      <w:r>
        <w:rPr>
          <w:rFonts w:ascii="Arial" w:cs="Arial" w:eastAsia="Arial" w:hAnsi="Arial"/>
          <w:sz w:val="16"/>
          <w:szCs w:val="16"/>
          <w:color w:val="auto"/>
        </w:rPr>
        <w:t xml:space="preserve"> class overlaps with the putative class certified in </w:t>
      </w:r>
      <w:r>
        <w:rPr>
          <w:rFonts w:ascii="Arial" w:cs="Arial" w:eastAsia="Arial" w:hAnsi="Arial"/>
          <w:sz w:val="16"/>
          <w:szCs w:val="16"/>
          <w:i w:val="1"/>
          <w:iCs w:val="1"/>
          <w:color w:val="auto"/>
        </w:rPr>
        <w:t>Morris</w:t>
      </w:r>
      <w:r>
        <w:rPr>
          <w:rFonts w:ascii="Arial" w:cs="Arial" w:eastAsia="Arial" w:hAnsi="Arial"/>
          <w:sz w:val="16"/>
          <w:szCs w:val="16"/>
          <w:color w:val="auto"/>
        </w:rPr>
        <w:t xml:space="preserve">, the </w:t>
      </w:r>
      <w:r>
        <w:rPr>
          <w:rFonts w:ascii="Arial" w:cs="Arial" w:eastAsia="Arial" w:hAnsi="Arial"/>
          <w:sz w:val="16"/>
          <w:szCs w:val="16"/>
          <w:i w:val="1"/>
          <w:iCs w:val="1"/>
          <w:color w:val="auto"/>
        </w:rPr>
        <w:t>Morris</w:t>
      </w:r>
      <w:r>
        <w:rPr>
          <w:rFonts w:ascii="Arial" w:cs="Arial" w:eastAsia="Arial" w:hAnsi="Arial"/>
          <w:sz w:val="16"/>
          <w:szCs w:val="16"/>
          <w:color w:val="auto"/>
        </w:rPr>
        <w:t xml:space="preserve"> settlement could not move forward in its current form. Following a mediation in the </w:t>
      </w:r>
      <w:r>
        <w:rPr>
          <w:rFonts w:ascii="Arial" w:cs="Arial" w:eastAsia="Arial" w:hAnsi="Arial"/>
          <w:sz w:val="16"/>
          <w:szCs w:val="16"/>
          <w:i w:val="1"/>
          <w:iCs w:val="1"/>
          <w:color w:val="auto"/>
        </w:rPr>
        <w:t>Torliatt</w:t>
      </w:r>
      <w:r>
        <w:rPr>
          <w:rFonts w:ascii="Arial" w:cs="Arial" w:eastAsia="Arial" w:hAnsi="Arial"/>
          <w:sz w:val="16"/>
          <w:szCs w:val="16"/>
          <w:color w:val="auto"/>
        </w:rPr>
        <w:t xml:space="preserve"> matter, the parties reached an agreement on the terms of a settlement. The parties filed a stipulation of settlement and motion for preliminary approval on June 27, 2022, and on July 20, 2022, the Court entered an order granting preliminary approval of the settlement. Ocwen cannot predict whether the proposed settlement will receive final approval and in the absence of such approval, Ocwen cannot predict the eventual outcome of the </w:t>
      </w:r>
      <w:r>
        <w:rPr>
          <w:rFonts w:ascii="Arial" w:cs="Arial" w:eastAsia="Arial" w:hAnsi="Arial"/>
          <w:sz w:val="16"/>
          <w:szCs w:val="16"/>
          <w:i w:val="1"/>
          <w:iCs w:val="1"/>
          <w:color w:val="auto"/>
        </w:rPr>
        <w:t>Torliatt</w:t>
      </w:r>
      <w:r>
        <w:rPr>
          <w:rFonts w:ascii="Arial" w:cs="Arial" w:eastAsia="Arial" w:hAnsi="Arial"/>
          <w:sz w:val="16"/>
          <w:szCs w:val="16"/>
          <w:color w:val="auto"/>
        </w:rPr>
        <w:t xml:space="preserve"> proceeding and similar putative class actions. Nor can Ocwen predict whether courts will agree with the CFPB’s recent Advisory Opinion, issued on June 29, 2022, which concludes that the charging of convenience fees violates the FDCPA where such fees are neither specifically permitted by the applicable loan documents nor by state law.</w:t>
      </w:r>
    </w:p>
    <w:p>
      <w:pPr>
        <w:spacing w:after="0" w:line="75"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In addition, we continue to be involved in legacy matters arising prior to Ocwen’s October 2018 acquisition of PHH, including a putative class action filed in 2008 in the United States District Court for the Eastern District of California against PHH and related entities alleging that PHH’s legacy mortgage reinsurance arrangements between its captive reinsurer, Atrium</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7" w:right="339" w:bottom="1440" w:gutter="0" w:footer="0" w:header="0"/>
        </w:sectPr>
      </w:pPr>
    </w:p>
    <w:bookmarkStart w:id="54" w:name="page55"/>
    <w:bookmarkEnd w:id="54"/>
    <w:p>
      <w:pPr>
        <w:ind w:right="20"/>
        <w:spacing w:after="0" w:line="274" w:lineRule="auto"/>
        <w:rPr>
          <w:sz w:val="20"/>
          <w:szCs w:val="20"/>
          <w:color w:val="auto"/>
        </w:rPr>
      </w:pPr>
      <w:r>
        <w:rPr>
          <w:rFonts w:ascii="Arial" w:cs="Arial" w:eastAsia="Arial" w:hAnsi="Arial"/>
          <w:sz w:val="16"/>
          <w:szCs w:val="16"/>
          <w:color w:val="auto"/>
        </w:rPr>
        <w:t xml:space="preserve">Insurance Corporation, and certain mortgage insurance providers violated RESPA. See </w:t>
      </w:r>
      <w:r>
        <w:rPr>
          <w:rFonts w:ascii="Arial" w:cs="Arial" w:eastAsia="Arial" w:hAnsi="Arial"/>
          <w:sz w:val="16"/>
          <w:szCs w:val="16"/>
          <w:i w:val="1"/>
          <w:iCs w:val="1"/>
          <w:color w:val="auto"/>
        </w:rPr>
        <w:t>Munoz v. PHH Mortgage Corp. et al.</w:t>
      </w:r>
      <w:r>
        <w:rPr>
          <w:rFonts w:ascii="Arial" w:cs="Arial" w:eastAsia="Arial" w:hAnsi="Arial"/>
          <w:sz w:val="16"/>
          <w:szCs w:val="16"/>
          <w:color w:val="auto"/>
        </w:rPr>
        <w:t xml:space="preserve"> (Eastern District of California). In June 2015, the court certified a class of borrowers who obtained loans with private mortgage insurance through PHH’s captive reinsurance arrangement between June 2007 and December 2009. PHH asserted numerous defenses to the merits of the case. Following pre-trial developments in August 2020, the only issues remaining for trial were whether the plaintiffs had standing to bring their claims and whether the reinsurance services provided by PHH’s captive reinsurance subsidiary, Atrium, were actually provided in order for the safe harbor provision of RESPA to apply. On January 31, 2022, the Court denied a motion by the plaintiffs to enter new evidence and a motion by PHH to decertify the class, which motion PHH may renew if the case ultimately goes to trial. Following the entry of this order, at the request of the parties, the Court dismissed all of the plaintiffs’ claims for lack of standing and entered judgment in favor of PHH. The plaintiffs appealed to the United States Court of Appeals for the Ninth Circuit. Ocwen will continue to vigorously defend itself. Our current accrual with respect to this matter is included in the $43.6 million legal and regulatory accrual referenced above. At this time, Ocwen is unable to predict the outcome of this lawsuit or the possible loss or range of loss, if any, associated with the resolution of such lawsuit. If our efforts to defend this lawsuit are not successful, our business, reputation, financial condition, liquidity and results of operations could be materially and adversely affected.</w:t>
      </w:r>
    </w:p>
    <w:p>
      <w:pPr>
        <w:spacing w:after="0" w:line="67"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The same plaintiffs who filed a TCPA class action against Ocwen subsequently filed a similar class action against trustees of RMBS trusts based on vicarious liability for Ocwen’s alleged non-compliance with the TCPA. This class action filed against the trustees has settled, and while the trustees previously have indicated their intent to seek indemnification from Ocwen based on the vicarious liability claims, they have yet to take any formal action. Additional lawsuits have been and may be filed against us in relation to our TCPA compliance. However, a recent Supreme Court decision significantly undercuts the predominant theory of liability under the TCPA, and should provide even greater defenses on which Ocwen can rely when defending existing lawsuits or any additional lawsuits that may be filed. Nevertheless, given the recency of this Supreme Court decision, and the lack of opportunity for lower courts to interpret and apply it, it remains difficult to predict the possible loss or range of loss, if any, above the amount accrued or the potential impact such lawsuits may have on us or our operations. Ocwen intends to vigorously defend against these lawsuits. If our efforts to defend these lawsuits are not successful, our business, reputation, financial condition, liquidity and results of operations could be materially and adversely affected.</w:t>
      </w:r>
    </w:p>
    <w:p>
      <w:pPr>
        <w:spacing w:after="0" w:line="67" w:lineRule="exact"/>
        <w:rPr>
          <w:sz w:val="20"/>
          <w:szCs w:val="20"/>
          <w:color w:val="auto"/>
        </w:rPr>
      </w:pPr>
    </w:p>
    <w:p>
      <w:pPr>
        <w:ind w:right="40"/>
        <w:spacing w:after="0" w:line="273" w:lineRule="auto"/>
        <w:rPr>
          <w:sz w:val="20"/>
          <w:szCs w:val="20"/>
          <w:color w:val="auto"/>
        </w:rPr>
      </w:pPr>
      <w:r>
        <w:rPr>
          <w:rFonts w:ascii="Arial" w:cs="Arial" w:eastAsia="Arial" w:hAnsi="Arial"/>
          <w:sz w:val="16"/>
          <w:szCs w:val="16"/>
          <w:color w:val="auto"/>
        </w:rPr>
        <w:t xml:space="preserve">Ocwen is a defendant in a certified class action in the U.S. District Court in the Eastern District of California where the plaintiffs claim Ocwen marked up fees for property valuations and title searches in violation of California state law. </w:t>
      </w:r>
      <w:r>
        <w:rPr>
          <w:rFonts w:ascii="Arial" w:cs="Arial" w:eastAsia="Arial" w:hAnsi="Arial"/>
          <w:sz w:val="16"/>
          <w:szCs w:val="16"/>
          <w:i w:val="1"/>
          <w:iCs w:val="1"/>
          <w:color w:val="auto"/>
        </w:rPr>
        <w:t>See Weiner v. Ocwen Financial Corp., et al</w:t>
      </w:r>
      <w:r>
        <w:rPr>
          <w:rFonts w:ascii="Arial" w:cs="Arial" w:eastAsia="Arial" w:hAnsi="Arial"/>
          <w:sz w:val="16"/>
          <w:szCs w:val="16"/>
          <w:color w:val="auto"/>
        </w:rPr>
        <w:t xml:space="preserve">. Ocwen’s motion for summary judgment, filed in June 2019, was denied in May 2020; however, the court ruled that plaintiff’s recoverable damages are limited to out-of-pocket costs, </w:t>
      </w:r>
      <w:r>
        <w:rPr>
          <w:rFonts w:ascii="Arial" w:cs="Arial" w:eastAsia="Arial" w:hAnsi="Arial"/>
          <w:sz w:val="16"/>
          <w:szCs w:val="16"/>
          <w:i w:val="1"/>
          <w:iCs w:val="1"/>
          <w:color w:val="auto"/>
        </w:rPr>
        <w:t>i.e.</w:t>
      </w:r>
      <w:r>
        <w:rPr>
          <w:rFonts w:ascii="Arial" w:cs="Arial" w:eastAsia="Arial" w:hAnsi="Arial"/>
          <w:sz w:val="16"/>
          <w:szCs w:val="16"/>
          <w:color w:val="auto"/>
        </w:rPr>
        <w:t>, the amount of marked-up fees actually paid, rather than the entire cost of the valuation that plaintiffs sought. Ocwen has moved to decertify the class. A jury trial was scheduled to commence March 7, 2022, but on December 22, 2021, the Court vacated the trial setting and associated pretrial conference due to a conflict with the Court’s trial schedule and indicated it would reset the dates after it issues a ruling on the decertification motion and a motion to compel testimony filed by the plaintiffs. On August 2, 2022, the Court granted Ocwen’s motion for decertification. At this time, Ocwen is unable to predict the outcome of this lawsuit or any additional lawsuits that may be filed, the possible loss or range of loss, if any, associated with the resolution of such lawsuits or the potential impact such lawsuits may have on us or our operations. Ocwen intends to vigorously defend against this lawsuit. If our efforts to defend this lawsuit are not successful, our business, financial condition liquidity and results of operations could be materially and adversely affected. Ocwen may have affirmative indemnification rights and/or other claims against third parties related to the allegations in the lawsuit. Although we may pursue these claims, we cannot currently estimate the amount, if any, of recoveries from these third parties.</w:t>
      </w:r>
    </w:p>
    <w:p>
      <w:pPr>
        <w:spacing w:after="0" w:line="73"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We are currently involved in a dispute with a former subservicing client, HSBC Bank USA, N.A. (HSBC), which filed a complaint in the Supreme Court of the State of New York against PHH. See HSBC Bank USA, N.A. v. PHH Mortgage Corp. (Supreme Court of the State of New York). HSBC’s claims relate to alleged breaches of agreements entered into under a prior subservicing arrangement and origination assistance agreement. In its complaint, HSBC also asserted a claim for fraud, which was dismissed by the Court. PHH has answered the complaint and has asserted counterclaims against HSBC for breach of contract. We believe we have strong factual and legal defenses to the remaining claims and are vigorously defending the action. Ocwen is currently unable to predict the outcome of this dispute or estimate the size of any loss which could result from a potential resolution reached through litigation or otherwise.</w:t>
      </w:r>
    </w:p>
    <w:p>
      <w:pPr>
        <w:spacing w:after="0" w:line="65"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Over the past several years, lawsuits have been filed by RMBS trust investors alleging that the trustees and master servicers breached their contractual and statutory duties by (i) failing to require loan servicers to abide by their contractual obligations; (ii) failing to declare that certain alleged servicing events of default under the applicable contracts occurred; and (iii) failing to demand that loan sellers repurchase allegedly defective loans, among other things. Ocwen has received several letters from trustees and master servicers purporting to put Ocwen on notice that the trustees and master servicers may ultimately seek indemnification from Ocwen in connection with the litigations. Ocwen has not yet been impleaded into any of these cases, but it has produced and continues to produce documents to the parties in response to third-party subpoenas.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967" w:right="359" w:bottom="1440" w:gutter="0" w:footer="0" w:header="0"/>
        </w:sectPr>
      </w:pPr>
    </w:p>
    <w:bookmarkStart w:id="55" w:name="page56"/>
    <w:bookmarkEnd w:id="55"/>
    <w:p>
      <w:pPr>
        <w:spacing w:after="0" w:line="300" w:lineRule="auto"/>
        <w:rPr>
          <w:sz w:val="20"/>
          <w:szCs w:val="20"/>
          <w:color w:val="auto"/>
        </w:rPr>
      </w:pPr>
      <w:r>
        <w:rPr>
          <w:rFonts w:ascii="Arial" w:cs="Arial" w:eastAsia="Arial" w:hAnsi="Arial"/>
          <w:sz w:val="15"/>
          <w:szCs w:val="15"/>
          <w:color w:val="auto"/>
        </w:rPr>
        <w:t>Ocwen has, however, been impleaded as a third-party defendant into five consolidated loan repurchase cases first filed against Nomura Credit &amp; Capital, Inc. in 2012 and 2013. Ocwen is vigorously defending itself in those cases against allegations by the mortgage loan seller-defendant that Ocwen failed to inform its contractual counterparties that it had discovered defective loans in the course of servicing them and had otherwise failed to service the loans in accordance with accepted standards. Ocwen is unable at this time to predict the ultimate outcome of these matters, the possible loss or range of loss, if any, associated with the resolution of these matters or any potential impact they may have on us or our operations. If, however, we were required to compensate claimants for losses related to the alleged loan servicing breaches, then our business, reputation, financial condition, liquidity and results of operations could be adversely affected.</w:t>
      </w:r>
    </w:p>
    <w:p>
      <w:pPr>
        <w:spacing w:after="0" w:line="50" w:lineRule="exact"/>
        <w:rPr>
          <w:sz w:val="20"/>
          <w:szCs w:val="20"/>
          <w:color w:val="auto"/>
        </w:rPr>
      </w:pPr>
    </w:p>
    <w:p>
      <w:pPr>
        <w:ind w:right="40"/>
        <w:spacing w:after="0" w:line="298" w:lineRule="auto"/>
        <w:rPr>
          <w:sz w:val="20"/>
          <w:szCs w:val="20"/>
          <w:color w:val="auto"/>
        </w:rPr>
      </w:pPr>
      <w:r>
        <w:rPr>
          <w:rFonts w:ascii="Arial" w:cs="Arial" w:eastAsia="Arial" w:hAnsi="Arial"/>
          <w:sz w:val="15"/>
          <w:szCs w:val="15"/>
          <w:color w:val="auto"/>
        </w:rPr>
        <w:t>In addition, several RMBS trustees have received notices of events of default alleging material failures by servicers to comply with applicable servicing agreements. Although Ocwen has not been sued by an RMBS trustee in response to an event of default notice, there is a risk that Ocwen could be replaced as servicer as a result of said notices, that the trustees could take legal action on behalf of the trust certificate holders, or, under certain circumstances, that the RMBS investors who issue notices of event of default could seek to press their allegations against Ocwen, independent of the trustees. We are unable at this time to predict what, if any, actions any trustee will take in response to an event of default notice, nor can we predict at this time the potential loss or range of loss, if any, associated with the resolution of any event of default notice or the potential impact on our operations. If Ocwen were to be terminated as servicer, or other related legal actions were pursued against Ocwen, it could have an adverse effect on Ocwen’s business, reputation, financial condition, liquidity and results of operations.</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Regulatory</w:t>
      </w:r>
    </w:p>
    <w:p>
      <w:pPr>
        <w:spacing w:after="0" w:line="121" w:lineRule="exact"/>
        <w:rPr>
          <w:sz w:val="20"/>
          <w:szCs w:val="20"/>
          <w:color w:val="auto"/>
        </w:rPr>
      </w:pPr>
    </w:p>
    <w:p>
      <w:pPr>
        <w:ind w:right="80"/>
        <w:spacing w:after="0" w:line="274" w:lineRule="auto"/>
        <w:rPr>
          <w:sz w:val="20"/>
          <w:szCs w:val="20"/>
          <w:color w:val="auto"/>
        </w:rPr>
      </w:pPr>
      <w:r>
        <w:rPr>
          <w:rFonts w:ascii="Arial" w:cs="Arial" w:eastAsia="Arial" w:hAnsi="Arial"/>
          <w:sz w:val="16"/>
          <w:szCs w:val="16"/>
          <w:color w:val="auto"/>
        </w:rPr>
        <w:t>We are subject to a number of ongoing federal and state regulatory examinations, consent orders, inquiries, subpoenas, civil investigative demands, requests for information and other actions. We may also on occasion be subject to foreign regulatory actions in the countries where we operate outside the U.S. Where we determine that a loss contingency is probable in connection with a regulatory matter and the amount of our loss can be reasonably estimated, we record an accrual for the loss. Where we determine that a loss is not probable but is reasonably possible or where a loss in excess of the amount accrued is reasonably possible, we disclose an estimate of the amount of the loss or range of possible losses for the claim if a reasonable estimate can be made, unless the amount of such reasonably possible loss is not material to our financial position, results of operations or cash flows. It is possible that we will incur losses relating to regulatory matters that materially exceed any accrued amount. Our accrual for probable and estimable legal and regulatory matters, including accrued legal fees, was $43.6 million at June 30, 2022. We cannot currently estimate the amount, if any, of reasonably possible losses above amounts that have been recorded at June 30, 2022. Predicting the outcome of any regulatory matter is inherently difficult and we generally cannot predict the eventual outcome of any regulatory matter or the eventual loss, if any, associated with the outcome.</w:t>
      </w:r>
    </w:p>
    <w:p>
      <w:pPr>
        <w:spacing w:after="0" w:line="70"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To the extent that an examination, audit or other regulatory engagement results in an alleged failure by us to comply with applicable laws, regulations or licensing requirements, or if allegations are made that we have failed to comply with applicable laws, regulations or licensing requirements or the commitments we have made in connection with our regulatory settlements (whether such allegations are made through administrative actions such as cease and desist orders, through legal proceedings or otherwise) or if other regulatory actions of a similar or different nature are taken in the future against us, this could lead to (i) administrative fines and penalties and litigation, (ii) loss of our licenses and approvals to engage in our servicing and lending businesses, (iii) governmental investigations and enforcement actions, (iv) civil and criminal liability, including class action lawsuits and actions to recover incentive and other payments made by governmental entities, (v) breaches of covenants and representations under our servicing, debt or other agreements, (vi) damage to our reputation, (vii) inability to raise capital or otherwise fund our operations and (viii) inability to execute on our business strategy. Any of these occurrences could increase our operating expenses and reduce our revenues, hamper our ability to grow or otherwise materially and adversely affect our business, reputation, financial condition, liquidity and results of operations.</w:t>
      </w:r>
    </w:p>
    <w:p>
      <w:pPr>
        <w:spacing w:after="0" w:line="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CFPB</w:t>
      </w:r>
    </w:p>
    <w:p>
      <w:pPr>
        <w:spacing w:after="0" w:line="115" w:lineRule="exact"/>
        <w:rPr>
          <w:sz w:val="20"/>
          <w:szCs w:val="20"/>
          <w:color w:val="auto"/>
        </w:rPr>
      </w:pPr>
    </w:p>
    <w:p>
      <w:pPr>
        <w:ind w:right="20"/>
        <w:spacing w:after="0" w:line="276" w:lineRule="auto"/>
        <w:rPr>
          <w:sz w:val="20"/>
          <w:szCs w:val="20"/>
          <w:color w:val="auto"/>
        </w:rPr>
      </w:pPr>
      <w:r>
        <w:rPr>
          <w:rFonts w:ascii="Arial" w:cs="Arial" w:eastAsia="Arial" w:hAnsi="Arial"/>
          <w:sz w:val="16"/>
          <w:szCs w:val="16"/>
          <w:color w:val="auto"/>
        </w:rPr>
        <w:t>In April 2017, the CFPB filed a lawsuit in the federal district court for the Southern District of Florida against Ocwen, Ocwen Mortgage Servicing, Inc. (OMS) and OLS alleging violations of federal consumer financial laws relating to our servicing business dating back to 2014. The CFPB’s claims include allegations regarding (1) the adequacy of Ocwen’s servicing system and integrity of Ocwen’s mortgage servicing data, (2) Ocwen’s foreclosure practices and (3) various purported servicer errors with respect to borrower escrow accounts, hazard insurance policies, timely cancellation of private mortgage insurance, handling of customer complaints, and marketing of optional products. The CFPB alleges violations of laws prohibiting unfair, deceptive or abusive acts or practices, as well as violations of other laws or regulations. The CFPB does not claim specific monetary damages, although it does seek consumer relief, disgorgement of allegedly improper gains, and civil money penalties. The parties participated in mediation in October 2020 and subsequently held additional settlement discussions. However, the parties were unable to reach a resolution of the litigation.</w:t>
      </w:r>
    </w:p>
    <w:p>
      <w:pPr>
        <w:spacing w:after="0" w:line="65" w:lineRule="exact"/>
        <w:rPr>
          <w:sz w:val="20"/>
          <w:szCs w:val="20"/>
          <w:color w:val="auto"/>
        </w:rPr>
      </w:pPr>
    </w:p>
    <w:p>
      <w:pPr>
        <w:ind w:right="540"/>
        <w:spacing w:after="0" w:line="283" w:lineRule="auto"/>
        <w:rPr>
          <w:sz w:val="20"/>
          <w:szCs w:val="20"/>
          <w:color w:val="auto"/>
        </w:rPr>
      </w:pPr>
      <w:r>
        <w:rPr>
          <w:rFonts w:ascii="Arial" w:cs="Arial" w:eastAsia="Arial" w:hAnsi="Arial"/>
          <w:sz w:val="17"/>
          <w:szCs w:val="17"/>
          <w:color w:val="auto"/>
        </w:rPr>
        <w:t>On March 4, 2021, the court issued an order granting in part and reserving ruling in part on Ocwen’s motion for summary judgment. In that order, the court granted Ocwen summary judgment on 9 of 10 counts in the CFPB’s amended complaint,</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7" w:right="339" w:bottom="1440" w:gutter="0" w:footer="0" w:header="0"/>
        </w:sectPr>
      </w:pPr>
    </w:p>
    <w:bookmarkStart w:id="56" w:name="page57"/>
    <w:bookmarkEnd w:id="56"/>
    <w:p>
      <w:pPr>
        <w:spacing w:after="0" w:line="275" w:lineRule="auto"/>
        <w:rPr>
          <w:sz w:val="20"/>
          <w:szCs w:val="20"/>
          <w:color w:val="auto"/>
        </w:rPr>
      </w:pPr>
      <w:r>
        <w:rPr>
          <w:rFonts w:ascii="Arial" w:cs="Arial" w:eastAsia="Arial" w:hAnsi="Arial"/>
          <w:sz w:val="16"/>
          <w:szCs w:val="16"/>
          <w:color w:val="auto"/>
        </w:rPr>
        <w:t xml:space="preserve">finding that the CFPB’s allegations were barred under the principles of claim preclusion or </w:t>
      </w:r>
      <w:r>
        <w:rPr>
          <w:rFonts w:ascii="Arial" w:cs="Arial" w:eastAsia="Arial" w:hAnsi="Arial"/>
          <w:sz w:val="16"/>
          <w:szCs w:val="16"/>
          <w:i w:val="1"/>
          <w:iCs w:val="1"/>
          <w:color w:val="auto"/>
        </w:rPr>
        <w:t>res judicata</w:t>
      </w:r>
      <w:r>
        <w:rPr>
          <w:rFonts w:ascii="Arial" w:cs="Arial" w:eastAsia="Arial" w:hAnsi="Arial"/>
          <w:sz w:val="16"/>
          <w:szCs w:val="16"/>
          <w:color w:val="auto"/>
        </w:rPr>
        <w:t xml:space="preserve"> to the extent those claims are premised on servicing activity occurring prior to February 26, 2017 and are covered by a 2014 Consent Judgment entered by the United States District Court for the District of Columbia. The CFPB subsequently filed its Second Amended Complaint to remove count 10 as well as allegations in counts 1-9 concerning servicing activity that occurred after February 26, 2017. On April 21, 2021, the court entered final judgment in our favor, denied all pending motions as moot, and closed the case. The CFPB thereafter filed a notice of appeal. Appellate briefing concluded August 26, 2021, and oral argument before the Eleventh Circuit occurred on February 10, 2022. On April 6, 2022, the Eleventh Circuit issued its opinion, largely adopting the district court’s decision precluding the CFPB from bringing claims covered by the National Mortgage Settlement, but vacating and remanding the case back to the district court to determine which, if any, claims are not covered and may still be brought by the CFPB. Neither party sought rehearing of the Eleventh Circuit’s decision and therefore, the case has been remanded back to the trial court for further briefing. Ocwen will continue to vigorously defend itself.</w:t>
      </w:r>
    </w:p>
    <w:p>
      <w:pPr>
        <w:spacing w:after="0" w:line="67"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color w:val="auto"/>
        </w:rPr>
        <w:t>Our current accrual with respect to this matter is included in the $43.6 million legal and regulatory accrual referenced above. The outcome of the matters raised by the CFPB, whether through negotiated settlements, court rulings or otherwise, could potentially involve monetary fines or penalties or additional restrictions on our business and could have a material adverse impact on our business, reputation, financial condition, liquidity and results of operations.</w:t>
      </w:r>
    </w:p>
    <w:p>
      <w:pPr>
        <w:spacing w:after="0" w:line="5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State Licensing, State Attorneys General and Other Matters</w:t>
      </w:r>
    </w:p>
    <w:p>
      <w:pPr>
        <w:spacing w:after="0" w:line="115"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Our licensed entities are required to renew their licenses, typically on an annual basis, and to do so they must satisfy the license renewal requirements of each jurisdiction, which generally include financial requirements such as providing audited financial statements or satisfying minimum net worth requirements and non-financial requirements such as satisfactorily completing examinations as to the licensee’s compliance with applicable laws and regulations. Failure to satisfy any of the requirements to which our licensed entities are subject could result in a variety of regulatory actions ranging from a fine, a directive requiring a certain step to be taken, entry into a consent order, a suspension or ultimately a revocation of a license, any of which could have a material adverse impact on our results of operations and financial condition. In addition, we receive information requests and other inquiries, both formal and informal in nature, from our state financial regulators as part of their general regulatory oversight of our servicing and lending businesses, as well as from state attorneys general, the CFPB and other federal agencies, including the Department of Justice and various inspectors general. For example, we have received requests regarding the charging of certain fees to borrowers; the post-boarding process to verify loan and payment terms are properly implemented, calculated, and applied; bankruptcy practices; COVID-19-related forbearance and post-forbearance options; and Homeowner Assistance Fund participation and implementation. Many of our regulatory engagements arise from a complaint that the entity is investigating, although some are formal investigations or proceedings. The GSEs (and their conservator, FHFA), HUD, FHA, VA, Ginnie Mae, the United States Treasury Department, and others also subject us to periodic reviews and audits. We have in the past resolved, and may in the future resolve, matters via consent orders, payments of monetary amounts and other agreements in order to settle issues identified in connection with examinations or other oversight activities, and such resolutions could have material and adverse effects on our business, reputation, operations, results of operations and financial condition.</w:t>
      </w:r>
    </w:p>
    <w:p>
      <w:pPr>
        <w:spacing w:after="0" w:line="77" w:lineRule="exact"/>
        <w:rPr>
          <w:sz w:val="20"/>
          <w:szCs w:val="20"/>
          <w:color w:val="auto"/>
        </w:rPr>
      </w:pPr>
    </w:p>
    <w:p>
      <w:pPr>
        <w:ind w:right="80"/>
        <w:spacing w:after="0" w:line="276" w:lineRule="auto"/>
        <w:rPr>
          <w:sz w:val="20"/>
          <w:szCs w:val="20"/>
          <w:color w:val="auto"/>
        </w:rPr>
      </w:pPr>
      <w:r>
        <w:rPr>
          <w:rFonts w:ascii="Arial" w:cs="Arial" w:eastAsia="Arial" w:hAnsi="Arial"/>
          <w:sz w:val="16"/>
          <w:szCs w:val="16"/>
          <w:color w:val="auto"/>
        </w:rPr>
        <w:t>In April 2017 and shortly thereafter, mortgage and banking regulatory agencies from 29 states and the District of Columbia took administrative actions against OLS and certain other Ocwen companies that alleged deficiencies in our compliance with laws and regulations relating to our servicing and lending activities. We resolved the majority of these matters in 2017 and resolved the remaining matters in early 2018 An additional state regulator brought legal action together with that state’s attorney general, which we resolved in 2020. In resolving these matters, we entered into agreements that contained certain restrictions and commitments with respect to the operation of our business and our regulatory compliance activities, including certain restrictions and conditions relating to acquisitions of MSRs, a transition to an alternate loan servicing system from the REALServicing system, engagement of third-party auditors, escrow and data testing, error remediation, and financial condition reporting. We also provided certain borrower financial remediation and made payments to state regulators. We believe we have completed all material obligations under these agreements, although a few remaining reporting and other such obligations are ongoing.</w:t>
      </w:r>
    </w:p>
    <w:p>
      <w:pPr>
        <w:spacing w:after="0" w:line="65" w:lineRule="exact"/>
        <w:rPr>
          <w:sz w:val="20"/>
          <w:szCs w:val="20"/>
          <w:color w:val="auto"/>
        </w:rPr>
      </w:pPr>
    </w:p>
    <w:p>
      <w:pPr>
        <w:ind w:right="40"/>
        <w:spacing w:after="0" w:line="263" w:lineRule="auto"/>
        <w:rPr>
          <w:sz w:val="20"/>
          <w:szCs w:val="20"/>
          <w:color w:val="auto"/>
        </w:rPr>
      </w:pPr>
      <w:r>
        <w:rPr>
          <w:rFonts w:ascii="Arial" w:cs="Arial" w:eastAsia="Arial" w:hAnsi="Arial"/>
          <w:sz w:val="17"/>
          <w:szCs w:val="17"/>
          <w:color w:val="auto"/>
        </w:rPr>
        <w:t>On occasion, we engage with agencies of the federal government on various matters. For example, Ocwen was named as a defendant in a HUD administrative complaint filed by a non-profit organization in 2017 alleging discrimination in the manner in which Ocwen maintains REO properties in minority communities. In February 2018, this matter was administratively closed, and similar claims were filed in federal court. We believe these claims are without merit and intend to vigorously defend ourselves.</w:t>
      </w:r>
    </w:p>
    <w:p>
      <w:pPr>
        <w:spacing w:after="0" w:line="73"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In 2017, Ocwen received a subpoena from the Office of the Special Inspector General for the Troubled Asset Relief Program requesting documents and information related to Ocwen’s participation in the Treasury Department’s Making Home Affordable Program. Ocwen has also received subpoenas that appear to relate to federal government agency initiatives relating to our industry generally, since we understand other lenders and servicers have received similar subpoenas. These include subpoenas in 2016 and 2017 from the Office of Inspector General of HUD requesting documentation related to HECM loans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7" w:right="339" w:bottom="1440" w:gutter="0" w:footer="0" w:header="0"/>
        </w:sectPr>
      </w:pPr>
    </w:p>
    <w:bookmarkStart w:id="57" w:name="page58"/>
    <w:bookmarkEnd w:id="57"/>
    <w:p>
      <w:pPr>
        <w:ind w:right="200"/>
        <w:spacing w:after="0" w:line="268" w:lineRule="auto"/>
        <w:rPr>
          <w:sz w:val="20"/>
          <w:szCs w:val="20"/>
          <w:color w:val="auto"/>
        </w:rPr>
      </w:pPr>
      <w:r>
        <w:rPr>
          <w:rFonts w:ascii="Arial" w:cs="Arial" w:eastAsia="Arial" w:hAnsi="Arial"/>
          <w:sz w:val="17"/>
          <w:szCs w:val="17"/>
          <w:color w:val="auto"/>
        </w:rPr>
        <w:t>and lender-placed insurance arrangements with a mortgage insurer and a 2019 subpoena from the VA Office of the Inspector General requesting documentation related to the origination and underwriting of loans guaranteed by the Veterans Benefits Administration. In each instance, we have provided documents and information in response to these subpoenas.</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Loan Put-Back and Related Contingencies</w:t>
      </w:r>
    </w:p>
    <w:p>
      <w:pPr>
        <w:spacing w:after="0" w:line="121" w:lineRule="exact"/>
        <w:rPr>
          <w:sz w:val="20"/>
          <w:szCs w:val="20"/>
          <w:color w:val="auto"/>
        </w:rPr>
      </w:pPr>
    </w:p>
    <w:p>
      <w:pPr>
        <w:ind w:right="280"/>
        <w:spacing w:after="0" w:line="283" w:lineRule="auto"/>
        <w:rPr>
          <w:sz w:val="20"/>
          <w:szCs w:val="20"/>
          <w:color w:val="auto"/>
        </w:rPr>
      </w:pPr>
      <w:r>
        <w:rPr>
          <w:rFonts w:ascii="Arial" w:cs="Arial" w:eastAsia="Arial" w:hAnsi="Arial"/>
          <w:sz w:val="17"/>
          <w:szCs w:val="17"/>
          <w:color w:val="auto"/>
        </w:rPr>
        <w:t>We have exposure to representation, warranty and indemnification obligations relating to our Originations business, including lending, sales and securitization activities, and relating to our servicing practices.</w:t>
      </w:r>
    </w:p>
    <w:p>
      <w:pPr>
        <w:spacing w:after="0" w:line="56" w:lineRule="exact"/>
        <w:rPr>
          <w:sz w:val="20"/>
          <w:szCs w:val="20"/>
          <w:color w:val="auto"/>
        </w:rPr>
      </w:pPr>
    </w:p>
    <w:p>
      <w:pPr>
        <w:jc w:val="both"/>
        <w:ind w:right="220"/>
        <w:spacing w:after="0" w:line="353" w:lineRule="auto"/>
        <w:rPr>
          <w:sz w:val="20"/>
          <w:szCs w:val="20"/>
          <w:color w:val="auto"/>
        </w:rPr>
      </w:pPr>
      <w:r>
        <w:rPr>
          <w:rFonts w:ascii="Arial" w:cs="Arial" w:eastAsia="Arial" w:hAnsi="Arial"/>
          <w:sz w:val="15"/>
          <w:szCs w:val="15"/>
          <w:color w:val="auto"/>
        </w:rPr>
        <w:t>At June 30, 2022 and June 30, 2021, we had outstanding representation and warranty repurchase demands of $51.9 million UPB (270 loans) and $50.7 million UPB (267 loans), respectively. We review each demand and monitor through resolution, primarily through rescission, loan repurchase or make-whole payment.</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changes in our liability for representation and warranty obligations and similar indemnification obligations: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060" w:type="dxa"/>
            <w:vAlign w:val="bottom"/>
          </w:tcPr>
          <w:p>
            <w:pPr>
              <w:spacing w:after="0"/>
              <w:rPr>
                <w:sz w:val="19"/>
                <w:szCs w:val="19"/>
                <w:color w:val="auto"/>
              </w:rPr>
            </w:pPr>
          </w:p>
        </w:tc>
        <w:tc>
          <w:tcPr>
            <w:tcW w:w="2600" w:type="dxa"/>
            <w:vAlign w:val="bottom"/>
            <w:tcBorders>
              <w:bottom w:val="single" w:sz="8" w:color="auto"/>
            </w:tcBorders>
            <w:gridSpan w:val="4"/>
          </w:tcPr>
          <w:p>
            <w:pPr>
              <w:jc w:val="right"/>
              <w:spacing w:after="0"/>
              <w:rPr>
                <w:sz w:val="20"/>
                <w:szCs w:val="20"/>
                <w:color w:val="auto"/>
              </w:rPr>
            </w:pPr>
            <w:r>
              <w:rPr>
                <w:rFonts w:ascii="Arial" w:cs="Arial" w:eastAsia="Arial" w:hAnsi="Arial"/>
                <w:sz w:val="17"/>
                <w:szCs w:val="17"/>
                <w:b w:val="1"/>
                <w:bCs w:val="1"/>
                <w:color w:val="auto"/>
              </w:rPr>
              <w:t>Six Months Ended June 30,</w:t>
            </w:r>
          </w:p>
        </w:tc>
        <w:tc>
          <w:tcPr>
            <w:tcW w:w="540" w:type="dxa"/>
            <w:vAlign w:val="bottom"/>
            <w:tcBorders>
              <w:bottom w:val="single" w:sz="8" w:color="auto"/>
            </w:tcBorders>
          </w:tcPr>
          <w:p>
            <w:pPr>
              <w:spacing w:after="0"/>
              <w:rPr>
                <w:sz w:val="19"/>
                <w:szCs w:val="19"/>
                <w:color w:val="auto"/>
              </w:rPr>
            </w:pPr>
          </w:p>
        </w:tc>
      </w:tr>
      <w:tr>
        <w:trPr>
          <w:trHeight w:val="213"/>
        </w:trPr>
        <w:tc>
          <w:tcPr>
            <w:tcW w:w="806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2022</w:t>
            </w: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2021</w:t>
            </w:r>
          </w:p>
        </w:tc>
        <w:tc>
          <w:tcPr>
            <w:tcW w:w="540" w:type="dxa"/>
            <w:vAlign w:val="bottom"/>
            <w:tcBorders>
              <w:bottom w:val="single" w:sz="8" w:color="auto"/>
            </w:tcBorders>
          </w:tcPr>
          <w:p>
            <w:pPr>
              <w:spacing w:after="0"/>
              <w:rPr>
                <w:sz w:val="18"/>
                <w:szCs w:val="18"/>
                <w:color w:val="auto"/>
              </w:rPr>
            </w:pPr>
          </w:p>
        </w:tc>
      </w:tr>
      <w:tr>
        <w:trPr>
          <w:trHeight w:val="213"/>
        </w:trPr>
        <w:tc>
          <w:tcPr>
            <w:tcW w:w="80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Beginning balance (1)</w:t>
            </w:r>
          </w:p>
        </w:tc>
        <w:tc>
          <w:tcPr>
            <w:tcW w:w="960" w:type="dxa"/>
            <w:vAlign w:val="bottom"/>
            <w:shd w:val="clear" w:color="auto" w:fill="CCEEFF"/>
          </w:tcPr>
          <w:p>
            <w:pPr>
              <w:jc w:val="right"/>
              <w:ind w:right="774"/>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49,430</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94"/>
              <w:spacing w:after="0"/>
              <w:rPr>
                <w:sz w:val="20"/>
                <w:szCs w:val="20"/>
                <w:color w:val="auto"/>
              </w:rPr>
            </w:pPr>
            <w:r>
              <w:rPr>
                <w:rFonts w:ascii="Arial" w:cs="Arial" w:eastAsia="Arial" w:hAnsi="Arial"/>
                <w:sz w:val="17"/>
                <w:szCs w:val="17"/>
                <w:color w:val="auto"/>
                <w:w w:val="84"/>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40,374</w:t>
            </w:r>
          </w:p>
        </w:tc>
      </w:tr>
      <w:tr>
        <w:trPr>
          <w:trHeight w:val="220"/>
        </w:trPr>
        <w:tc>
          <w:tcPr>
            <w:tcW w:w="8060" w:type="dxa"/>
            <w:vAlign w:val="bottom"/>
          </w:tcPr>
          <w:p>
            <w:pPr>
              <w:ind w:left="140"/>
              <w:spacing w:after="0"/>
              <w:rPr>
                <w:sz w:val="20"/>
                <w:szCs w:val="20"/>
                <w:color w:val="auto"/>
              </w:rPr>
            </w:pPr>
            <w:r>
              <w:rPr>
                <w:rFonts w:ascii="Arial" w:cs="Arial" w:eastAsia="Arial" w:hAnsi="Arial"/>
                <w:sz w:val="17"/>
                <w:szCs w:val="17"/>
                <w:color w:val="auto"/>
              </w:rPr>
              <w:t>Provision (reversal) for representation and warranty obligations</w:t>
            </w:r>
          </w:p>
        </w:tc>
        <w:tc>
          <w:tcPr>
            <w:tcW w:w="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w w:val="96"/>
              </w:rPr>
              <w:t>(2,185)</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458</w:t>
            </w:r>
          </w:p>
        </w:tc>
      </w:tr>
      <w:tr>
        <w:trPr>
          <w:trHeight w:val="220"/>
        </w:trPr>
        <w:tc>
          <w:tcPr>
            <w:tcW w:w="80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New production liability</w:t>
            </w: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1,393</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1,993</w:t>
            </w:r>
          </w:p>
        </w:tc>
      </w:tr>
      <w:tr>
        <w:trPr>
          <w:trHeight w:val="220"/>
        </w:trPr>
        <w:tc>
          <w:tcPr>
            <w:tcW w:w="806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Charge-offs and other (2)</w:t>
            </w:r>
          </w:p>
        </w:tc>
        <w:tc>
          <w:tcPr>
            <w:tcW w:w="9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6"/>
              </w:rPr>
              <w:t>(5,923)</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2"/>
              </w:rPr>
              <w:t>(1,247)</w:t>
            </w:r>
          </w:p>
        </w:tc>
      </w:tr>
      <w:tr>
        <w:trPr>
          <w:trHeight w:val="238"/>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Ending balance (1)</w:t>
            </w:r>
          </w:p>
        </w:tc>
        <w:tc>
          <w:tcPr>
            <w:tcW w:w="960" w:type="dxa"/>
            <w:vAlign w:val="bottom"/>
            <w:tcBorders>
              <w:bottom w:val="single" w:sz="8" w:color="auto"/>
            </w:tcBorders>
            <w:shd w:val="clear" w:color="auto" w:fill="CCEEFF"/>
          </w:tcPr>
          <w:p>
            <w:pPr>
              <w:jc w:val="right"/>
              <w:ind w:right="774"/>
              <w:spacing w:after="0"/>
              <w:rPr>
                <w:sz w:val="20"/>
                <w:szCs w:val="20"/>
                <w:color w:val="auto"/>
              </w:rPr>
            </w:pPr>
            <w:r>
              <w:rPr>
                <w:rFonts w:ascii="Arial" w:cs="Arial" w:eastAsia="Arial" w:hAnsi="Arial"/>
                <w:sz w:val="17"/>
                <w:szCs w:val="17"/>
                <w:color w:val="auto"/>
                <w:w w:val="84"/>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8"/>
              </w:rPr>
              <w:t>42,715</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794"/>
              <w:spacing w:after="0"/>
              <w:rPr>
                <w:sz w:val="20"/>
                <w:szCs w:val="20"/>
                <w:color w:val="auto"/>
              </w:rPr>
            </w:pPr>
            <w:r>
              <w:rPr>
                <w:rFonts w:ascii="Arial" w:cs="Arial" w:eastAsia="Arial" w:hAnsi="Arial"/>
                <w:sz w:val="17"/>
                <w:szCs w:val="17"/>
                <w:color w:val="auto"/>
                <w:w w:val="84"/>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8"/>
              </w:rPr>
              <w:t>41,578</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320" w:right="200" w:hanging="317"/>
        <w:spacing w:after="0" w:line="243" w:lineRule="auto"/>
        <w:tabs>
          <w:tab w:leader="none" w:pos="3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liability for representation and warranty obligations and compensatory fees for foreclosures is reported in Other liabilities (a component of Liability for indemnification obligations) on our unaudited consolidated balance sheets.</w:t>
      </w:r>
    </w:p>
    <w:p>
      <w:pPr>
        <w:spacing w:after="0" w:line="1" w:lineRule="exact"/>
        <w:rPr>
          <w:rFonts w:ascii="Arial" w:cs="Arial" w:eastAsia="Arial" w:hAnsi="Arial"/>
          <w:sz w:val="16"/>
          <w:szCs w:val="16"/>
          <w:color w:val="auto"/>
        </w:rPr>
      </w:pPr>
    </w:p>
    <w:p>
      <w:pPr>
        <w:ind w:left="320" w:hanging="317"/>
        <w:spacing w:after="0"/>
        <w:tabs>
          <w:tab w:leader="none" w:pos="3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Includes principal and interest losses realized in connection with repurchased loans, make-whole, indemnification and fee payments and settlements net of recoveries, if any.</w:t>
      </w:r>
    </w:p>
    <w:p>
      <w:pPr>
        <w:spacing w:after="0" w:line="107" w:lineRule="exact"/>
        <w:rPr>
          <w:sz w:val="20"/>
          <w:szCs w:val="20"/>
          <w:color w:val="auto"/>
        </w:rPr>
      </w:pPr>
    </w:p>
    <w:p>
      <w:pPr>
        <w:jc w:val="both"/>
        <w:ind w:right="340"/>
        <w:spacing w:after="0" w:line="320" w:lineRule="auto"/>
        <w:rPr>
          <w:sz w:val="20"/>
          <w:szCs w:val="20"/>
          <w:color w:val="auto"/>
        </w:rPr>
      </w:pPr>
      <w:r>
        <w:rPr>
          <w:rFonts w:ascii="Arial" w:cs="Arial" w:eastAsia="Arial" w:hAnsi="Arial"/>
          <w:sz w:val="15"/>
          <w:szCs w:val="15"/>
          <w:color w:val="auto"/>
        </w:rPr>
        <w:t>We believe that it is reasonably possible that losses beyond amounts currently recorded for potential representation and warranty obligations and other claims described above could occur, and such losses could have an adverse impact on our results of operations, financial condition or cash flows. However, based on currently available information, we are unable to estimate a range of reasonably possible losses above amounts that have been recorded at June 30, 2022</w:t>
      </w:r>
      <w:r>
        <w:rPr>
          <w:rFonts w:ascii="Arial" w:cs="Arial" w:eastAsia="Arial" w:hAnsi="Arial"/>
          <w:sz w:val="13"/>
          <w:szCs w:val="13"/>
          <w:color w:val="auto"/>
        </w:rPr>
        <w:t>.</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w:t>
      </w:r>
    </w:p>
    <w:p>
      <w:pPr>
        <w:spacing w:after="0" w:line="121" w:lineRule="exact"/>
        <w:rPr>
          <w:sz w:val="20"/>
          <w:szCs w:val="20"/>
          <w:color w:val="auto"/>
        </w:rPr>
      </w:pPr>
    </w:p>
    <w:p>
      <w:pPr>
        <w:ind w:right="140"/>
        <w:spacing w:after="0" w:line="281" w:lineRule="auto"/>
        <w:rPr>
          <w:sz w:val="20"/>
          <w:szCs w:val="20"/>
          <w:color w:val="auto"/>
        </w:rPr>
      </w:pPr>
      <w:r>
        <w:rPr>
          <w:rFonts w:ascii="Arial" w:cs="Arial" w:eastAsia="Arial" w:hAnsi="Arial"/>
          <w:sz w:val="16"/>
          <w:szCs w:val="16"/>
          <w:color w:val="auto"/>
        </w:rPr>
        <w:t>Ocwen, on its own behalf and on behalf of various mortgage loan investors, is engaged in a variety of activities to seek payments from mortgage insurers for unpaid claims, including claims where the mortgage insurers paid less than the full claim amount. Ocwen believes that many of the actions by mortgage insurers were in violation of the applicable insurance policies and insurance law. In some cases, Ocwen has entered into tolling agreements, initiated arbitration or litigation, engaged in settlement discussions, or taken other similar actions. To date, Ocwen has settled with five mortgage insurers, and expects the ultimate outcome to result in recovery of additional unpaid claims, although we cannot quantify the likely amount at this time.</w:t>
      </w:r>
    </w:p>
    <w:p>
      <w:pPr>
        <w:spacing w:after="0" w:line="60" w:lineRule="exact"/>
        <w:rPr>
          <w:sz w:val="20"/>
          <w:szCs w:val="20"/>
          <w:color w:val="auto"/>
        </w:rPr>
      </w:pPr>
    </w:p>
    <w:p>
      <w:pPr>
        <w:ind w:right="80"/>
        <w:spacing w:after="0" w:line="263" w:lineRule="auto"/>
        <w:rPr>
          <w:sz w:val="20"/>
          <w:szCs w:val="20"/>
          <w:color w:val="auto"/>
        </w:rPr>
      </w:pPr>
      <w:r>
        <w:rPr>
          <w:rFonts w:ascii="Arial" w:cs="Arial" w:eastAsia="Arial" w:hAnsi="Arial"/>
          <w:sz w:val="17"/>
          <w:szCs w:val="17"/>
          <w:color w:val="auto"/>
        </w:rPr>
        <w:t>We may, from time to time, have affirmative indemnification and other claims against service providers and parties from whom we purchased MSRs or other assets. Although we pursue these claims, we cannot currently estimate the amount, if any, of further recoveries. Similarly, from time to time, indemnification and other claims are made against us by parties to whom we sold MSRs or other assets or by parties on whose behalf we service mortgage loans. We cannot currently estimate the amount, if any, of reasonably possible loss above amounts recorded.</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23 – Subsequent Events</w:t>
      </w:r>
    </w:p>
    <w:p>
      <w:pPr>
        <w:spacing w:after="0" w:line="116" w:lineRule="exact"/>
        <w:rPr>
          <w:sz w:val="20"/>
          <w:szCs w:val="20"/>
          <w:color w:val="auto"/>
        </w:rPr>
      </w:pPr>
    </w:p>
    <w:p>
      <w:pPr>
        <w:jc w:val="both"/>
        <w:ind w:right="80"/>
        <w:spacing w:after="0" w:line="250" w:lineRule="auto"/>
        <w:rPr>
          <w:sz w:val="20"/>
          <w:szCs w:val="20"/>
          <w:color w:val="auto"/>
        </w:rPr>
      </w:pPr>
      <w:r>
        <w:rPr>
          <w:rFonts w:ascii="Arial" w:cs="Arial" w:eastAsia="Arial" w:hAnsi="Arial"/>
          <w:sz w:val="19"/>
          <w:szCs w:val="19"/>
          <w:color w:val="auto"/>
        </w:rPr>
        <w:t xml:space="preserve">During July </w:t>
      </w:r>
      <w:r>
        <w:rPr>
          <w:rFonts w:ascii="Arial" w:cs="Arial" w:eastAsia="Arial" w:hAnsi="Arial"/>
          <w:sz w:val="17"/>
          <w:szCs w:val="17"/>
          <w:color w:val="auto"/>
        </w:rPr>
        <w:t>2022, we completed the repurchase of 490,317 shares of our common stock in the open market at prevailing market prices for a total purchase price</w:t>
      </w:r>
      <w:r>
        <w:rPr>
          <w:rFonts w:ascii="Arial" w:cs="Arial" w:eastAsia="Arial" w:hAnsi="Arial"/>
          <w:sz w:val="19"/>
          <w:szCs w:val="19"/>
          <w:color w:val="auto"/>
        </w:rPr>
        <w:t xml:space="preserve"> </w:t>
      </w:r>
      <w:r>
        <w:rPr>
          <w:rFonts w:ascii="Arial" w:cs="Arial" w:eastAsia="Arial" w:hAnsi="Arial"/>
          <w:sz w:val="17"/>
          <w:szCs w:val="17"/>
          <w:color w:val="auto"/>
        </w:rPr>
        <w:t>of $14.6 million and at an average price paid per share of $29.78. These shares were repurchased under the $50.0 million program authorized by Ocwen’s Board of Directors in May 2022. See Note 15 – Stockholders’ Equity for additional information</w:t>
      </w:r>
      <w:r>
        <w:rPr>
          <w:rFonts w:ascii="Arial" w:cs="Arial" w:eastAsia="Arial" w:hAnsi="Arial"/>
          <w:sz w:val="17"/>
          <w:szCs w:val="17"/>
          <w:b w:val="1"/>
          <w:bCs w:val="1"/>
          <w:color w:val="auto"/>
        </w:rPr>
        <w:t>.</w:t>
      </w:r>
    </w:p>
    <w:p>
      <w:pPr>
        <w:spacing w:after="0" w:line="179" w:lineRule="exact"/>
        <w:rPr>
          <w:sz w:val="20"/>
          <w:szCs w:val="20"/>
          <w:color w:val="auto"/>
        </w:rPr>
      </w:pPr>
    </w:p>
    <w:p>
      <w:pPr>
        <w:ind w:right="1500"/>
        <w:spacing w:after="0" w:line="354" w:lineRule="auto"/>
        <w:rPr>
          <w:sz w:val="20"/>
          <w:szCs w:val="20"/>
          <w:color w:val="auto"/>
        </w:rPr>
      </w:pPr>
      <w:r>
        <w:rPr>
          <w:rFonts w:ascii="Arial" w:cs="Arial" w:eastAsia="Arial" w:hAnsi="Arial"/>
          <w:sz w:val="17"/>
          <w:szCs w:val="17"/>
          <w:b w:val="1"/>
          <w:bCs w:val="1"/>
          <w:color w:val="auto"/>
        </w:rPr>
        <w:t>ITEM 2. MANAGEMENT’S DISCUSSION AND ANALYSIS OF FINANCIAL CONDITION AND RESULTS OF OPERATIONS (Dollars in millions, except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967" w:right="379" w:bottom="1440" w:gutter="0" w:footer="0" w:header="0"/>
        </w:sectPr>
      </w:pPr>
    </w:p>
    <w:bookmarkStart w:id="58" w:name="page59"/>
    <w:bookmarkEnd w:id="58"/>
    <w:p>
      <w:pPr>
        <w:ind w:left="20"/>
        <w:spacing w:after="0"/>
        <w:rPr>
          <w:sz w:val="20"/>
          <w:szCs w:val="20"/>
          <w:color w:val="auto"/>
        </w:rPr>
      </w:pPr>
      <w:r>
        <w:rPr>
          <w:rFonts w:ascii="Arial" w:cs="Arial" w:eastAsia="Arial" w:hAnsi="Arial"/>
          <w:sz w:val="17"/>
          <w:szCs w:val="17"/>
          <w:b w:val="1"/>
          <w:bCs w:val="1"/>
          <w:color w:val="auto"/>
        </w:rPr>
        <w:t>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84455</wp:posOffset>
            </wp:positionV>
            <wp:extent cx="712152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w:t>
      </w:r>
    </w:p>
    <w:p>
      <w:pPr>
        <w:spacing w:after="0" w:line="121" w:lineRule="exact"/>
        <w:rPr>
          <w:sz w:val="20"/>
          <w:szCs w:val="20"/>
          <w:color w:val="auto"/>
        </w:rPr>
      </w:pPr>
    </w:p>
    <w:p>
      <w:pPr>
        <w:ind w:right="20"/>
        <w:spacing w:after="0" w:line="258" w:lineRule="auto"/>
        <w:rPr>
          <w:sz w:val="20"/>
          <w:szCs w:val="20"/>
          <w:color w:val="auto"/>
        </w:rPr>
      </w:pPr>
      <w:r>
        <w:rPr>
          <w:rFonts w:ascii="Arial" w:cs="Arial" w:eastAsia="Arial" w:hAnsi="Arial"/>
          <w:sz w:val="17"/>
          <w:szCs w:val="17"/>
          <w:color w:val="auto"/>
        </w:rPr>
        <w:t>We are a financial services company that services and originates mortgage loans. We are a leading mortgage special servicer, servicing 1.4 million loans with a total UPB of $288.3 billion on behalf of more than 3,900 investors and 98 subservicing clients as of June 30, 2022. We service all mortgage loan classes, including conventional, government-insured and non-Agency loans. Our originations business is part of our balanced business model to generate gains on loan sales and profitable returns, and to support the replenishment and the growth of our servicing portfolio. Through our retail, correspondent and wholesale channels, we originate and purchase conventional and government-insured forward and reverse mortgage loans that we sell or securitize on a servicing retained basis. In addition, we grow our mortgage servicing volume through MSR flow purchase agreements, Agency Cash Window programs, bulk MSR purchase transactions, and subservicing agreements.</w:t>
      </w:r>
    </w:p>
    <w:p>
      <w:pPr>
        <w:spacing w:after="0" w:line="80"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The table below summarizes the volume of Originations by channel, in the second quarter of 2022, compared with the preceding quarter, and the six months ended June 30, 2022 compared with the corresponding period of the prior year. The volume of Originations is a key driver of the profitability of our Originations segment, together with margins, and a key driver of the replenishment and growth of our Servicing segment.</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220" w:type="dxa"/>
            <w:vAlign w:val="bottom"/>
          </w:tcPr>
          <w:p>
            <w:pPr>
              <w:ind w:left="20"/>
              <w:spacing w:after="0"/>
              <w:rPr>
                <w:sz w:val="20"/>
                <w:szCs w:val="20"/>
                <w:color w:val="auto"/>
              </w:rPr>
            </w:pPr>
            <w:r>
              <w:rPr>
                <w:rFonts w:ascii="Arial" w:cs="Arial" w:eastAsia="Arial" w:hAnsi="Arial"/>
                <w:sz w:val="17"/>
                <w:szCs w:val="17"/>
                <w:i w:val="1"/>
                <w:iCs w:val="1"/>
                <w:color w:val="auto"/>
              </w:rPr>
              <w:t>$ in billions</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UPB</w:t>
            </w:r>
          </w:p>
        </w:tc>
        <w:tc>
          <w:tcPr>
            <w:tcW w:w="12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r>
      <w:tr>
        <w:trPr>
          <w:trHeight w:val="213"/>
        </w:trPr>
        <w:tc>
          <w:tcPr>
            <w:tcW w:w="5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20" w:type="dxa"/>
            <w:vAlign w:val="bottom"/>
            <w:gridSpan w:val="5"/>
          </w:tcPr>
          <w:p>
            <w:pPr>
              <w:ind w:left="540"/>
              <w:spacing w:after="0"/>
              <w:rPr>
                <w:sz w:val="20"/>
                <w:szCs w:val="20"/>
                <w:color w:val="auto"/>
              </w:rPr>
            </w:pPr>
            <w:r>
              <w:rPr>
                <w:rFonts w:ascii="Arial" w:cs="Arial" w:eastAsia="Arial" w:hAnsi="Arial"/>
                <w:sz w:val="17"/>
                <w:szCs w:val="17"/>
                <w:b w:val="1"/>
                <w:bCs w:val="1"/>
                <w:color w:val="auto"/>
              </w:rPr>
              <w:t>Three Months Ended</w:t>
            </w:r>
          </w:p>
        </w:tc>
        <w:tc>
          <w:tcPr>
            <w:tcW w:w="160" w:type="dxa"/>
            <w:vAlign w:val="bottom"/>
          </w:tcPr>
          <w:p>
            <w:pPr>
              <w:spacing w:after="0"/>
              <w:rPr>
                <w:sz w:val="18"/>
                <w:szCs w:val="18"/>
                <w:color w:val="auto"/>
              </w:rPr>
            </w:pPr>
          </w:p>
        </w:tc>
        <w:tc>
          <w:tcPr>
            <w:tcW w:w="2800" w:type="dxa"/>
            <w:vAlign w:val="bottom"/>
            <w:gridSpan w:val="4"/>
          </w:tcPr>
          <w:p>
            <w:pPr>
              <w:jc w:val="right"/>
              <w:ind w:right="714"/>
              <w:spacing w:after="0"/>
              <w:rPr>
                <w:sz w:val="20"/>
                <w:szCs w:val="20"/>
                <w:color w:val="auto"/>
              </w:rPr>
            </w:pPr>
            <w:r>
              <w:rPr>
                <w:rFonts w:ascii="Arial" w:cs="Arial" w:eastAsia="Arial" w:hAnsi="Arial"/>
                <w:sz w:val="17"/>
                <w:szCs w:val="17"/>
                <w:b w:val="1"/>
                <w:bCs w:val="1"/>
                <w:color w:val="auto"/>
              </w:rPr>
              <w:t>Six Months Ended</w:t>
            </w:r>
          </w:p>
        </w:tc>
      </w:tr>
      <w:tr>
        <w:trPr>
          <w:trHeight w:val="213"/>
        </w:trPr>
        <w:tc>
          <w:tcPr>
            <w:tcW w:w="5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gridSpan w:val="2"/>
          </w:tcPr>
          <w:p>
            <w:pPr>
              <w:ind w:left="60"/>
              <w:spacing w:after="0"/>
              <w:rPr>
                <w:sz w:val="20"/>
                <w:szCs w:val="20"/>
                <w:color w:val="auto"/>
              </w:rPr>
            </w:pPr>
            <w:r>
              <w:rPr>
                <w:rFonts w:ascii="Arial" w:cs="Arial" w:eastAsia="Arial" w:hAnsi="Arial"/>
                <w:sz w:val="17"/>
                <w:szCs w:val="17"/>
                <w:b w:val="1"/>
                <w:bCs w:val="1"/>
                <w:color w:val="auto"/>
              </w:rPr>
              <w:t>June 30, 2022</w:t>
            </w:r>
          </w:p>
        </w:tc>
        <w:tc>
          <w:tcPr>
            <w:tcW w:w="1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54"/>
              <w:spacing w:after="0"/>
              <w:rPr>
                <w:sz w:val="20"/>
                <w:szCs w:val="20"/>
                <w:color w:val="auto"/>
              </w:rPr>
            </w:pPr>
            <w:r>
              <w:rPr>
                <w:rFonts w:ascii="Arial" w:cs="Arial" w:eastAsia="Arial" w:hAnsi="Arial"/>
                <w:sz w:val="17"/>
                <w:szCs w:val="17"/>
                <w:b w:val="1"/>
                <w:bCs w:val="1"/>
                <w:color w:val="auto"/>
                <w:w w:val="94"/>
              </w:rPr>
              <w:t>March 31, 2022</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gridSpan w:val="2"/>
          </w:tcPr>
          <w:p>
            <w:pPr>
              <w:ind w:left="60"/>
              <w:spacing w:after="0"/>
              <w:rPr>
                <w:sz w:val="20"/>
                <w:szCs w:val="20"/>
                <w:color w:val="auto"/>
              </w:rPr>
            </w:pPr>
            <w:r>
              <w:rPr>
                <w:rFonts w:ascii="Arial" w:cs="Arial" w:eastAsia="Arial" w:hAnsi="Arial"/>
                <w:sz w:val="17"/>
                <w:szCs w:val="17"/>
                <w:b w:val="1"/>
                <w:bCs w:val="1"/>
                <w:color w:val="auto"/>
              </w:rPr>
              <w:t>June 30, 2022</w:t>
            </w:r>
          </w:p>
        </w:tc>
        <w:tc>
          <w:tcPr>
            <w:tcW w:w="1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34"/>
              <w:spacing w:after="0"/>
              <w:rPr>
                <w:sz w:val="20"/>
                <w:szCs w:val="20"/>
                <w:color w:val="auto"/>
              </w:rPr>
            </w:pPr>
            <w:r>
              <w:rPr>
                <w:rFonts w:ascii="Arial" w:cs="Arial" w:eastAsia="Arial" w:hAnsi="Arial"/>
                <w:sz w:val="17"/>
                <w:szCs w:val="17"/>
                <w:b w:val="1"/>
                <w:bCs w:val="1"/>
                <w:color w:val="auto"/>
                <w:w w:val="92"/>
              </w:rPr>
              <w:t>June 30, 2021</w:t>
            </w:r>
          </w:p>
        </w:tc>
      </w:tr>
      <w:tr>
        <w:trPr>
          <w:trHeight w:val="200"/>
        </w:trPr>
        <w:tc>
          <w:tcPr>
            <w:tcW w:w="5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Mortgage servicing originations</w:t>
            </w:r>
          </w:p>
        </w:tc>
        <w:tc>
          <w:tcPr>
            <w:tcW w:w="14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r>
      <w:tr>
        <w:trPr>
          <w:trHeight w:val="220"/>
        </w:trPr>
        <w:tc>
          <w:tcPr>
            <w:tcW w:w="5220" w:type="dxa"/>
            <w:vAlign w:val="bottom"/>
          </w:tcPr>
          <w:p>
            <w:pPr>
              <w:ind w:left="120"/>
              <w:spacing w:after="0"/>
              <w:rPr>
                <w:sz w:val="20"/>
                <w:szCs w:val="20"/>
                <w:color w:val="auto"/>
              </w:rPr>
            </w:pPr>
            <w:r>
              <w:rPr>
                <w:rFonts w:ascii="Arial" w:cs="Arial" w:eastAsia="Arial" w:hAnsi="Arial"/>
                <w:sz w:val="17"/>
                <w:szCs w:val="17"/>
                <w:color w:val="auto"/>
              </w:rPr>
              <w:t>Retail - Consumer Direct MSR (1)</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0.32</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0.66</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0.99</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1.17</w:t>
            </w:r>
          </w:p>
        </w:tc>
      </w:tr>
      <w:tr>
        <w:trPr>
          <w:trHeight w:val="220"/>
        </w:trPr>
        <w:tc>
          <w:tcPr>
            <w:tcW w:w="52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Correspondent MSR (1)</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5.12</w:t>
            </w:r>
          </w:p>
        </w:tc>
      </w:tr>
      <w:tr>
        <w:trPr>
          <w:trHeight w:val="220"/>
        </w:trPr>
        <w:tc>
          <w:tcPr>
            <w:tcW w:w="5220" w:type="dxa"/>
            <w:vAlign w:val="bottom"/>
          </w:tcPr>
          <w:p>
            <w:pPr>
              <w:ind w:left="120"/>
              <w:spacing w:after="0"/>
              <w:rPr>
                <w:sz w:val="20"/>
                <w:szCs w:val="20"/>
                <w:color w:val="auto"/>
              </w:rPr>
            </w:pPr>
            <w:r>
              <w:rPr>
                <w:rFonts w:ascii="Arial" w:cs="Arial" w:eastAsia="Arial" w:hAnsi="Arial"/>
                <w:sz w:val="17"/>
                <w:szCs w:val="17"/>
                <w:color w:val="auto"/>
              </w:rPr>
              <w:t>Flow and Agency Cash Window MSR purchases (2)</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3.21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4.09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7.30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12.15</w:t>
            </w:r>
          </w:p>
        </w:tc>
      </w:tr>
      <w:tr>
        <w:trPr>
          <w:trHeight w:val="220"/>
        </w:trPr>
        <w:tc>
          <w:tcPr>
            <w:tcW w:w="52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Reverse mortgage servicing (3)</w:t>
            </w: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0.43</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0.55</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0.98</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0.60</w:t>
            </w:r>
          </w:p>
        </w:tc>
      </w:tr>
      <w:tr>
        <w:trPr>
          <w:trHeight w:val="213"/>
        </w:trPr>
        <w:tc>
          <w:tcPr>
            <w:tcW w:w="5220" w:type="dxa"/>
            <w:vAlign w:val="bottom"/>
          </w:tcPr>
          <w:p>
            <w:pPr>
              <w:ind w:left="220"/>
              <w:spacing w:after="0"/>
              <w:rPr>
                <w:sz w:val="20"/>
                <w:szCs w:val="20"/>
                <w:color w:val="auto"/>
              </w:rPr>
            </w:pPr>
            <w:r>
              <w:rPr>
                <w:rFonts w:ascii="Arial" w:cs="Arial" w:eastAsia="Arial" w:hAnsi="Arial"/>
                <w:sz w:val="17"/>
                <w:szCs w:val="17"/>
                <w:color w:val="auto"/>
              </w:rPr>
              <w:t>Total servicing</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7.90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7.98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15.88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19.05</w:t>
            </w:r>
          </w:p>
        </w:tc>
      </w:tr>
      <w:tr>
        <w:trPr>
          <w:trHeight w:val="220"/>
        </w:trPr>
        <w:tc>
          <w:tcPr>
            <w:tcW w:w="52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Bulk purchases (2)</w:t>
            </w: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55.13</w:t>
            </w:r>
          </w:p>
        </w:tc>
      </w:tr>
      <w:tr>
        <w:trPr>
          <w:trHeight w:val="220"/>
        </w:trPr>
        <w:tc>
          <w:tcPr>
            <w:tcW w:w="5220" w:type="dxa"/>
            <w:vAlign w:val="bottom"/>
          </w:tcPr>
          <w:p>
            <w:pPr>
              <w:ind w:left="140"/>
              <w:spacing w:after="0"/>
              <w:rPr>
                <w:sz w:val="20"/>
                <w:szCs w:val="20"/>
                <w:color w:val="auto"/>
              </w:rPr>
            </w:pPr>
            <w:r>
              <w:rPr>
                <w:rFonts w:ascii="Arial" w:cs="Arial" w:eastAsia="Arial" w:hAnsi="Arial"/>
                <w:sz w:val="17"/>
                <w:szCs w:val="17"/>
                <w:color w:val="auto"/>
              </w:rPr>
              <w:t>Bulk purchases - reverse (2)</w:t>
            </w:r>
          </w:p>
        </w:tc>
        <w:tc>
          <w:tcPr>
            <w:tcW w:w="1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0.21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0.21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3"/>
        </w:trPr>
        <w:tc>
          <w:tcPr>
            <w:tcW w:w="522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Total servicing additions</w:t>
            </w:r>
          </w:p>
        </w:tc>
        <w:tc>
          <w:tcPr>
            <w:tcW w:w="14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7.90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8.18</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16.08</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74.18</w:t>
            </w:r>
          </w:p>
        </w:tc>
      </w:tr>
      <w:tr>
        <w:trPr>
          <w:trHeight w:val="220"/>
        </w:trPr>
        <w:tc>
          <w:tcPr>
            <w:tcW w:w="52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Subservicing additions (4)</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18.93</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12.24</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31.18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8.47</w:t>
            </w:r>
          </w:p>
        </w:tc>
      </w:tr>
      <w:tr>
        <w:trPr>
          <w:trHeight w:val="238"/>
        </w:trPr>
        <w:tc>
          <w:tcPr>
            <w:tcW w:w="52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Total servicing and subservicing UPB additions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26.83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20.43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47.26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82.65</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320" w:right="160" w:hanging="317"/>
        <w:spacing w:after="0" w:line="243" w:lineRule="auto"/>
        <w:tabs>
          <w:tab w:leader="none" w:pos="3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Represents the UPB of loans that have been originated or purchased (funded UPB) during the respective periods and for which we recognize a new MSR on our consolidated balance sheets upon sale or securitization.</w:t>
      </w:r>
    </w:p>
    <w:p>
      <w:pPr>
        <w:spacing w:after="0" w:line="1" w:lineRule="exact"/>
        <w:rPr>
          <w:rFonts w:ascii="Arial" w:cs="Arial" w:eastAsia="Arial" w:hAnsi="Arial"/>
          <w:sz w:val="16"/>
          <w:szCs w:val="16"/>
          <w:color w:val="auto"/>
        </w:rPr>
      </w:pPr>
    </w:p>
    <w:p>
      <w:pPr>
        <w:ind w:left="320" w:hanging="317"/>
        <w:spacing w:after="0" w:line="235" w:lineRule="auto"/>
        <w:tabs>
          <w:tab w:leader="none" w:pos="3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Represents the UPB of loans for which the MSR is purchased.</w:t>
      </w:r>
    </w:p>
    <w:p>
      <w:pPr>
        <w:ind w:left="320" w:right="380" w:hanging="317"/>
        <w:spacing w:after="0" w:line="235" w:lineRule="auto"/>
        <w:tabs>
          <w:tab w:leader="none" w:pos="3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Represents the UPB of reverse mortgage loans that have been securitized on a servicing retained basis. The loans are recognized on our consolidated balance sheets under GAAP without any separate recognition of MSRs.</w:t>
      </w:r>
    </w:p>
    <w:p>
      <w:pPr>
        <w:spacing w:after="0" w:line="1" w:lineRule="exact"/>
        <w:rPr>
          <w:rFonts w:ascii="Arial" w:cs="Arial" w:eastAsia="Arial" w:hAnsi="Arial"/>
          <w:sz w:val="16"/>
          <w:szCs w:val="16"/>
          <w:color w:val="auto"/>
        </w:rPr>
      </w:pPr>
    </w:p>
    <w:p>
      <w:pPr>
        <w:ind w:left="320" w:right="180" w:hanging="317"/>
        <w:spacing w:after="0" w:line="245" w:lineRule="auto"/>
        <w:tabs>
          <w:tab w:leader="none" w:pos="3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 xml:space="preserve">Includes interim subservicing, including the volume of UPB associated with short-term interim subservicing for certain clients as a support to their originate-to-sell business, with $5.3 billion and $2.9 billion for the three months ended June 30, 2022 and March 31, 2022, respectively, and $8.2 billion and $8.5 billion for the six months </w:t>
      </w:r>
      <w:r>
        <w:rPr>
          <w:rFonts w:ascii="Arial" w:cs="Arial" w:eastAsia="Arial" w:hAnsi="Arial"/>
          <w:sz w:val="17"/>
          <w:szCs w:val="17"/>
          <w:color w:val="auto"/>
        </w:rPr>
        <w:t>ended</w:t>
      </w:r>
      <w:r>
        <w:rPr>
          <w:rFonts w:ascii="Arial" w:cs="Arial" w:eastAsia="Arial" w:hAnsi="Arial"/>
          <w:sz w:val="16"/>
          <w:szCs w:val="16"/>
          <w:color w:val="auto"/>
        </w:rPr>
        <w:t xml:space="preserve"> June 30, 2022 and June 30, 2021, respectively.</w:t>
      </w:r>
    </w:p>
    <w:p>
      <w:pPr>
        <w:spacing w:after="0" w:line="80" w:lineRule="exact"/>
        <w:rPr>
          <w:sz w:val="20"/>
          <w:szCs w:val="20"/>
          <w:color w:val="auto"/>
        </w:rPr>
      </w:pPr>
    </w:p>
    <w:p>
      <w:pPr>
        <w:ind w:right="40"/>
        <w:spacing w:after="0" w:line="272" w:lineRule="auto"/>
        <w:rPr>
          <w:sz w:val="20"/>
          <w:szCs w:val="20"/>
          <w:color w:val="auto"/>
        </w:rPr>
      </w:pPr>
      <w:r>
        <w:rPr>
          <w:rFonts w:ascii="Arial" w:cs="Arial" w:eastAsia="Arial" w:hAnsi="Arial"/>
          <w:sz w:val="16"/>
          <w:szCs w:val="16"/>
          <w:color w:val="auto"/>
        </w:rPr>
        <w:t>In addition to interim subservicing, subservicing additions for the three months ended June 30, 2022 and March 31, 2022 in the table above include reverse mortgage loan subservicing and new subservicing on behalf of MAV. On October 1, 2021, in connection with the transaction with MAM (RMS), PMC became the subservicer for approximately 57,000 reverse mortgages, or approximately $14.3 billion in UPB pursuant to subservicing agreements with various clients, including MAM (RMS). Under the five-year subservicing agreement with MAM (RMS), we added subservicing of approximately 40,000 reverse mortgage loans or approximately $9.1 billion in UPB in the first quarter of 2022, and approximately 19,000 reverse mortgage loans with a UPB of $4.1 billion in the second quarter of 2022. In the second quarter of 2021, we launched our joint venture MSR investment with Oaktree with MAV. MAV purchased approximately</w:t>
      </w:r>
    </w:p>
    <w:p>
      <w:pPr>
        <w:spacing w:after="0" w:line="2" w:lineRule="exact"/>
        <w:rPr>
          <w:sz w:val="20"/>
          <w:szCs w:val="20"/>
          <w:color w:val="auto"/>
        </w:rPr>
      </w:pPr>
    </w:p>
    <w:p>
      <w:pPr>
        <w:ind w:right="880"/>
        <w:spacing w:after="0" w:line="267" w:lineRule="auto"/>
        <w:rPr>
          <w:sz w:val="20"/>
          <w:szCs w:val="20"/>
          <w:color w:val="auto"/>
        </w:rPr>
      </w:pPr>
      <w:r>
        <w:rPr>
          <w:rFonts w:ascii="Arial" w:cs="Arial" w:eastAsia="Arial" w:hAnsi="Arial"/>
          <w:sz w:val="17"/>
          <w:szCs w:val="17"/>
          <w:color w:val="auto"/>
        </w:rPr>
        <w:t>$8.5 billion and $—(nil) GSE MSRs from unrelated third parties that PMC began subservicing in the second quarter of 2022 and first quarter of 2022, respectively.</w:t>
      </w:r>
    </w:p>
    <w:p>
      <w:pPr>
        <w:spacing w:after="0" w:line="69" w:lineRule="exact"/>
        <w:rPr>
          <w:sz w:val="20"/>
          <w:szCs w:val="20"/>
          <w:color w:val="auto"/>
        </w:rPr>
      </w:pPr>
    </w:p>
    <w:p>
      <w:pPr>
        <w:ind w:right="20"/>
        <w:spacing w:after="0" w:line="261" w:lineRule="auto"/>
        <w:rPr>
          <w:sz w:val="20"/>
          <w:szCs w:val="20"/>
          <w:color w:val="auto"/>
        </w:rPr>
      </w:pPr>
      <w:r>
        <w:rPr>
          <w:rFonts w:ascii="Arial" w:cs="Arial" w:eastAsia="Arial" w:hAnsi="Arial"/>
          <w:sz w:val="17"/>
          <w:szCs w:val="17"/>
          <w:color w:val="auto"/>
        </w:rPr>
        <w:t>The following table summarizes the average volume of our Servicing segment during the second quarter of 2022, compared with the preceding quarter, and the six months ended June 30, 2022 compared with the corresponding period of the prior year. The average volume of Servicing is a key driver of the profitability of our Servicing segment. The relative weight of performing and delinquent loans also drives the gross revenue and expenses, and their timing. In the second quarter of 2022, we have increased our total average servicing portfolio by $15.5 billion, net of runoff as compared to the first quarter of 2022, mostly with additional forward and reverse subservicing volume, and bulk acquisitions by MAV.</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55" w:right="33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225"/>
        </w:trPr>
        <w:tc>
          <w:tcPr>
            <w:tcW w:w="4840" w:type="dxa"/>
            <w:vAlign w:val="bottom"/>
          </w:tcPr>
          <w:p>
            <w:pPr>
              <w:ind w:left="20"/>
              <w:spacing w:after="0"/>
              <w:rPr>
                <w:sz w:val="20"/>
                <w:szCs w:val="20"/>
                <w:color w:val="auto"/>
              </w:rPr>
            </w:pPr>
            <w:r>
              <w:rPr>
                <w:rFonts w:ascii="Arial" w:cs="Arial" w:eastAsia="Arial" w:hAnsi="Arial"/>
                <w:sz w:val="17"/>
                <w:szCs w:val="17"/>
                <w:i w:val="1"/>
                <w:iCs w:val="1"/>
                <w:color w:val="auto"/>
              </w:rPr>
              <w:t>$ in billions</w:t>
            </w: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gridSpan w:val="5"/>
          </w:tcPr>
          <w:p>
            <w:pPr>
              <w:ind w:left="200"/>
              <w:spacing w:after="0"/>
              <w:rPr>
                <w:sz w:val="20"/>
                <w:szCs w:val="20"/>
                <w:color w:val="auto"/>
              </w:rPr>
            </w:pPr>
            <w:r>
              <w:rPr>
                <w:rFonts w:ascii="Arial" w:cs="Arial" w:eastAsia="Arial" w:hAnsi="Arial"/>
                <w:sz w:val="17"/>
                <w:szCs w:val="17"/>
                <w:b w:val="1"/>
                <w:bCs w:val="1"/>
                <w:color w:val="auto"/>
              </w:rPr>
              <w:t>Average UPB</w:t>
            </w: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r>
      <w:tr>
        <w:trPr>
          <w:trHeight w:val="213"/>
        </w:trPr>
        <w:tc>
          <w:tcPr>
            <w:tcW w:w="48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3"/>
          </w:tcPr>
          <w:p>
            <w:pPr>
              <w:jc w:val="right"/>
              <w:ind w:right="74"/>
              <w:spacing w:after="0"/>
              <w:rPr>
                <w:sz w:val="20"/>
                <w:szCs w:val="20"/>
                <w:color w:val="auto"/>
              </w:rPr>
            </w:pPr>
            <w:r>
              <w:rPr>
                <w:rFonts w:ascii="Arial" w:cs="Arial" w:eastAsia="Arial" w:hAnsi="Arial"/>
                <w:sz w:val="17"/>
                <w:szCs w:val="17"/>
                <w:b w:val="1"/>
                <w:bCs w:val="1"/>
                <w:color w:val="auto"/>
              </w:rPr>
              <w:t>Three Months Ended</w:t>
            </w:r>
          </w:p>
        </w:tc>
        <w:tc>
          <w:tcPr>
            <w:tcW w:w="6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4"/>
          </w:tcPr>
          <w:p>
            <w:pPr>
              <w:jc w:val="right"/>
              <w:ind w:right="794"/>
              <w:spacing w:after="0"/>
              <w:rPr>
                <w:sz w:val="20"/>
                <w:szCs w:val="20"/>
                <w:color w:val="auto"/>
              </w:rPr>
            </w:pPr>
            <w:r>
              <w:rPr>
                <w:rFonts w:ascii="Arial" w:cs="Arial" w:eastAsia="Arial" w:hAnsi="Arial"/>
                <w:sz w:val="17"/>
                <w:szCs w:val="17"/>
                <w:b w:val="1"/>
                <w:bCs w:val="1"/>
                <w:color w:val="auto"/>
              </w:rPr>
              <w:t>Six Months Ended</w:t>
            </w:r>
          </w:p>
        </w:tc>
      </w:tr>
      <w:tr>
        <w:trPr>
          <w:trHeight w:val="213"/>
        </w:trPr>
        <w:tc>
          <w:tcPr>
            <w:tcW w:w="4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ind w:left="80"/>
              <w:spacing w:after="0"/>
              <w:rPr>
                <w:sz w:val="20"/>
                <w:szCs w:val="20"/>
                <w:color w:val="auto"/>
              </w:rPr>
            </w:pPr>
            <w:r>
              <w:rPr>
                <w:rFonts w:ascii="Arial" w:cs="Arial" w:eastAsia="Arial" w:hAnsi="Arial"/>
                <w:sz w:val="17"/>
                <w:szCs w:val="17"/>
                <w:b w:val="1"/>
                <w:bCs w:val="1"/>
                <w:color w:val="auto"/>
              </w:rPr>
              <w:t>June 30, 2022</w:t>
            </w:r>
          </w:p>
        </w:tc>
        <w:tc>
          <w:tcPr>
            <w:tcW w:w="1520" w:type="dxa"/>
            <w:vAlign w:val="bottom"/>
            <w:gridSpan w:val="2"/>
          </w:tcPr>
          <w:p>
            <w:pPr>
              <w:jc w:val="right"/>
              <w:ind w:right="114"/>
              <w:spacing w:after="0"/>
              <w:rPr>
                <w:sz w:val="20"/>
                <w:szCs w:val="20"/>
                <w:color w:val="auto"/>
              </w:rPr>
            </w:pPr>
            <w:r>
              <w:rPr>
                <w:rFonts w:ascii="Arial" w:cs="Arial" w:eastAsia="Arial" w:hAnsi="Arial"/>
                <w:sz w:val="17"/>
                <w:szCs w:val="17"/>
                <w:b w:val="1"/>
                <w:bCs w:val="1"/>
                <w:color w:val="auto"/>
              </w:rPr>
              <w:t>March 31, 2022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ind w:left="80"/>
              <w:spacing w:after="0"/>
              <w:rPr>
                <w:sz w:val="20"/>
                <w:szCs w:val="20"/>
                <w:color w:val="auto"/>
              </w:rPr>
            </w:pPr>
            <w:r>
              <w:rPr>
                <w:rFonts w:ascii="Arial" w:cs="Arial" w:eastAsia="Arial" w:hAnsi="Arial"/>
                <w:sz w:val="17"/>
                <w:szCs w:val="17"/>
                <w:b w:val="1"/>
                <w:bCs w:val="1"/>
                <w:color w:val="auto"/>
              </w:rPr>
              <w:t>June 30, 2022</w:t>
            </w:r>
          </w:p>
        </w:tc>
        <w:tc>
          <w:tcPr>
            <w:tcW w:w="180" w:type="dxa"/>
            <w:vAlign w:val="bottom"/>
          </w:tcPr>
          <w:p>
            <w:pPr>
              <w:spacing w:after="0"/>
              <w:rPr>
                <w:sz w:val="18"/>
                <w:szCs w:val="18"/>
                <w:color w:val="auto"/>
              </w:rPr>
            </w:pPr>
          </w:p>
        </w:tc>
        <w:tc>
          <w:tcPr>
            <w:tcW w:w="1340" w:type="dxa"/>
            <w:vAlign w:val="bottom"/>
          </w:tcPr>
          <w:p>
            <w:pPr>
              <w:jc w:val="right"/>
              <w:ind w:right="174"/>
              <w:spacing w:after="0"/>
              <w:rPr>
                <w:sz w:val="20"/>
                <w:szCs w:val="20"/>
                <w:color w:val="auto"/>
              </w:rPr>
            </w:pPr>
            <w:r>
              <w:rPr>
                <w:rFonts w:ascii="Arial" w:cs="Arial" w:eastAsia="Arial" w:hAnsi="Arial"/>
                <w:sz w:val="17"/>
                <w:szCs w:val="17"/>
                <w:b w:val="1"/>
                <w:bCs w:val="1"/>
                <w:color w:val="auto"/>
                <w:w w:val="95"/>
              </w:rPr>
              <w:t>June 30, 2021</w:t>
            </w:r>
          </w:p>
        </w:tc>
      </w:tr>
      <w:tr>
        <w:trPr>
          <w:trHeight w:val="213"/>
        </w:trPr>
        <w:tc>
          <w:tcPr>
            <w:tcW w:w="4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Owned MSR</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4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115.6</w:t>
            </w:r>
          </w:p>
        </w:tc>
        <w:tc>
          <w:tcPr>
            <w:tcW w:w="1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ind w:right="694"/>
              <w:spacing w:after="0"/>
              <w:rPr>
                <w:sz w:val="20"/>
                <w:szCs w:val="20"/>
                <w:color w:val="auto"/>
              </w:rPr>
            </w:pPr>
            <w:r>
              <w:rPr>
                <w:rFonts w:ascii="Arial" w:cs="Arial" w:eastAsia="Arial" w:hAnsi="Arial"/>
                <w:sz w:val="17"/>
                <w:szCs w:val="17"/>
                <w:color w:val="auto"/>
                <w:w w:val="84"/>
              </w:rPr>
              <w:t>$</w:t>
            </w:r>
          </w:p>
        </w:tc>
        <w:tc>
          <w:tcPr>
            <w:tcW w:w="64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124.9</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120.9</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100.5</w:t>
            </w:r>
          </w:p>
        </w:tc>
      </w:tr>
      <w:tr>
        <w:trPr>
          <w:trHeight w:val="220"/>
        </w:trPr>
        <w:tc>
          <w:tcPr>
            <w:tcW w:w="4840" w:type="dxa"/>
            <w:vAlign w:val="bottom"/>
          </w:tcPr>
          <w:p>
            <w:pPr>
              <w:ind w:left="20"/>
              <w:spacing w:after="0"/>
              <w:rPr>
                <w:sz w:val="20"/>
                <w:szCs w:val="20"/>
                <w:color w:val="auto"/>
              </w:rPr>
            </w:pPr>
            <w:r>
              <w:rPr>
                <w:rFonts w:ascii="Arial" w:cs="Arial" w:eastAsia="Arial" w:hAnsi="Arial"/>
                <w:sz w:val="17"/>
                <w:szCs w:val="17"/>
                <w:color w:val="auto"/>
              </w:rPr>
              <w:t>NRZ</w:t>
            </w:r>
          </w:p>
        </w:tc>
        <w:tc>
          <w:tcPr>
            <w:tcW w:w="200" w:type="dxa"/>
            <w:vAlign w:val="bottom"/>
          </w:tcPr>
          <w:p>
            <w:pPr>
              <w:spacing w:after="0"/>
              <w:rPr>
                <w:sz w:val="19"/>
                <w:szCs w:val="19"/>
                <w:color w:val="auto"/>
              </w:rPr>
            </w:pPr>
          </w:p>
        </w:tc>
        <w:tc>
          <w:tcPr>
            <w:tcW w:w="1340" w:type="dxa"/>
            <w:vAlign w:val="bottom"/>
          </w:tcPr>
          <w:p>
            <w:pPr>
              <w:jc w:val="right"/>
              <w:ind w:right="34"/>
              <w:spacing w:after="0"/>
              <w:rPr>
                <w:sz w:val="20"/>
                <w:szCs w:val="20"/>
                <w:color w:val="auto"/>
              </w:rPr>
            </w:pPr>
            <w:r>
              <w:rPr>
                <w:rFonts w:ascii="Arial" w:cs="Arial" w:eastAsia="Arial" w:hAnsi="Arial"/>
                <w:sz w:val="17"/>
                <w:szCs w:val="17"/>
                <w:color w:val="auto"/>
              </w:rPr>
              <w:t>52.6</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40" w:type="dxa"/>
            <w:vAlign w:val="bottom"/>
          </w:tcPr>
          <w:p>
            <w:pPr>
              <w:jc w:val="right"/>
              <w:ind w:right="34"/>
              <w:spacing w:after="0"/>
              <w:rPr>
                <w:sz w:val="20"/>
                <w:szCs w:val="20"/>
                <w:color w:val="auto"/>
              </w:rPr>
            </w:pPr>
            <w:r>
              <w:rPr>
                <w:rFonts w:ascii="Arial" w:cs="Arial" w:eastAsia="Arial" w:hAnsi="Arial"/>
                <w:sz w:val="17"/>
                <w:szCs w:val="17"/>
                <w:color w:val="auto"/>
              </w:rPr>
              <w:t>54.7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ind w:right="34"/>
              <w:spacing w:after="0"/>
              <w:rPr>
                <w:sz w:val="20"/>
                <w:szCs w:val="20"/>
                <w:color w:val="auto"/>
              </w:rPr>
            </w:pPr>
            <w:r>
              <w:rPr>
                <w:rFonts w:ascii="Arial" w:cs="Arial" w:eastAsia="Arial" w:hAnsi="Arial"/>
                <w:sz w:val="17"/>
                <w:szCs w:val="17"/>
                <w:color w:val="auto"/>
              </w:rPr>
              <w:t>53.6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ind w:right="34"/>
              <w:spacing w:after="0"/>
              <w:rPr>
                <w:sz w:val="20"/>
                <w:szCs w:val="20"/>
                <w:color w:val="auto"/>
              </w:rPr>
            </w:pPr>
            <w:r>
              <w:rPr>
                <w:rFonts w:ascii="Arial" w:cs="Arial" w:eastAsia="Arial" w:hAnsi="Arial"/>
                <w:sz w:val="17"/>
                <w:szCs w:val="17"/>
                <w:color w:val="auto"/>
              </w:rPr>
              <w:t>64.3</w:t>
            </w:r>
          </w:p>
        </w:tc>
      </w:tr>
      <w:tr>
        <w:trPr>
          <w:trHeight w:val="220"/>
        </w:trPr>
        <w:tc>
          <w:tcPr>
            <w:tcW w:w="4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MAV</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42.3</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34.0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38.6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w:t>
            </w:r>
          </w:p>
        </w:tc>
      </w:tr>
      <w:tr>
        <w:trPr>
          <w:trHeight w:val="220"/>
        </w:trPr>
        <w:tc>
          <w:tcPr>
            <w:tcW w:w="4840" w:type="dxa"/>
            <w:vAlign w:val="bottom"/>
          </w:tcPr>
          <w:p>
            <w:pPr>
              <w:ind w:left="20"/>
              <w:spacing w:after="0"/>
              <w:rPr>
                <w:sz w:val="20"/>
                <w:szCs w:val="20"/>
                <w:color w:val="auto"/>
              </w:rPr>
            </w:pPr>
            <w:r>
              <w:rPr>
                <w:rFonts w:ascii="Arial" w:cs="Arial" w:eastAsia="Arial" w:hAnsi="Arial"/>
                <w:sz w:val="17"/>
                <w:szCs w:val="17"/>
                <w:color w:val="auto"/>
              </w:rPr>
              <w:t>Subservicing</w:t>
            </w:r>
          </w:p>
        </w:tc>
        <w:tc>
          <w:tcPr>
            <w:tcW w:w="200" w:type="dxa"/>
            <w:vAlign w:val="bottom"/>
          </w:tcPr>
          <w:p>
            <w:pPr>
              <w:spacing w:after="0"/>
              <w:rPr>
                <w:sz w:val="19"/>
                <w:szCs w:val="19"/>
                <w:color w:val="auto"/>
              </w:rPr>
            </w:pPr>
          </w:p>
        </w:tc>
        <w:tc>
          <w:tcPr>
            <w:tcW w:w="1340" w:type="dxa"/>
            <w:vAlign w:val="bottom"/>
          </w:tcPr>
          <w:p>
            <w:pPr>
              <w:jc w:val="right"/>
              <w:ind w:right="34"/>
              <w:spacing w:after="0"/>
              <w:rPr>
                <w:sz w:val="20"/>
                <w:szCs w:val="20"/>
                <w:color w:val="auto"/>
              </w:rPr>
            </w:pPr>
            <w:r>
              <w:rPr>
                <w:rFonts w:ascii="Arial" w:cs="Arial" w:eastAsia="Arial" w:hAnsi="Arial"/>
                <w:sz w:val="17"/>
                <w:szCs w:val="17"/>
                <w:color w:val="auto"/>
              </w:rPr>
              <w:t>67.5</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40" w:type="dxa"/>
            <w:vAlign w:val="bottom"/>
          </w:tcPr>
          <w:p>
            <w:pPr>
              <w:jc w:val="right"/>
              <w:ind w:right="34"/>
              <w:spacing w:after="0"/>
              <w:rPr>
                <w:sz w:val="20"/>
                <w:szCs w:val="20"/>
                <w:color w:val="auto"/>
              </w:rPr>
            </w:pPr>
            <w:r>
              <w:rPr>
                <w:rFonts w:ascii="Arial" w:cs="Arial" w:eastAsia="Arial" w:hAnsi="Arial"/>
                <w:sz w:val="17"/>
                <w:szCs w:val="17"/>
                <w:color w:val="auto"/>
              </w:rPr>
              <w:t>48.8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ind w:right="34"/>
              <w:spacing w:after="0"/>
              <w:rPr>
                <w:sz w:val="20"/>
                <w:szCs w:val="20"/>
                <w:color w:val="auto"/>
              </w:rPr>
            </w:pPr>
            <w:r>
              <w:rPr>
                <w:rFonts w:ascii="Arial" w:cs="Arial" w:eastAsia="Arial" w:hAnsi="Arial"/>
                <w:sz w:val="17"/>
                <w:szCs w:val="17"/>
                <w:color w:val="auto"/>
              </w:rPr>
              <w:t>57.5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ind w:right="34"/>
              <w:spacing w:after="0"/>
              <w:rPr>
                <w:sz w:val="20"/>
                <w:szCs w:val="20"/>
                <w:color w:val="auto"/>
              </w:rPr>
            </w:pPr>
            <w:r>
              <w:rPr>
                <w:rFonts w:ascii="Arial" w:cs="Arial" w:eastAsia="Arial" w:hAnsi="Arial"/>
                <w:sz w:val="17"/>
                <w:szCs w:val="17"/>
                <w:color w:val="auto"/>
              </w:rPr>
              <w:t>20.9</w:t>
            </w:r>
          </w:p>
        </w:tc>
      </w:tr>
      <w:tr>
        <w:trPr>
          <w:trHeight w:val="220"/>
        </w:trPr>
        <w:tc>
          <w:tcPr>
            <w:tcW w:w="4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Reverse mortgage loans (owned)</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7.4</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7.2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7.3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6.7</w:t>
            </w:r>
          </w:p>
        </w:tc>
      </w:tr>
      <w:tr>
        <w:trPr>
          <w:trHeight w:val="220"/>
        </w:trPr>
        <w:tc>
          <w:tcPr>
            <w:tcW w:w="48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Commercial and other servicing</w:t>
            </w: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0.8</w:t>
            </w:r>
          </w:p>
        </w:tc>
        <w:tc>
          <w:tcPr>
            <w:tcW w:w="10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0.9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0.8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0.8</w:t>
            </w:r>
          </w:p>
        </w:tc>
      </w:tr>
      <w:tr>
        <w:trPr>
          <w:trHeight w:val="238"/>
        </w:trPr>
        <w:tc>
          <w:tcPr>
            <w:tcW w:w="48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Total serviced and subserviced UPB (average)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286.1</w:t>
            </w: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ind w:right="694"/>
              <w:spacing w:after="0"/>
              <w:rPr>
                <w:sz w:val="20"/>
                <w:szCs w:val="20"/>
                <w:color w:val="auto"/>
              </w:rPr>
            </w:pPr>
            <w:r>
              <w:rPr>
                <w:rFonts w:ascii="Arial" w:cs="Arial" w:eastAsia="Arial" w:hAnsi="Arial"/>
                <w:sz w:val="17"/>
                <w:szCs w:val="17"/>
                <w:color w:val="auto"/>
                <w:w w:val="84"/>
              </w:rPr>
              <w:t>$</w:t>
            </w:r>
          </w:p>
        </w:tc>
        <w:tc>
          <w:tcPr>
            <w:tcW w:w="6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270.5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278.7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193.2</w:t>
            </w: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As of June 30, 2022, the total serviced and subserviced UPB amounted to $288.3 billion.</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Financial Highlights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Results of operations for the second quarter of 2022</w:t>
      </w:r>
    </w:p>
    <w:p>
      <w:pPr>
        <w:spacing w:after="0" w:line="115" w:lineRule="exact"/>
        <w:rPr>
          <w:sz w:val="20"/>
          <w:szCs w:val="20"/>
          <w:color w:val="auto"/>
        </w:rPr>
      </w:pPr>
    </w:p>
    <w:p>
      <w:pPr>
        <w:ind w:left="620" w:hanging="307"/>
        <w:spacing w:after="0"/>
        <w:tabs>
          <w:tab w:leader="none" w:pos="6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Net income of $10 million, or $1.12 per share basic and $1.11 per share diluted</w:t>
      </w:r>
    </w:p>
    <w:p>
      <w:pPr>
        <w:spacing w:after="0" w:line="62" w:lineRule="exact"/>
        <w:rPr>
          <w:rFonts w:ascii="Arial" w:cs="Arial" w:eastAsia="Arial" w:hAnsi="Arial"/>
          <w:sz w:val="17"/>
          <w:szCs w:val="17"/>
          <w:color w:val="auto"/>
        </w:rPr>
      </w:pPr>
    </w:p>
    <w:p>
      <w:pPr>
        <w:ind w:left="620" w:hanging="307"/>
        <w:spacing w:after="0"/>
        <w:tabs>
          <w:tab w:leader="none" w:pos="6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Servicing fee revenue of $215 million</w:t>
      </w:r>
    </w:p>
    <w:p>
      <w:pPr>
        <w:spacing w:after="0" w:line="62" w:lineRule="exact"/>
        <w:rPr>
          <w:rFonts w:ascii="Arial" w:cs="Arial" w:eastAsia="Arial" w:hAnsi="Arial"/>
          <w:sz w:val="17"/>
          <w:szCs w:val="17"/>
          <w:color w:val="auto"/>
        </w:rPr>
      </w:pPr>
    </w:p>
    <w:p>
      <w:pPr>
        <w:ind w:left="620" w:hanging="307"/>
        <w:spacing w:after="0"/>
        <w:tabs>
          <w:tab w:leader="none" w:pos="6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Originations gain on sale of $13 million</w:t>
      </w:r>
    </w:p>
    <w:p>
      <w:pPr>
        <w:spacing w:after="0" w:line="50" w:lineRule="exact"/>
        <w:rPr>
          <w:rFonts w:ascii="Arial" w:cs="Arial" w:eastAsia="Arial" w:hAnsi="Arial"/>
          <w:sz w:val="17"/>
          <w:szCs w:val="17"/>
          <w:color w:val="auto"/>
        </w:rPr>
      </w:pPr>
    </w:p>
    <w:p>
      <w:pPr>
        <w:ind w:left="620" w:hanging="307"/>
        <w:spacing w:after="0"/>
        <w:tabs>
          <w:tab w:leader="none" w:pos="6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$58 million MSR valuation gain on our owned MSRs attributable to rate and assumption changes, net of hedging</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Financial condition at the end of the second quarter of 2022</w:t>
      </w:r>
    </w:p>
    <w:p>
      <w:pPr>
        <w:spacing w:after="0" w:line="115" w:lineRule="exact"/>
        <w:rPr>
          <w:sz w:val="20"/>
          <w:szCs w:val="20"/>
          <w:color w:val="auto"/>
        </w:rPr>
      </w:pPr>
    </w:p>
    <w:p>
      <w:pPr>
        <w:ind w:left="620" w:hanging="307"/>
        <w:spacing w:after="0"/>
        <w:tabs>
          <w:tab w:leader="none" w:pos="620" w:val="left"/>
        </w:tabs>
        <w:numPr>
          <w:ilvl w:val="0"/>
          <w:numId w:val="41"/>
        </w:numPr>
        <w:rPr>
          <w:rFonts w:ascii="Arial" w:cs="Arial" w:eastAsia="Arial" w:hAnsi="Arial"/>
          <w:sz w:val="17"/>
          <w:szCs w:val="17"/>
          <w:b w:val="1"/>
          <w:bCs w:val="1"/>
          <w:color w:val="auto"/>
        </w:rPr>
      </w:pPr>
      <w:r>
        <w:rPr>
          <w:rFonts w:ascii="Arial" w:cs="Arial" w:eastAsia="Arial" w:hAnsi="Arial"/>
          <w:sz w:val="17"/>
          <w:szCs w:val="17"/>
          <w:color w:val="auto"/>
        </w:rPr>
        <w:t>Stockholders’ equity of $544 million, or $59.19 book value per common share</w:t>
      </w:r>
    </w:p>
    <w:p>
      <w:pPr>
        <w:spacing w:after="0" w:line="62" w:lineRule="exact"/>
        <w:rPr>
          <w:rFonts w:ascii="Arial" w:cs="Arial" w:eastAsia="Arial" w:hAnsi="Arial"/>
          <w:sz w:val="17"/>
          <w:szCs w:val="17"/>
          <w:b w:val="1"/>
          <w:bCs w:val="1"/>
          <w:color w:val="auto"/>
        </w:rPr>
      </w:pPr>
    </w:p>
    <w:p>
      <w:pPr>
        <w:ind w:left="620" w:hanging="307"/>
        <w:spacing w:after="0"/>
        <w:tabs>
          <w:tab w:leader="none" w:pos="6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MSR investment of $2.5 billion, with a $15.5 billion increase in the average serviced and subserviced UPB in the quarter</w:t>
      </w:r>
    </w:p>
    <w:p>
      <w:pPr>
        <w:spacing w:after="0" w:line="62" w:lineRule="exact"/>
        <w:rPr>
          <w:rFonts w:ascii="Arial" w:cs="Arial" w:eastAsia="Arial" w:hAnsi="Arial"/>
          <w:sz w:val="17"/>
          <w:szCs w:val="17"/>
          <w:color w:val="auto"/>
        </w:rPr>
      </w:pPr>
    </w:p>
    <w:p>
      <w:pPr>
        <w:ind w:left="620" w:hanging="307"/>
        <w:spacing w:after="0"/>
        <w:tabs>
          <w:tab w:leader="none" w:pos="6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Cash liquidity position of $256 million</w:t>
      </w:r>
    </w:p>
    <w:p>
      <w:pPr>
        <w:spacing w:after="0" w:line="62" w:lineRule="exact"/>
        <w:rPr>
          <w:rFonts w:ascii="Arial" w:cs="Arial" w:eastAsia="Arial" w:hAnsi="Arial"/>
          <w:sz w:val="17"/>
          <w:szCs w:val="17"/>
          <w:color w:val="auto"/>
        </w:rPr>
      </w:pPr>
    </w:p>
    <w:p>
      <w:pPr>
        <w:ind w:left="620" w:hanging="307"/>
        <w:spacing w:after="0"/>
        <w:tabs>
          <w:tab w:leader="none" w:pos="6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Total assets of $12.1 billion</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Business Initiatives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We have established the following key operating objectives to return to sustainable profitability and drive improved value for shareholders in 2022:</w:t>
      </w:r>
    </w:p>
    <w:p>
      <w:pPr>
        <w:spacing w:after="0" w:line="115" w:lineRule="exact"/>
        <w:rPr>
          <w:sz w:val="20"/>
          <w:szCs w:val="20"/>
          <w:color w:val="auto"/>
        </w:rPr>
      </w:pPr>
    </w:p>
    <w:p>
      <w:pPr>
        <w:ind w:left="620" w:hanging="307"/>
        <w:spacing w:after="0"/>
        <w:tabs>
          <w:tab w:leader="none" w:pos="620" w:val="left"/>
        </w:tabs>
        <w:numPr>
          <w:ilvl w:val="0"/>
          <w:numId w:val="42"/>
        </w:numPr>
        <w:rPr>
          <w:rFonts w:ascii="Arial" w:cs="Arial" w:eastAsia="Arial" w:hAnsi="Arial"/>
          <w:sz w:val="16"/>
          <w:szCs w:val="16"/>
          <w:color w:val="auto"/>
        </w:rPr>
      </w:pPr>
      <w:r>
        <w:rPr>
          <w:rFonts w:ascii="Arial" w:cs="Arial" w:eastAsia="Arial" w:hAnsi="Arial"/>
          <w:sz w:val="16"/>
          <w:szCs w:val="16"/>
          <w:color w:val="auto"/>
        </w:rPr>
        <w:t>Growing prudently and profitably, by expanding our client base and our product offerings, and by leveraging our MSR asset vehicle with Oaktree;</w:t>
      </w:r>
    </w:p>
    <w:p>
      <w:pPr>
        <w:spacing w:after="0" w:line="35" w:lineRule="exact"/>
        <w:rPr>
          <w:rFonts w:ascii="Arial" w:cs="Arial" w:eastAsia="Arial" w:hAnsi="Arial"/>
          <w:sz w:val="16"/>
          <w:szCs w:val="16"/>
          <w:color w:val="auto"/>
        </w:rPr>
      </w:pPr>
    </w:p>
    <w:p>
      <w:pPr>
        <w:ind w:left="620" w:hanging="307"/>
        <w:spacing w:after="0"/>
        <w:tabs>
          <w:tab w:leader="none" w:pos="6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Strengthening Consumer Direct performance, by expanding operating capacity and new customer acquisition capabilities;</w:t>
      </w:r>
    </w:p>
    <w:p>
      <w:pPr>
        <w:spacing w:after="0" w:line="11" w:lineRule="exact"/>
        <w:rPr>
          <w:rFonts w:ascii="Arial" w:cs="Arial" w:eastAsia="Arial" w:hAnsi="Arial"/>
          <w:sz w:val="17"/>
          <w:szCs w:val="17"/>
          <w:color w:val="auto"/>
        </w:rPr>
      </w:pPr>
    </w:p>
    <w:p>
      <w:pPr>
        <w:ind w:left="620" w:hanging="307"/>
        <w:spacing w:after="0"/>
        <w:tabs>
          <w:tab w:leader="none" w:pos="6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Improving our cost leadership position, by driving productivity and efficiencies, with our technology and continuous improvement initiatives;</w:t>
      </w:r>
    </w:p>
    <w:p>
      <w:pPr>
        <w:spacing w:after="0" w:line="11" w:lineRule="exact"/>
        <w:rPr>
          <w:rFonts w:ascii="Arial" w:cs="Arial" w:eastAsia="Arial" w:hAnsi="Arial"/>
          <w:sz w:val="17"/>
          <w:szCs w:val="17"/>
          <w:color w:val="auto"/>
        </w:rPr>
      </w:pPr>
    </w:p>
    <w:p>
      <w:pPr>
        <w:ind w:left="620" w:hanging="307"/>
        <w:spacing w:after="0"/>
        <w:tabs>
          <w:tab w:leader="none" w:pos="6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Expanding revenue opportunities, through an increased mix of higher margin products, services and channels; and</w:t>
      </w:r>
    </w:p>
    <w:p>
      <w:pPr>
        <w:spacing w:after="0" w:line="11" w:lineRule="exact"/>
        <w:rPr>
          <w:rFonts w:ascii="Arial" w:cs="Arial" w:eastAsia="Arial" w:hAnsi="Arial"/>
          <w:sz w:val="17"/>
          <w:szCs w:val="17"/>
          <w:color w:val="auto"/>
        </w:rPr>
      </w:pPr>
    </w:p>
    <w:p>
      <w:pPr>
        <w:ind w:left="620" w:right="700" w:hanging="307"/>
        <w:spacing w:after="0" w:line="267" w:lineRule="auto"/>
        <w:tabs>
          <w:tab w:leader="none" w:pos="616" w:val="left"/>
        </w:tabs>
        <w:numPr>
          <w:ilvl w:val="0"/>
          <w:numId w:val="42"/>
        </w:numPr>
        <w:rPr>
          <w:rFonts w:ascii="Arial" w:cs="Arial" w:eastAsia="Arial" w:hAnsi="Arial"/>
          <w:sz w:val="17"/>
          <w:szCs w:val="17"/>
          <w:color w:val="auto"/>
        </w:rPr>
      </w:pPr>
      <w:r>
        <w:rPr>
          <w:rFonts w:ascii="Arial" w:cs="Arial" w:eastAsia="Arial" w:hAnsi="Arial"/>
          <w:sz w:val="17"/>
          <w:szCs w:val="17"/>
          <w:color w:val="auto"/>
        </w:rPr>
        <w:t>Maintaining high quality operational execution and service excellence, through our technology and continuous improvement initiatives, and our commitment to employee engagement and customer satisfaction.</w:t>
      </w:r>
    </w:p>
    <w:p>
      <w:pPr>
        <w:spacing w:after="0" w:line="69" w:lineRule="exact"/>
        <w:rPr>
          <w:sz w:val="20"/>
          <w:szCs w:val="20"/>
          <w:color w:val="auto"/>
        </w:rPr>
      </w:pPr>
    </w:p>
    <w:p>
      <w:pPr>
        <w:ind w:right="180"/>
        <w:spacing w:after="0" w:line="261" w:lineRule="auto"/>
        <w:rPr>
          <w:sz w:val="20"/>
          <w:szCs w:val="20"/>
          <w:color w:val="auto"/>
        </w:rPr>
      </w:pPr>
      <w:r>
        <w:rPr>
          <w:rFonts w:ascii="Arial" w:cs="Arial" w:eastAsia="Arial" w:hAnsi="Arial"/>
          <w:sz w:val="17"/>
          <w:szCs w:val="17"/>
          <w:color w:val="auto"/>
        </w:rPr>
        <w:t>During the first six months of 2022, market interest rates rose faster and higher than the industry consensus, significantly reducing the production volumes and margins of our Consumer Direct channel and adversely affecting Originations profitability. To achieve our profitability goals for 2022, we have responded to the market shift by rapidly scaling down our Consumer Direct operations in the first six months of 2022 and we expect to continue to reduce headcount, marketing and third-party spending in the third quarter of 2022. We are also accelerating our goals relating to business process rationalization and optimization, including further off-shoring of operations, enterprise-wide.</w:t>
      </w:r>
    </w:p>
    <w:p>
      <w:pPr>
        <w:spacing w:after="0" w:line="61" w:lineRule="exact"/>
        <w:rPr>
          <w:sz w:val="20"/>
          <w:szCs w:val="20"/>
          <w:color w:val="auto"/>
        </w:rPr>
      </w:pPr>
    </w:p>
    <w:p>
      <w:pPr>
        <w:ind w:right="300"/>
        <w:spacing w:after="0" w:line="237" w:lineRule="auto"/>
        <w:rPr>
          <w:sz w:val="20"/>
          <w:szCs w:val="20"/>
          <w:color w:val="auto"/>
        </w:rPr>
      </w:pPr>
      <w:r>
        <w:rPr>
          <w:rFonts w:ascii="Arial" w:cs="Arial" w:eastAsia="Arial" w:hAnsi="Arial"/>
          <w:sz w:val="17"/>
          <w:szCs w:val="17"/>
          <w:color w:val="auto"/>
        </w:rPr>
        <w:t>Our growth strategy includes acquiring assets and/or operations of complementary businesses, by means of acquisition, merger or other transaction forms. Our strategy may also include pursuing large transactions, including bulk purchases or sales of MSRs</w:t>
      </w:r>
      <w:r>
        <w:rPr>
          <w:rFonts w:ascii="Arial" w:cs="Arial" w:eastAsia="Arial" w:hAnsi="Arial"/>
          <w:sz w:val="17"/>
          <w:szCs w:val="17"/>
          <w:color w:val="293849"/>
        </w:rPr>
        <w:t>.</w:t>
      </w:r>
      <w:r>
        <w:rPr>
          <w:rFonts w:ascii="Arial" w:cs="Arial" w:eastAsia="Arial" w:hAnsi="Arial"/>
          <w:sz w:val="17"/>
          <w:szCs w:val="17"/>
          <w:color w:val="auto"/>
        </w:rPr>
        <w:t xml:space="preserve"> We have engaged in such transactions in the past, and we continue to explore opportunities that may be accretive to our business and stockholders’ value.</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00" w:right="339" w:bottom="1440" w:gutter="0" w:footer="0" w:header="0"/>
        </w:sectPr>
      </w:pPr>
    </w:p>
    <w:bookmarkStart w:id="60" w:name="page61"/>
    <w:bookmarkEnd w:id="60"/>
    <w:p>
      <w:pPr>
        <w:spacing w:after="0"/>
        <w:rPr>
          <w:sz w:val="20"/>
          <w:szCs w:val="20"/>
          <w:color w:val="auto"/>
        </w:rPr>
      </w:pPr>
      <w:r>
        <w:rPr>
          <w:rFonts w:ascii="Arial" w:cs="Arial" w:eastAsia="Arial" w:hAnsi="Arial"/>
          <w:sz w:val="17"/>
          <w:szCs w:val="17"/>
          <w:b w:val="1"/>
          <w:bCs w:val="1"/>
          <w:color w:val="auto"/>
        </w:rPr>
        <w:t>Results of Operations and Financial Condition</w:t>
      </w:r>
    </w:p>
    <w:p>
      <w:pPr>
        <w:spacing w:after="0" w:line="121" w:lineRule="exact"/>
        <w:rPr>
          <w:sz w:val="20"/>
          <w:szCs w:val="20"/>
          <w:color w:val="auto"/>
        </w:rPr>
      </w:pPr>
    </w:p>
    <w:p>
      <w:pPr>
        <w:ind w:right="100"/>
        <w:spacing w:after="0" w:line="263" w:lineRule="auto"/>
        <w:rPr>
          <w:sz w:val="20"/>
          <w:szCs w:val="20"/>
          <w:color w:val="auto"/>
        </w:rPr>
      </w:pPr>
      <w:r>
        <w:rPr>
          <w:rFonts w:ascii="Arial" w:cs="Arial" w:eastAsia="Arial" w:hAnsi="Arial"/>
          <w:sz w:val="17"/>
          <w:szCs w:val="17"/>
          <w:color w:val="auto"/>
        </w:rPr>
        <w:t>The following discussion and analysis of our results of operations and financial condition should be read in conjunction with our unaudited consolidated financial statements and the related notes thereto appearing elsewhere in this Quarterly Report on Form 10-Q and with our audited consolidated financial statements and notes thereto and management’s discussion and analysis of financial condition and results of operations appearing in our Annual Report on Form 10-K for the fiscal year ended December 31, 2021.</w:t>
      </w: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600" w:type="dxa"/>
            <w:vAlign w:val="bottom"/>
            <w:tcBorders>
              <w:bottom w:val="single" w:sz="8" w:color="auto"/>
            </w:tcBorders>
            <w:gridSpan w:val="4"/>
          </w:tcPr>
          <w:p>
            <w:pPr>
              <w:jc w:val="right"/>
              <w:ind w:right="554"/>
              <w:spacing w:after="0"/>
              <w:rPr>
                <w:sz w:val="20"/>
                <w:szCs w:val="20"/>
                <w:color w:val="auto"/>
              </w:rPr>
            </w:pPr>
            <w:r>
              <w:rPr>
                <w:rFonts w:ascii="Arial" w:cs="Arial" w:eastAsia="Arial" w:hAnsi="Arial"/>
                <w:sz w:val="17"/>
                <w:szCs w:val="17"/>
                <w:b w:val="1"/>
                <w:bCs w:val="1"/>
                <w:color w:val="auto"/>
              </w:rPr>
              <w:t>Three Months Ended</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620" w:type="dxa"/>
            <w:vAlign w:val="bottom"/>
            <w:tcBorders>
              <w:bottom w:val="single" w:sz="8" w:color="auto"/>
            </w:tcBorders>
            <w:gridSpan w:val="4"/>
          </w:tcPr>
          <w:p>
            <w:pPr>
              <w:jc w:val="right"/>
              <w:ind w:right="654"/>
              <w:spacing w:after="0"/>
              <w:rPr>
                <w:sz w:val="20"/>
                <w:szCs w:val="20"/>
                <w:color w:val="auto"/>
              </w:rPr>
            </w:pPr>
            <w:r>
              <w:rPr>
                <w:rFonts w:ascii="Arial" w:cs="Arial" w:eastAsia="Arial" w:hAnsi="Arial"/>
                <w:sz w:val="17"/>
                <w:szCs w:val="17"/>
                <w:b w:val="1"/>
                <w:bCs w:val="1"/>
                <w:color w:val="auto"/>
              </w:rPr>
              <w:t>Six Months Ended</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gridSpan w:val="2"/>
          </w:tcPr>
          <w:p>
            <w:pPr>
              <w:ind w:left="140"/>
              <w:spacing w:after="0"/>
              <w:rPr>
                <w:sz w:val="20"/>
                <w:szCs w:val="20"/>
                <w:color w:val="auto"/>
              </w:rPr>
            </w:pPr>
            <w:r>
              <w:rPr>
                <w:rFonts w:ascii="Arial" w:cs="Arial" w:eastAsia="Arial" w:hAnsi="Arial"/>
                <w:sz w:val="17"/>
                <w:szCs w:val="17"/>
                <w:b w:val="1"/>
                <w:bCs w:val="1"/>
                <w:color w:val="auto"/>
              </w:rPr>
              <w:t>June 30,</w:t>
            </w:r>
          </w:p>
        </w:tc>
        <w:tc>
          <w:tcPr>
            <w:tcW w:w="220" w:type="dxa"/>
            <w:vAlign w:val="bottom"/>
          </w:tcPr>
          <w:p>
            <w:pPr>
              <w:spacing w:after="0"/>
              <w:rPr>
                <w:sz w:val="20"/>
                <w:szCs w:val="20"/>
                <w:color w:val="auto"/>
              </w:rPr>
            </w:pPr>
          </w:p>
        </w:tc>
        <w:tc>
          <w:tcPr>
            <w:tcW w:w="1160" w:type="dxa"/>
            <w:vAlign w:val="bottom"/>
          </w:tcPr>
          <w:p>
            <w:pPr>
              <w:jc w:val="right"/>
              <w:ind w:right="234"/>
              <w:spacing w:after="0"/>
              <w:rPr>
                <w:sz w:val="20"/>
                <w:szCs w:val="20"/>
                <w:color w:val="auto"/>
              </w:rPr>
            </w:pPr>
            <w:r>
              <w:rPr>
                <w:rFonts w:ascii="Arial" w:cs="Arial" w:eastAsia="Arial" w:hAnsi="Arial"/>
                <w:sz w:val="17"/>
                <w:szCs w:val="17"/>
                <w:b w:val="1"/>
                <w:bCs w:val="1"/>
                <w:color w:val="auto"/>
              </w:rPr>
              <w:t>March 31</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gridSpan w:val="2"/>
          </w:tcPr>
          <w:p>
            <w:pPr>
              <w:ind w:left="140"/>
              <w:spacing w:after="0"/>
              <w:rPr>
                <w:sz w:val="20"/>
                <w:szCs w:val="20"/>
                <w:color w:val="auto"/>
              </w:rPr>
            </w:pPr>
            <w:r>
              <w:rPr>
                <w:rFonts w:ascii="Arial" w:cs="Arial" w:eastAsia="Arial" w:hAnsi="Arial"/>
                <w:sz w:val="17"/>
                <w:szCs w:val="17"/>
                <w:b w:val="1"/>
                <w:bCs w:val="1"/>
                <w:color w:val="auto"/>
              </w:rPr>
              <w:t>June 30,</w:t>
            </w:r>
          </w:p>
        </w:tc>
        <w:tc>
          <w:tcPr>
            <w:tcW w:w="240" w:type="dxa"/>
            <w:vAlign w:val="bottom"/>
          </w:tcPr>
          <w:p>
            <w:pPr>
              <w:spacing w:after="0"/>
              <w:rPr>
                <w:sz w:val="20"/>
                <w:szCs w:val="20"/>
                <w:color w:val="auto"/>
              </w:rPr>
            </w:pPr>
          </w:p>
        </w:tc>
        <w:tc>
          <w:tcPr>
            <w:tcW w:w="1140" w:type="dxa"/>
            <w:vAlign w:val="bottom"/>
          </w:tcPr>
          <w:p>
            <w:pPr>
              <w:jc w:val="right"/>
              <w:ind w:right="294"/>
              <w:spacing w:after="0"/>
              <w:rPr>
                <w:sz w:val="20"/>
                <w:szCs w:val="20"/>
                <w:color w:val="auto"/>
              </w:rPr>
            </w:pPr>
            <w:r>
              <w:rPr>
                <w:rFonts w:ascii="Arial" w:cs="Arial" w:eastAsia="Arial" w:hAnsi="Arial"/>
                <w:sz w:val="17"/>
                <w:szCs w:val="17"/>
                <w:b w:val="1"/>
                <w:bCs w:val="1"/>
                <w:color w:val="auto"/>
              </w:rPr>
              <w:t>June 30,</w:t>
            </w: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8"/>
        </w:trPr>
        <w:tc>
          <w:tcPr>
            <w:tcW w:w="3280" w:type="dxa"/>
            <w:vAlign w:val="bottom"/>
          </w:tcPr>
          <w:p>
            <w:pPr>
              <w:ind w:left="20"/>
              <w:spacing w:after="0"/>
              <w:rPr>
                <w:sz w:val="20"/>
                <w:szCs w:val="20"/>
                <w:color w:val="auto"/>
              </w:rPr>
            </w:pPr>
            <w:r>
              <w:rPr>
                <w:rFonts w:ascii="Arial" w:cs="Arial" w:eastAsia="Arial" w:hAnsi="Arial"/>
                <w:sz w:val="17"/>
                <w:szCs w:val="17"/>
                <w:b w:val="1"/>
                <w:bCs w:val="1"/>
                <w:color w:val="auto"/>
              </w:rPr>
              <w:t>Results of Operations Summary</w:t>
            </w:r>
          </w:p>
        </w:tc>
        <w:tc>
          <w:tcPr>
            <w:tcW w:w="240" w:type="dxa"/>
            <w:vAlign w:val="bottom"/>
          </w:tcPr>
          <w:p>
            <w:pPr>
              <w:spacing w:after="0"/>
              <w:rPr>
                <w:sz w:val="22"/>
                <w:szCs w:val="22"/>
                <w:color w:val="auto"/>
              </w:rPr>
            </w:pPr>
          </w:p>
        </w:tc>
        <w:tc>
          <w:tcPr>
            <w:tcW w:w="1140" w:type="dxa"/>
            <w:vAlign w:val="bottom"/>
          </w:tcPr>
          <w:p>
            <w:pPr>
              <w:jc w:val="right"/>
              <w:ind w:right="434"/>
              <w:spacing w:after="0"/>
              <w:rPr>
                <w:sz w:val="20"/>
                <w:szCs w:val="20"/>
                <w:color w:val="auto"/>
              </w:rPr>
            </w:pPr>
            <w:r>
              <w:rPr>
                <w:rFonts w:ascii="Arial" w:cs="Arial" w:eastAsia="Arial" w:hAnsi="Arial"/>
                <w:sz w:val="17"/>
                <w:szCs w:val="17"/>
                <w:b w:val="1"/>
                <w:bCs w:val="1"/>
                <w:color w:val="auto"/>
              </w:rPr>
              <w:t>2022</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tcPr>
          <w:p>
            <w:pPr>
              <w:jc w:val="right"/>
              <w:ind w:right="434"/>
              <w:spacing w:after="0"/>
              <w:rPr>
                <w:sz w:val="20"/>
                <w:szCs w:val="20"/>
                <w:color w:val="auto"/>
              </w:rPr>
            </w:pPr>
            <w:r>
              <w:rPr>
                <w:rFonts w:ascii="Arial" w:cs="Arial" w:eastAsia="Arial" w:hAnsi="Arial"/>
                <w:sz w:val="17"/>
                <w:szCs w:val="17"/>
                <w:b w:val="1"/>
                <w:bCs w:val="1"/>
                <w:color w:val="auto"/>
              </w:rPr>
              <w:t>2022</w:t>
            </w:r>
          </w:p>
        </w:tc>
        <w:tc>
          <w:tcPr>
            <w:tcW w:w="100" w:type="dxa"/>
            <w:vAlign w:val="bottom"/>
          </w:tcPr>
          <w:p>
            <w:pPr>
              <w:spacing w:after="0"/>
              <w:rPr>
                <w:sz w:val="22"/>
                <w:szCs w:val="22"/>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94"/>
              </w:rPr>
              <w:t>% Change</w:t>
            </w:r>
          </w:p>
        </w:tc>
        <w:tc>
          <w:tcPr>
            <w:tcW w:w="240" w:type="dxa"/>
            <w:vAlign w:val="bottom"/>
          </w:tcPr>
          <w:p>
            <w:pPr>
              <w:spacing w:after="0"/>
              <w:rPr>
                <w:sz w:val="22"/>
                <w:szCs w:val="22"/>
                <w:color w:val="auto"/>
              </w:rPr>
            </w:pPr>
          </w:p>
        </w:tc>
        <w:tc>
          <w:tcPr>
            <w:tcW w:w="1140" w:type="dxa"/>
            <w:vAlign w:val="bottom"/>
          </w:tcPr>
          <w:p>
            <w:pPr>
              <w:jc w:val="right"/>
              <w:ind w:right="434"/>
              <w:spacing w:after="0"/>
              <w:rPr>
                <w:sz w:val="20"/>
                <w:szCs w:val="20"/>
                <w:color w:val="auto"/>
              </w:rPr>
            </w:pPr>
            <w:r>
              <w:rPr>
                <w:rFonts w:ascii="Arial" w:cs="Arial" w:eastAsia="Arial" w:hAnsi="Arial"/>
                <w:sz w:val="17"/>
                <w:szCs w:val="17"/>
                <w:b w:val="1"/>
                <w:bCs w:val="1"/>
                <w:color w:val="auto"/>
              </w:rPr>
              <w:t>2022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jc w:val="right"/>
              <w:ind w:right="434"/>
              <w:spacing w:after="0"/>
              <w:rPr>
                <w:sz w:val="20"/>
                <w:szCs w:val="20"/>
                <w:color w:val="auto"/>
              </w:rPr>
            </w:pPr>
            <w:r>
              <w:rPr>
                <w:rFonts w:ascii="Arial" w:cs="Arial" w:eastAsia="Arial" w:hAnsi="Arial"/>
                <w:sz w:val="17"/>
                <w:szCs w:val="17"/>
                <w:b w:val="1"/>
                <w:bCs w:val="1"/>
                <w:color w:val="auto"/>
              </w:rPr>
              <w:t>2021</w:t>
            </w:r>
          </w:p>
        </w:tc>
        <w:tc>
          <w:tcPr>
            <w:tcW w:w="80" w:type="dxa"/>
            <w:vAlign w:val="bottom"/>
          </w:tcPr>
          <w:p>
            <w:pPr>
              <w:spacing w:after="0"/>
              <w:rPr>
                <w:sz w:val="22"/>
                <w:szCs w:val="22"/>
                <w:color w:val="auto"/>
              </w:rPr>
            </w:pPr>
          </w:p>
        </w:tc>
        <w:tc>
          <w:tcPr>
            <w:tcW w:w="1000" w:type="dxa"/>
            <w:vAlign w:val="bottom"/>
          </w:tcPr>
          <w:p>
            <w:pPr>
              <w:jc w:val="right"/>
              <w:ind w:right="14"/>
              <w:spacing w:after="0"/>
              <w:rPr>
                <w:sz w:val="20"/>
                <w:szCs w:val="20"/>
                <w:color w:val="auto"/>
              </w:rPr>
            </w:pPr>
            <w:r>
              <w:rPr>
                <w:rFonts w:ascii="Arial" w:cs="Arial" w:eastAsia="Arial" w:hAnsi="Arial"/>
                <w:sz w:val="17"/>
                <w:szCs w:val="17"/>
                <w:b w:val="1"/>
                <w:bCs w:val="1"/>
                <w:color w:val="auto"/>
              </w:rPr>
              <w:t>% Change</w:t>
            </w:r>
          </w:p>
        </w:tc>
        <w:tc>
          <w:tcPr>
            <w:tcW w:w="0" w:type="dxa"/>
            <w:vAlign w:val="bottom"/>
          </w:tcPr>
          <w:p>
            <w:pPr>
              <w:spacing w:after="0"/>
              <w:rPr>
                <w:sz w:val="1"/>
                <w:szCs w:val="1"/>
                <w:color w:val="auto"/>
              </w:rPr>
            </w:pPr>
          </w:p>
        </w:tc>
      </w:tr>
      <w:tr>
        <w:trPr>
          <w:trHeight w:val="200"/>
        </w:trPr>
        <w:tc>
          <w:tcPr>
            <w:tcW w:w="3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Revenue</w:t>
            </w:r>
          </w:p>
        </w:tc>
        <w:tc>
          <w:tcPr>
            <w:tcW w:w="2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280" w:type="dxa"/>
            <w:vAlign w:val="bottom"/>
          </w:tcPr>
          <w:p>
            <w:pPr>
              <w:ind w:left="140"/>
              <w:spacing w:after="0"/>
              <w:rPr>
                <w:sz w:val="20"/>
                <w:szCs w:val="20"/>
                <w:color w:val="auto"/>
              </w:rPr>
            </w:pPr>
            <w:r>
              <w:rPr>
                <w:rFonts w:ascii="Arial" w:cs="Arial" w:eastAsia="Arial" w:hAnsi="Arial"/>
                <w:sz w:val="17"/>
                <w:szCs w:val="17"/>
                <w:color w:val="auto"/>
              </w:rPr>
              <w:t>Servicing and subservicing fees</w:t>
            </w: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ind w:right="134"/>
              <w:spacing w:after="0"/>
              <w:rPr>
                <w:sz w:val="20"/>
                <w:szCs w:val="20"/>
                <w:color w:val="auto"/>
              </w:rPr>
            </w:pPr>
            <w:r>
              <w:rPr>
                <w:rFonts w:ascii="Arial" w:cs="Arial" w:eastAsia="Arial" w:hAnsi="Arial"/>
                <w:sz w:val="17"/>
                <w:szCs w:val="17"/>
                <w:color w:val="auto"/>
              </w:rPr>
              <w:t>215.1</w:t>
            </w:r>
          </w:p>
        </w:tc>
        <w:tc>
          <w:tcPr>
            <w:tcW w:w="8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ind w:right="134"/>
              <w:spacing w:after="0"/>
              <w:rPr>
                <w:sz w:val="20"/>
                <w:szCs w:val="20"/>
                <w:color w:val="auto"/>
              </w:rPr>
            </w:pPr>
            <w:r>
              <w:rPr>
                <w:rFonts w:ascii="Arial" w:cs="Arial" w:eastAsia="Arial" w:hAnsi="Arial"/>
                <w:sz w:val="17"/>
                <w:szCs w:val="17"/>
                <w:color w:val="auto"/>
              </w:rPr>
              <w:t>212.6</w:t>
            </w: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1 %</w:t>
            </w:r>
          </w:p>
        </w:tc>
        <w:tc>
          <w:tcPr>
            <w:tcW w:w="8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ind w:right="134"/>
              <w:spacing w:after="0"/>
              <w:rPr>
                <w:sz w:val="20"/>
                <w:szCs w:val="20"/>
                <w:color w:val="auto"/>
              </w:rPr>
            </w:pPr>
            <w:r>
              <w:rPr>
                <w:rFonts w:ascii="Arial" w:cs="Arial" w:eastAsia="Arial" w:hAnsi="Arial"/>
                <w:sz w:val="17"/>
                <w:szCs w:val="17"/>
                <w:color w:val="auto"/>
              </w:rPr>
              <w:t>427.8</w:t>
            </w:r>
          </w:p>
        </w:tc>
        <w:tc>
          <w:tcPr>
            <w:tcW w:w="10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ind w:right="134"/>
              <w:spacing w:after="0"/>
              <w:rPr>
                <w:sz w:val="20"/>
                <w:szCs w:val="20"/>
                <w:color w:val="auto"/>
              </w:rPr>
            </w:pPr>
            <w:r>
              <w:rPr>
                <w:rFonts w:ascii="Arial" w:cs="Arial" w:eastAsia="Arial" w:hAnsi="Arial"/>
                <w:sz w:val="17"/>
                <w:szCs w:val="17"/>
                <w:color w:val="auto"/>
              </w:rPr>
              <w:t>356.2</w:t>
            </w: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20 %</w:t>
            </w:r>
          </w:p>
        </w:tc>
        <w:tc>
          <w:tcPr>
            <w:tcW w:w="0" w:type="dxa"/>
            <w:vAlign w:val="bottom"/>
          </w:tcPr>
          <w:p>
            <w:pPr>
              <w:spacing w:after="0"/>
              <w:rPr>
                <w:sz w:val="1"/>
                <w:szCs w:val="1"/>
                <w:color w:val="auto"/>
              </w:rPr>
            </w:pPr>
          </w:p>
        </w:tc>
      </w:tr>
      <w:tr>
        <w:trPr>
          <w:trHeight w:val="220"/>
        </w:trPr>
        <w:tc>
          <w:tcPr>
            <w:tcW w:w="32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Reverse mortgage revenue, net</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(2.6)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13.1</w:t>
            </w:r>
          </w:p>
        </w:tc>
        <w:tc>
          <w:tcPr>
            <w:tcW w:w="1100" w:type="dxa"/>
            <w:vAlign w:val="bottom"/>
            <w:gridSpan w:val="2"/>
            <w:shd w:val="clear" w:color="auto" w:fill="CCEEFF"/>
          </w:tcPr>
          <w:p>
            <w:pPr>
              <w:jc w:val="right"/>
              <w:ind w:right="94"/>
              <w:spacing w:after="0"/>
              <w:rPr>
                <w:sz w:val="20"/>
                <w:szCs w:val="20"/>
                <w:color w:val="auto"/>
              </w:rPr>
            </w:pPr>
            <w:r>
              <w:rPr>
                <w:rFonts w:ascii="Arial" w:cs="Arial" w:eastAsia="Arial" w:hAnsi="Arial"/>
                <w:sz w:val="17"/>
                <w:szCs w:val="17"/>
                <w:color w:val="auto"/>
              </w:rPr>
              <w:t>(120)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10.5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51.1</w:t>
            </w:r>
          </w:p>
        </w:tc>
        <w:tc>
          <w:tcPr>
            <w:tcW w:w="108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(79)</w:t>
            </w:r>
          </w:p>
        </w:tc>
        <w:tc>
          <w:tcPr>
            <w:tcW w:w="0" w:type="dxa"/>
            <w:vAlign w:val="bottom"/>
          </w:tcPr>
          <w:p>
            <w:pPr>
              <w:spacing w:after="0"/>
              <w:rPr>
                <w:sz w:val="1"/>
                <w:szCs w:val="1"/>
                <w:color w:val="auto"/>
              </w:rPr>
            </w:pPr>
          </w:p>
        </w:tc>
      </w:tr>
      <w:tr>
        <w:trPr>
          <w:trHeight w:val="220"/>
        </w:trPr>
        <w:tc>
          <w:tcPr>
            <w:tcW w:w="3280" w:type="dxa"/>
            <w:vAlign w:val="bottom"/>
          </w:tcPr>
          <w:p>
            <w:pPr>
              <w:ind w:left="140"/>
              <w:spacing w:after="0"/>
              <w:rPr>
                <w:sz w:val="20"/>
                <w:szCs w:val="20"/>
                <w:color w:val="auto"/>
              </w:rPr>
            </w:pPr>
            <w:r>
              <w:rPr>
                <w:rFonts w:ascii="Arial" w:cs="Arial" w:eastAsia="Arial" w:hAnsi="Arial"/>
                <w:sz w:val="17"/>
                <w:szCs w:val="17"/>
                <w:color w:val="auto"/>
              </w:rPr>
              <w:t>Gain (loss) on loans held for sale, net</w:t>
            </w:r>
          </w:p>
        </w:tc>
        <w:tc>
          <w:tcPr>
            <w:tcW w:w="240" w:type="dxa"/>
            <w:vAlign w:val="bottom"/>
          </w:tcPr>
          <w:p>
            <w:pPr>
              <w:spacing w:after="0"/>
              <w:rPr>
                <w:sz w:val="19"/>
                <w:szCs w:val="19"/>
                <w:color w:val="auto"/>
              </w:rPr>
            </w:pPr>
          </w:p>
        </w:tc>
        <w:tc>
          <w:tcPr>
            <w:tcW w:w="1140" w:type="dxa"/>
            <w:vAlign w:val="bottom"/>
          </w:tcPr>
          <w:p>
            <w:pPr>
              <w:jc w:val="right"/>
              <w:ind w:right="134"/>
              <w:spacing w:after="0"/>
              <w:rPr>
                <w:sz w:val="20"/>
                <w:szCs w:val="20"/>
                <w:color w:val="auto"/>
              </w:rPr>
            </w:pPr>
            <w:r>
              <w:rPr>
                <w:rFonts w:ascii="Arial" w:cs="Arial" w:eastAsia="Arial" w:hAnsi="Arial"/>
                <w:sz w:val="17"/>
                <w:szCs w:val="17"/>
                <w:color w:val="auto"/>
              </w:rPr>
              <w:t>0.9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ind w:right="134"/>
              <w:spacing w:after="0"/>
              <w:rPr>
                <w:sz w:val="20"/>
                <w:szCs w:val="20"/>
                <w:color w:val="auto"/>
              </w:rPr>
            </w:pPr>
            <w:r>
              <w:rPr>
                <w:rFonts w:ascii="Arial" w:cs="Arial" w:eastAsia="Arial" w:hAnsi="Arial"/>
                <w:sz w:val="17"/>
                <w:szCs w:val="17"/>
                <w:color w:val="auto"/>
              </w:rPr>
              <w:t>(3.2)</w:t>
            </w:r>
          </w:p>
        </w:tc>
        <w:tc>
          <w:tcPr>
            <w:tcW w:w="1100" w:type="dxa"/>
            <w:vAlign w:val="bottom"/>
            <w:gridSpan w:val="2"/>
          </w:tcPr>
          <w:p>
            <w:pPr>
              <w:jc w:val="right"/>
              <w:ind w:right="94"/>
              <w:spacing w:after="0"/>
              <w:rPr>
                <w:sz w:val="20"/>
                <w:szCs w:val="20"/>
                <w:color w:val="auto"/>
              </w:rPr>
            </w:pPr>
            <w:r>
              <w:rPr>
                <w:rFonts w:ascii="Arial" w:cs="Arial" w:eastAsia="Arial" w:hAnsi="Arial"/>
                <w:sz w:val="17"/>
                <w:szCs w:val="17"/>
                <w:color w:val="auto"/>
              </w:rPr>
              <w:t>(129)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ind w:right="134"/>
              <w:spacing w:after="0"/>
              <w:rPr>
                <w:sz w:val="20"/>
                <w:szCs w:val="20"/>
                <w:color w:val="auto"/>
              </w:rPr>
            </w:pPr>
            <w:r>
              <w:rPr>
                <w:rFonts w:ascii="Arial" w:cs="Arial" w:eastAsia="Arial" w:hAnsi="Arial"/>
                <w:sz w:val="17"/>
                <w:szCs w:val="17"/>
                <w:color w:val="auto"/>
              </w:rPr>
              <w:t>(2.3)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ind w:right="134"/>
              <w:spacing w:after="0"/>
              <w:rPr>
                <w:sz w:val="20"/>
                <w:szCs w:val="20"/>
                <w:color w:val="auto"/>
              </w:rPr>
            </w:pPr>
            <w:r>
              <w:rPr>
                <w:rFonts w:ascii="Arial" w:cs="Arial" w:eastAsia="Arial" w:hAnsi="Arial"/>
                <w:sz w:val="17"/>
                <w:szCs w:val="17"/>
                <w:color w:val="auto"/>
              </w:rPr>
              <w:t>48.4</w:t>
            </w:r>
          </w:p>
        </w:tc>
        <w:tc>
          <w:tcPr>
            <w:tcW w:w="1080" w:type="dxa"/>
            <w:vAlign w:val="bottom"/>
            <w:gridSpan w:val="2"/>
          </w:tcPr>
          <w:p>
            <w:pPr>
              <w:jc w:val="right"/>
              <w:ind w:right="74"/>
              <w:spacing w:after="0"/>
              <w:rPr>
                <w:sz w:val="20"/>
                <w:szCs w:val="20"/>
                <w:color w:val="auto"/>
              </w:rPr>
            </w:pPr>
            <w:r>
              <w:rPr>
                <w:rFonts w:ascii="Arial" w:cs="Arial" w:eastAsia="Arial" w:hAnsi="Arial"/>
                <w:sz w:val="17"/>
                <w:szCs w:val="17"/>
                <w:color w:val="auto"/>
              </w:rPr>
              <w:t>(105)</w:t>
            </w:r>
          </w:p>
        </w:tc>
        <w:tc>
          <w:tcPr>
            <w:tcW w:w="0" w:type="dxa"/>
            <w:vAlign w:val="bottom"/>
          </w:tcPr>
          <w:p>
            <w:pPr>
              <w:spacing w:after="0"/>
              <w:rPr>
                <w:sz w:val="1"/>
                <w:szCs w:val="1"/>
                <w:color w:val="auto"/>
              </w:rPr>
            </w:pPr>
          </w:p>
        </w:tc>
      </w:tr>
      <w:tr>
        <w:trPr>
          <w:trHeight w:val="220"/>
        </w:trPr>
        <w:tc>
          <w:tcPr>
            <w:tcW w:w="32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Other revenue, net</w:t>
            </w: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8.7</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9.0</w:t>
            </w:r>
          </w:p>
        </w:tc>
        <w:tc>
          <w:tcPr>
            <w:tcW w:w="1100" w:type="dxa"/>
            <w:vAlign w:val="bottom"/>
            <w:gridSpan w:val="2"/>
            <w:shd w:val="clear" w:color="auto" w:fill="CCEEFF"/>
          </w:tcPr>
          <w:p>
            <w:pPr>
              <w:jc w:val="right"/>
              <w:ind w:right="94"/>
              <w:spacing w:after="0"/>
              <w:rPr>
                <w:sz w:val="20"/>
                <w:szCs w:val="20"/>
                <w:color w:val="auto"/>
              </w:rPr>
            </w:pPr>
            <w:r>
              <w:rPr>
                <w:rFonts w:ascii="Arial" w:cs="Arial" w:eastAsia="Arial" w:hAnsi="Arial"/>
                <w:sz w:val="17"/>
                <w:szCs w:val="17"/>
                <w:color w:val="auto"/>
              </w:rPr>
              <w:t>(4)</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17.7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17.3</w:t>
            </w:r>
          </w:p>
        </w:tc>
        <w:tc>
          <w:tcPr>
            <w:tcW w:w="1080" w:type="dxa"/>
            <w:vAlign w:val="bottom"/>
            <w:gridSpan w:val="2"/>
            <w:shd w:val="clear" w:color="auto" w:fill="CCEEFF"/>
          </w:tcPr>
          <w:p>
            <w:pPr>
              <w:jc w:val="right"/>
              <w:ind w:right="114"/>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13"/>
        </w:trPr>
        <w:tc>
          <w:tcPr>
            <w:tcW w:w="328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Total revenue</w:t>
            </w: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222.2</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231.6</w:t>
            </w:r>
          </w:p>
        </w:tc>
        <w:tc>
          <w:tcPr>
            <w:tcW w:w="1100" w:type="dxa"/>
            <w:vAlign w:val="bottom"/>
            <w:tcBorders>
              <w:bottom w:val="single" w:sz="8" w:color="CCEEFF"/>
            </w:tcBorders>
            <w:gridSpan w:val="2"/>
          </w:tcPr>
          <w:p>
            <w:pPr>
              <w:jc w:val="right"/>
              <w:ind w:right="94"/>
              <w:spacing w:after="0"/>
              <w:rPr>
                <w:sz w:val="20"/>
                <w:szCs w:val="20"/>
                <w:color w:val="auto"/>
              </w:rPr>
            </w:pPr>
            <w:r>
              <w:rPr>
                <w:rFonts w:ascii="Arial" w:cs="Arial" w:eastAsia="Arial" w:hAnsi="Arial"/>
                <w:sz w:val="17"/>
                <w:szCs w:val="17"/>
                <w:color w:val="auto"/>
              </w:rPr>
              <w:t>(4)</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453.7</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473.0</w:t>
            </w:r>
          </w:p>
        </w:tc>
        <w:tc>
          <w:tcPr>
            <w:tcW w:w="1080" w:type="dxa"/>
            <w:vAlign w:val="bottom"/>
            <w:tcBorders>
              <w:bottom w:val="single" w:sz="8" w:color="CCEEFF"/>
            </w:tcBorders>
            <w:gridSpan w:val="2"/>
          </w:tcPr>
          <w:p>
            <w:pPr>
              <w:jc w:val="right"/>
              <w:ind w:right="74"/>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135"/>
        </w:trPr>
        <w:tc>
          <w:tcPr>
            <w:tcW w:w="32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20"/>
        </w:trPr>
        <w:tc>
          <w:tcPr>
            <w:tcW w:w="3280" w:type="dxa"/>
            <w:vAlign w:val="bottom"/>
          </w:tcPr>
          <w:p>
            <w:pPr>
              <w:ind w:left="20"/>
              <w:spacing w:after="0"/>
              <w:rPr>
                <w:sz w:val="20"/>
                <w:szCs w:val="20"/>
                <w:color w:val="auto"/>
              </w:rPr>
            </w:pPr>
            <w:r>
              <w:rPr>
                <w:rFonts w:ascii="Arial" w:cs="Arial" w:eastAsia="Arial" w:hAnsi="Arial"/>
                <w:sz w:val="17"/>
                <w:szCs w:val="17"/>
                <w:b w:val="1"/>
                <w:bCs w:val="1"/>
                <w:color w:val="auto"/>
              </w:rPr>
              <w:t>MSR valuation adjustments, net</w:t>
            </w:r>
          </w:p>
        </w:tc>
        <w:tc>
          <w:tcPr>
            <w:tcW w:w="240" w:type="dxa"/>
            <w:vAlign w:val="bottom"/>
          </w:tcPr>
          <w:p>
            <w:pPr>
              <w:spacing w:after="0"/>
              <w:rPr>
                <w:sz w:val="19"/>
                <w:szCs w:val="19"/>
                <w:color w:val="auto"/>
              </w:rPr>
            </w:pPr>
          </w:p>
        </w:tc>
        <w:tc>
          <w:tcPr>
            <w:tcW w:w="1140" w:type="dxa"/>
            <w:vAlign w:val="bottom"/>
          </w:tcPr>
          <w:p>
            <w:pPr>
              <w:jc w:val="right"/>
              <w:ind w:right="134"/>
              <w:spacing w:after="0"/>
              <w:rPr>
                <w:sz w:val="20"/>
                <w:szCs w:val="20"/>
                <w:color w:val="auto"/>
              </w:rPr>
            </w:pPr>
            <w:r>
              <w:rPr>
                <w:rFonts w:ascii="Arial" w:cs="Arial" w:eastAsia="Arial" w:hAnsi="Arial"/>
                <w:sz w:val="17"/>
                <w:szCs w:val="17"/>
                <w:color w:val="auto"/>
              </w:rPr>
              <w:t>33.2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ind w:right="134"/>
              <w:spacing w:after="0"/>
              <w:rPr>
                <w:sz w:val="20"/>
                <w:szCs w:val="20"/>
                <w:color w:val="auto"/>
              </w:rPr>
            </w:pPr>
            <w:r>
              <w:rPr>
                <w:rFonts w:ascii="Arial" w:cs="Arial" w:eastAsia="Arial" w:hAnsi="Arial"/>
                <w:sz w:val="17"/>
                <w:szCs w:val="17"/>
                <w:color w:val="auto"/>
              </w:rPr>
              <w:t>62.6</w:t>
            </w:r>
          </w:p>
        </w:tc>
        <w:tc>
          <w:tcPr>
            <w:tcW w:w="1100" w:type="dxa"/>
            <w:vAlign w:val="bottom"/>
            <w:gridSpan w:val="2"/>
          </w:tcPr>
          <w:p>
            <w:pPr>
              <w:jc w:val="right"/>
              <w:ind w:right="94"/>
              <w:spacing w:after="0"/>
              <w:rPr>
                <w:sz w:val="20"/>
                <w:szCs w:val="20"/>
                <w:color w:val="auto"/>
              </w:rPr>
            </w:pPr>
            <w:r>
              <w:rPr>
                <w:rFonts w:ascii="Arial" w:cs="Arial" w:eastAsia="Arial" w:hAnsi="Arial"/>
                <w:sz w:val="17"/>
                <w:szCs w:val="17"/>
                <w:color w:val="auto"/>
              </w:rPr>
              <w:t>(47)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ind w:right="134"/>
              <w:spacing w:after="0"/>
              <w:rPr>
                <w:sz w:val="20"/>
                <w:szCs w:val="20"/>
                <w:color w:val="auto"/>
              </w:rPr>
            </w:pPr>
            <w:r>
              <w:rPr>
                <w:rFonts w:ascii="Arial" w:cs="Arial" w:eastAsia="Arial" w:hAnsi="Arial"/>
                <w:sz w:val="17"/>
                <w:szCs w:val="17"/>
                <w:color w:val="auto"/>
              </w:rPr>
              <w:t>95.8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ind w:right="134"/>
              <w:spacing w:after="0"/>
              <w:rPr>
                <w:sz w:val="20"/>
                <w:szCs w:val="20"/>
                <w:color w:val="auto"/>
              </w:rPr>
            </w:pPr>
            <w:r>
              <w:rPr>
                <w:rFonts w:ascii="Arial" w:cs="Arial" w:eastAsia="Arial" w:hAnsi="Arial"/>
                <w:sz w:val="17"/>
                <w:szCs w:val="17"/>
                <w:color w:val="auto"/>
              </w:rPr>
              <w:t>(51.2)</w:t>
            </w:r>
          </w:p>
        </w:tc>
        <w:tc>
          <w:tcPr>
            <w:tcW w:w="1080" w:type="dxa"/>
            <w:vAlign w:val="bottom"/>
            <w:gridSpan w:val="2"/>
          </w:tcPr>
          <w:p>
            <w:pPr>
              <w:jc w:val="right"/>
              <w:ind w:right="74"/>
              <w:spacing w:after="0"/>
              <w:rPr>
                <w:sz w:val="20"/>
                <w:szCs w:val="20"/>
                <w:color w:val="auto"/>
              </w:rPr>
            </w:pPr>
            <w:r>
              <w:rPr>
                <w:rFonts w:ascii="Arial" w:cs="Arial" w:eastAsia="Arial" w:hAnsi="Arial"/>
                <w:sz w:val="17"/>
                <w:szCs w:val="17"/>
                <w:color w:val="auto"/>
              </w:rPr>
              <w:t>(287)</w:t>
            </w:r>
          </w:p>
        </w:tc>
        <w:tc>
          <w:tcPr>
            <w:tcW w:w="0" w:type="dxa"/>
            <w:vAlign w:val="bottom"/>
          </w:tcPr>
          <w:p>
            <w:pPr>
              <w:spacing w:after="0"/>
              <w:rPr>
                <w:sz w:val="1"/>
                <w:szCs w:val="1"/>
                <w:color w:val="auto"/>
              </w:rPr>
            </w:pPr>
          </w:p>
        </w:tc>
      </w:tr>
      <w:tr>
        <w:trPr>
          <w:trHeight w:val="155"/>
        </w:trPr>
        <w:tc>
          <w:tcPr>
            <w:tcW w:w="32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3280" w:type="dxa"/>
            <w:vAlign w:val="bottom"/>
          </w:tcPr>
          <w:p>
            <w:pPr>
              <w:ind w:left="20"/>
              <w:spacing w:after="0"/>
              <w:rPr>
                <w:sz w:val="20"/>
                <w:szCs w:val="20"/>
                <w:color w:val="auto"/>
              </w:rPr>
            </w:pPr>
            <w:r>
              <w:rPr>
                <w:rFonts w:ascii="Arial" w:cs="Arial" w:eastAsia="Arial" w:hAnsi="Arial"/>
                <w:sz w:val="17"/>
                <w:szCs w:val="17"/>
                <w:b w:val="1"/>
                <w:bCs w:val="1"/>
                <w:color w:val="auto"/>
              </w:rPr>
              <w:t>Operating expenses</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2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Compensation and benefits</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83.9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68.0</w:t>
            </w:r>
          </w:p>
        </w:tc>
        <w:tc>
          <w:tcPr>
            <w:tcW w:w="1100" w:type="dxa"/>
            <w:vAlign w:val="bottom"/>
            <w:gridSpan w:val="2"/>
            <w:shd w:val="clear" w:color="auto" w:fill="CCEEFF"/>
          </w:tcPr>
          <w:p>
            <w:pPr>
              <w:jc w:val="right"/>
              <w:ind w:right="134"/>
              <w:spacing w:after="0"/>
              <w:rPr>
                <w:sz w:val="20"/>
                <w:szCs w:val="20"/>
                <w:color w:val="auto"/>
              </w:rPr>
            </w:pPr>
            <w:r>
              <w:rPr>
                <w:rFonts w:ascii="Arial" w:cs="Arial" w:eastAsia="Arial" w:hAnsi="Arial"/>
                <w:sz w:val="17"/>
                <w:szCs w:val="17"/>
                <w:color w:val="auto"/>
              </w:rPr>
              <w:t>23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151.9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140.5</w:t>
            </w:r>
          </w:p>
        </w:tc>
        <w:tc>
          <w:tcPr>
            <w:tcW w:w="1080" w:type="dxa"/>
            <w:vAlign w:val="bottom"/>
            <w:gridSpan w:val="2"/>
            <w:shd w:val="clear" w:color="auto" w:fill="CCEEFF"/>
          </w:tcPr>
          <w:p>
            <w:pPr>
              <w:jc w:val="right"/>
              <w:ind w:right="114"/>
              <w:spacing w:after="0"/>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220"/>
        </w:trPr>
        <w:tc>
          <w:tcPr>
            <w:tcW w:w="3280" w:type="dxa"/>
            <w:vAlign w:val="bottom"/>
          </w:tcPr>
          <w:p>
            <w:pPr>
              <w:ind w:left="140"/>
              <w:spacing w:after="0"/>
              <w:rPr>
                <w:sz w:val="20"/>
                <w:szCs w:val="20"/>
                <w:color w:val="auto"/>
              </w:rPr>
            </w:pPr>
            <w:r>
              <w:rPr>
                <w:rFonts w:ascii="Arial" w:cs="Arial" w:eastAsia="Arial" w:hAnsi="Arial"/>
                <w:sz w:val="17"/>
                <w:szCs w:val="17"/>
                <w:color w:val="auto"/>
              </w:rPr>
              <w:t>Servicing and origination</w:t>
            </w:r>
          </w:p>
        </w:tc>
        <w:tc>
          <w:tcPr>
            <w:tcW w:w="240" w:type="dxa"/>
            <w:vAlign w:val="bottom"/>
          </w:tcPr>
          <w:p>
            <w:pPr>
              <w:spacing w:after="0"/>
              <w:rPr>
                <w:sz w:val="19"/>
                <w:szCs w:val="19"/>
                <w:color w:val="auto"/>
              </w:rPr>
            </w:pPr>
          </w:p>
        </w:tc>
        <w:tc>
          <w:tcPr>
            <w:tcW w:w="1140" w:type="dxa"/>
            <w:vAlign w:val="bottom"/>
          </w:tcPr>
          <w:p>
            <w:pPr>
              <w:jc w:val="right"/>
              <w:ind w:right="134"/>
              <w:spacing w:after="0"/>
              <w:rPr>
                <w:sz w:val="20"/>
                <w:szCs w:val="20"/>
                <w:color w:val="auto"/>
              </w:rPr>
            </w:pPr>
            <w:r>
              <w:rPr>
                <w:rFonts w:ascii="Arial" w:cs="Arial" w:eastAsia="Arial" w:hAnsi="Arial"/>
                <w:sz w:val="17"/>
                <w:szCs w:val="17"/>
                <w:color w:val="auto"/>
              </w:rPr>
              <w:t>19.1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ind w:right="134"/>
              <w:spacing w:after="0"/>
              <w:rPr>
                <w:sz w:val="20"/>
                <w:szCs w:val="20"/>
                <w:color w:val="auto"/>
              </w:rPr>
            </w:pPr>
            <w:r>
              <w:rPr>
                <w:rFonts w:ascii="Arial" w:cs="Arial" w:eastAsia="Arial" w:hAnsi="Arial"/>
                <w:sz w:val="17"/>
                <w:szCs w:val="17"/>
                <w:color w:val="auto"/>
              </w:rPr>
              <w:t>14.2</w:t>
            </w:r>
          </w:p>
        </w:tc>
        <w:tc>
          <w:tcPr>
            <w:tcW w:w="1100" w:type="dxa"/>
            <w:vAlign w:val="bottom"/>
            <w:gridSpan w:val="2"/>
          </w:tcPr>
          <w:p>
            <w:pPr>
              <w:jc w:val="right"/>
              <w:ind w:right="134"/>
              <w:spacing w:after="0"/>
              <w:rPr>
                <w:sz w:val="20"/>
                <w:szCs w:val="20"/>
                <w:color w:val="auto"/>
              </w:rPr>
            </w:pPr>
            <w:r>
              <w:rPr>
                <w:rFonts w:ascii="Arial" w:cs="Arial" w:eastAsia="Arial" w:hAnsi="Arial"/>
                <w:sz w:val="17"/>
                <w:szCs w:val="17"/>
                <w:color w:val="auto"/>
              </w:rPr>
              <w:t>35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ind w:right="134"/>
              <w:spacing w:after="0"/>
              <w:rPr>
                <w:sz w:val="20"/>
                <w:szCs w:val="20"/>
                <w:color w:val="auto"/>
              </w:rPr>
            </w:pPr>
            <w:r>
              <w:rPr>
                <w:rFonts w:ascii="Arial" w:cs="Arial" w:eastAsia="Arial" w:hAnsi="Arial"/>
                <w:sz w:val="17"/>
                <w:szCs w:val="17"/>
                <w:color w:val="auto"/>
              </w:rPr>
              <w:t>33.3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ind w:right="134"/>
              <w:spacing w:after="0"/>
              <w:rPr>
                <w:sz w:val="20"/>
                <w:szCs w:val="20"/>
                <w:color w:val="auto"/>
              </w:rPr>
            </w:pPr>
            <w:r>
              <w:rPr>
                <w:rFonts w:ascii="Arial" w:cs="Arial" w:eastAsia="Arial" w:hAnsi="Arial"/>
                <w:sz w:val="17"/>
                <w:szCs w:val="17"/>
                <w:color w:val="auto"/>
              </w:rPr>
              <w:t>54.1</w:t>
            </w:r>
          </w:p>
        </w:tc>
        <w:tc>
          <w:tcPr>
            <w:tcW w:w="1080" w:type="dxa"/>
            <w:vAlign w:val="bottom"/>
            <w:gridSpan w:val="2"/>
          </w:tcPr>
          <w:p>
            <w:pPr>
              <w:jc w:val="right"/>
              <w:ind w:right="74"/>
              <w:spacing w:after="0"/>
              <w:rPr>
                <w:sz w:val="20"/>
                <w:szCs w:val="20"/>
                <w:color w:val="auto"/>
              </w:rPr>
            </w:pPr>
            <w:r>
              <w:rPr>
                <w:rFonts w:ascii="Arial" w:cs="Arial" w:eastAsia="Arial" w:hAnsi="Arial"/>
                <w:sz w:val="17"/>
                <w:szCs w:val="17"/>
                <w:color w:val="auto"/>
              </w:rPr>
              <w:t>(39)</w:t>
            </w:r>
          </w:p>
        </w:tc>
        <w:tc>
          <w:tcPr>
            <w:tcW w:w="0" w:type="dxa"/>
            <w:vAlign w:val="bottom"/>
          </w:tcPr>
          <w:p>
            <w:pPr>
              <w:spacing w:after="0"/>
              <w:rPr>
                <w:sz w:val="1"/>
                <w:szCs w:val="1"/>
                <w:color w:val="auto"/>
              </w:rPr>
            </w:pPr>
          </w:p>
        </w:tc>
      </w:tr>
      <w:tr>
        <w:trPr>
          <w:trHeight w:val="220"/>
        </w:trPr>
        <w:tc>
          <w:tcPr>
            <w:tcW w:w="32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Technology and communications</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14.7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14.9</w:t>
            </w:r>
          </w:p>
        </w:tc>
        <w:tc>
          <w:tcPr>
            <w:tcW w:w="1100" w:type="dxa"/>
            <w:vAlign w:val="bottom"/>
            <w:gridSpan w:val="2"/>
            <w:shd w:val="clear" w:color="auto" w:fill="CCEEFF"/>
          </w:tcPr>
          <w:p>
            <w:pPr>
              <w:jc w:val="right"/>
              <w:ind w:right="94"/>
              <w:spacing w:after="0"/>
              <w:rPr>
                <w:sz w:val="20"/>
                <w:szCs w:val="20"/>
                <w:color w:val="auto"/>
              </w:rPr>
            </w:pPr>
            <w:r>
              <w:rPr>
                <w:rFonts w:ascii="Arial" w:cs="Arial" w:eastAsia="Arial" w:hAnsi="Arial"/>
                <w:sz w:val="17"/>
                <w:szCs w:val="17"/>
                <w:color w:val="auto"/>
              </w:rPr>
              <w:t>(1)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29.6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26.3</w:t>
            </w:r>
          </w:p>
        </w:tc>
        <w:tc>
          <w:tcPr>
            <w:tcW w:w="1080" w:type="dxa"/>
            <w:vAlign w:val="bottom"/>
            <w:gridSpan w:val="2"/>
            <w:shd w:val="clear" w:color="auto" w:fill="CCEEFF"/>
          </w:tcPr>
          <w:p>
            <w:pPr>
              <w:jc w:val="right"/>
              <w:ind w:right="114"/>
              <w:spacing w:after="0"/>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220"/>
        </w:trPr>
        <w:tc>
          <w:tcPr>
            <w:tcW w:w="3280" w:type="dxa"/>
            <w:vAlign w:val="bottom"/>
          </w:tcPr>
          <w:p>
            <w:pPr>
              <w:ind w:left="140"/>
              <w:spacing w:after="0"/>
              <w:rPr>
                <w:sz w:val="20"/>
                <w:szCs w:val="20"/>
                <w:color w:val="auto"/>
              </w:rPr>
            </w:pPr>
            <w:r>
              <w:rPr>
                <w:rFonts w:ascii="Arial" w:cs="Arial" w:eastAsia="Arial" w:hAnsi="Arial"/>
                <w:sz w:val="17"/>
                <w:szCs w:val="17"/>
                <w:color w:val="auto"/>
              </w:rPr>
              <w:t>Professional services</w:t>
            </w:r>
          </w:p>
        </w:tc>
        <w:tc>
          <w:tcPr>
            <w:tcW w:w="240" w:type="dxa"/>
            <w:vAlign w:val="bottom"/>
          </w:tcPr>
          <w:p>
            <w:pPr>
              <w:spacing w:after="0"/>
              <w:rPr>
                <w:sz w:val="19"/>
                <w:szCs w:val="19"/>
                <w:color w:val="auto"/>
              </w:rPr>
            </w:pPr>
          </w:p>
        </w:tc>
        <w:tc>
          <w:tcPr>
            <w:tcW w:w="1140" w:type="dxa"/>
            <w:vAlign w:val="bottom"/>
          </w:tcPr>
          <w:p>
            <w:pPr>
              <w:jc w:val="right"/>
              <w:ind w:right="134"/>
              <w:spacing w:after="0"/>
              <w:rPr>
                <w:sz w:val="20"/>
                <w:szCs w:val="20"/>
                <w:color w:val="auto"/>
              </w:rPr>
            </w:pPr>
            <w:r>
              <w:rPr>
                <w:rFonts w:ascii="Arial" w:cs="Arial" w:eastAsia="Arial" w:hAnsi="Arial"/>
                <w:sz w:val="17"/>
                <w:szCs w:val="17"/>
                <w:color w:val="auto"/>
              </w:rPr>
              <w:t>8.7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ind w:right="134"/>
              <w:spacing w:after="0"/>
              <w:rPr>
                <w:sz w:val="20"/>
                <w:szCs w:val="20"/>
                <w:color w:val="auto"/>
              </w:rPr>
            </w:pPr>
            <w:r>
              <w:rPr>
                <w:rFonts w:ascii="Arial" w:cs="Arial" w:eastAsia="Arial" w:hAnsi="Arial"/>
                <w:sz w:val="17"/>
                <w:szCs w:val="17"/>
                <w:color w:val="auto"/>
              </w:rPr>
              <w:t>12.2</w:t>
            </w:r>
          </w:p>
        </w:tc>
        <w:tc>
          <w:tcPr>
            <w:tcW w:w="1100" w:type="dxa"/>
            <w:vAlign w:val="bottom"/>
            <w:gridSpan w:val="2"/>
          </w:tcPr>
          <w:p>
            <w:pPr>
              <w:jc w:val="right"/>
              <w:ind w:right="94"/>
              <w:spacing w:after="0"/>
              <w:rPr>
                <w:sz w:val="20"/>
                <w:szCs w:val="20"/>
                <w:color w:val="auto"/>
              </w:rPr>
            </w:pPr>
            <w:r>
              <w:rPr>
                <w:rFonts w:ascii="Arial" w:cs="Arial" w:eastAsia="Arial" w:hAnsi="Arial"/>
                <w:sz w:val="17"/>
                <w:szCs w:val="17"/>
                <w:color w:val="auto"/>
              </w:rPr>
              <w:t>(29)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ind w:right="134"/>
              <w:spacing w:after="0"/>
              <w:rPr>
                <w:sz w:val="20"/>
                <w:szCs w:val="20"/>
                <w:color w:val="auto"/>
              </w:rPr>
            </w:pPr>
            <w:r>
              <w:rPr>
                <w:rFonts w:ascii="Arial" w:cs="Arial" w:eastAsia="Arial" w:hAnsi="Arial"/>
                <w:sz w:val="17"/>
                <w:szCs w:val="17"/>
                <w:color w:val="auto"/>
              </w:rPr>
              <w:t>20.9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ind w:right="134"/>
              <w:spacing w:after="0"/>
              <w:rPr>
                <w:sz w:val="20"/>
                <w:szCs w:val="20"/>
                <w:color w:val="auto"/>
              </w:rPr>
            </w:pPr>
            <w:r>
              <w:rPr>
                <w:rFonts w:ascii="Arial" w:cs="Arial" w:eastAsia="Arial" w:hAnsi="Arial"/>
                <w:sz w:val="17"/>
                <w:szCs w:val="17"/>
                <w:color w:val="auto"/>
              </w:rPr>
              <w:t>42.9</w:t>
            </w:r>
          </w:p>
        </w:tc>
        <w:tc>
          <w:tcPr>
            <w:tcW w:w="1080" w:type="dxa"/>
            <w:vAlign w:val="bottom"/>
            <w:gridSpan w:val="2"/>
          </w:tcPr>
          <w:p>
            <w:pPr>
              <w:jc w:val="right"/>
              <w:ind w:right="74"/>
              <w:spacing w:after="0"/>
              <w:rPr>
                <w:sz w:val="20"/>
                <w:szCs w:val="20"/>
                <w:color w:val="auto"/>
              </w:rPr>
            </w:pPr>
            <w:r>
              <w:rPr>
                <w:rFonts w:ascii="Arial" w:cs="Arial" w:eastAsia="Arial" w:hAnsi="Arial"/>
                <w:sz w:val="17"/>
                <w:szCs w:val="17"/>
                <w:color w:val="auto"/>
              </w:rPr>
              <w:t>(51)</w:t>
            </w:r>
          </w:p>
        </w:tc>
        <w:tc>
          <w:tcPr>
            <w:tcW w:w="0" w:type="dxa"/>
            <w:vAlign w:val="bottom"/>
          </w:tcPr>
          <w:p>
            <w:pPr>
              <w:spacing w:after="0"/>
              <w:rPr>
                <w:sz w:val="1"/>
                <w:szCs w:val="1"/>
                <w:color w:val="auto"/>
              </w:rPr>
            </w:pPr>
          </w:p>
        </w:tc>
      </w:tr>
      <w:tr>
        <w:trPr>
          <w:trHeight w:val="220"/>
        </w:trPr>
        <w:tc>
          <w:tcPr>
            <w:tcW w:w="32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Occupancy and equipment</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9.7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10.1</w:t>
            </w:r>
          </w:p>
        </w:tc>
        <w:tc>
          <w:tcPr>
            <w:tcW w:w="1100" w:type="dxa"/>
            <w:vAlign w:val="bottom"/>
            <w:gridSpan w:val="2"/>
            <w:shd w:val="clear" w:color="auto" w:fill="CCEEFF"/>
          </w:tcPr>
          <w:p>
            <w:pPr>
              <w:jc w:val="right"/>
              <w:ind w:right="94"/>
              <w:spacing w:after="0"/>
              <w:rPr>
                <w:sz w:val="20"/>
                <w:szCs w:val="20"/>
                <w:color w:val="auto"/>
              </w:rPr>
            </w:pPr>
            <w:r>
              <w:rPr>
                <w:rFonts w:ascii="Arial" w:cs="Arial" w:eastAsia="Arial" w:hAnsi="Arial"/>
                <w:sz w:val="17"/>
                <w:szCs w:val="17"/>
                <w:color w:val="auto"/>
              </w:rPr>
              <w:t>(4)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19.7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16.7</w:t>
            </w:r>
          </w:p>
        </w:tc>
        <w:tc>
          <w:tcPr>
            <w:tcW w:w="1080" w:type="dxa"/>
            <w:vAlign w:val="bottom"/>
            <w:gridSpan w:val="2"/>
            <w:shd w:val="clear" w:color="auto" w:fill="CCEEFF"/>
          </w:tcPr>
          <w:p>
            <w:pPr>
              <w:jc w:val="right"/>
              <w:ind w:right="114"/>
              <w:spacing w:after="0"/>
              <w:rPr>
                <w:sz w:val="20"/>
                <w:szCs w:val="20"/>
                <w:color w:val="auto"/>
              </w:rPr>
            </w:pPr>
            <w:r>
              <w:rPr>
                <w:rFonts w:ascii="Arial" w:cs="Arial" w:eastAsia="Arial" w:hAnsi="Arial"/>
                <w:sz w:val="17"/>
                <w:szCs w:val="17"/>
                <w:color w:val="auto"/>
              </w:rPr>
              <w:t>18</w:t>
            </w:r>
          </w:p>
        </w:tc>
        <w:tc>
          <w:tcPr>
            <w:tcW w:w="0" w:type="dxa"/>
            <w:vAlign w:val="bottom"/>
          </w:tcPr>
          <w:p>
            <w:pPr>
              <w:spacing w:after="0"/>
              <w:rPr>
                <w:sz w:val="1"/>
                <w:szCs w:val="1"/>
                <w:color w:val="auto"/>
              </w:rPr>
            </w:pPr>
          </w:p>
        </w:tc>
      </w:tr>
      <w:tr>
        <w:trPr>
          <w:trHeight w:val="220"/>
        </w:trPr>
        <w:tc>
          <w:tcPr>
            <w:tcW w:w="328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Other expenses</w:t>
            </w: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8.4</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7.7</w:t>
            </w:r>
          </w:p>
        </w:tc>
        <w:tc>
          <w:tcPr>
            <w:tcW w:w="1100" w:type="dxa"/>
            <w:vAlign w:val="bottom"/>
            <w:tcBorders>
              <w:bottom w:val="single" w:sz="8" w:color="CCEEFF"/>
            </w:tcBorders>
            <w:gridSpan w:val="2"/>
          </w:tcPr>
          <w:p>
            <w:pPr>
              <w:jc w:val="right"/>
              <w:ind w:right="134"/>
              <w:spacing w:after="0"/>
              <w:rPr>
                <w:sz w:val="20"/>
                <w:szCs w:val="20"/>
                <w:color w:val="auto"/>
              </w:rPr>
            </w:pPr>
            <w:r>
              <w:rPr>
                <w:rFonts w:ascii="Arial" w:cs="Arial" w:eastAsia="Arial" w:hAnsi="Arial"/>
                <w:sz w:val="17"/>
                <w:szCs w:val="17"/>
                <w:color w:val="auto"/>
              </w:rPr>
              <w:t>9</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16.1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9.0</w:t>
            </w:r>
          </w:p>
        </w:tc>
        <w:tc>
          <w:tcPr>
            <w:tcW w:w="1080" w:type="dxa"/>
            <w:vAlign w:val="bottom"/>
            <w:tcBorders>
              <w:bottom w:val="single" w:sz="8" w:color="CCEEFF"/>
            </w:tcBorders>
            <w:gridSpan w:val="2"/>
          </w:tcPr>
          <w:p>
            <w:pPr>
              <w:jc w:val="right"/>
              <w:ind w:right="114"/>
              <w:spacing w:after="0"/>
              <w:rPr>
                <w:sz w:val="20"/>
                <w:szCs w:val="20"/>
                <w:color w:val="auto"/>
              </w:rPr>
            </w:pPr>
            <w:r>
              <w:rPr>
                <w:rFonts w:ascii="Arial" w:cs="Arial" w:eastAsia="Arial" w:hAnsi="Arial"/>
                <w:sz w:val="17"/>
                <w:szCs w:val="17"/>
                <w:color w:val="auto"/>
              </w:rPr>
              <w:t>79</w:t>
            </w:r>
          </w:p>
        </w:tc>
        <w:tc>
          <w:tcPr>
            <w:tcW w:w="0" w:type="dxa"/>
            <w:vAlign w:val="bottom"/>
          </w:tcPr>
          <w:p>
            <w:pPr>
              <w:spacing w:after="0"/>
              <w:rPr>
                <w:sz w:val="1"/>
                <w:szCs w:val="1"/>
                <w:color w:val="auto"/>
              </w:rPr>
            </w:pPr>
          </w:p>
        </w:tc>
      </w:tr>
      <w:tr>
        <w:trPr>
          <w:trHeight w:val="213"/>
        </w:trPr>
        <w:tc>
          <w:tcPr>
            <w:tcW w:w="32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Total operating expenses</w:t>
            </w:r>
          </w:p>
        </w:tc>
        <w:tc>
          <w:tcPr>
            <w:tcW w:w="2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144.4</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127.0</w:t>
            </w:r>
          </w:p>
        </w:tc>
        <w:tc>
          <w:tcPr>
            <w:tcW w:w="1100" w:type="dxa"/>
            <w:vAlign w:val="bottom"/>
            <w:gridSpan w:val="2"/>
            <w:shd w:val="clear" w:color="auto" w:fill="CCEEFF"/>
          </w:tcPr>
          <w:p>
            <w:pPr>
              <w:jc w:val="right"/>
              <w:ind w:right="134"/>
              <w:spacing w:after="0"/>
              <w:rPr>
                <w:sz w:val="20"/>
                <w:szCs w:val="20"/>
                <w:color w:val="auto"/>
              </w:rPr>
            </w:pPr>
            <w:r>
              <w:rPr>
                <w:rFonts w:ascii="Arial" w:cs="Arial" w:eastAsia="Arial" w:hAnsi="Arial"/>
                <w:sz w:val="17"/>
                <w:szCs w:val="17"/>
                <w:color w:val="auto"/>
              </w:rPr>
              <w:t>14</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271.4</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289.4</w:t>
            </w:r>
          </w:p>
        </w:tc>
        <w:tc>
          <w:tcPr>
            <w:tcW w:w="108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135"/>
        </w:trPr>
        <w:tc>
          <w:tcPr>
            <w:tcW w:w="3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0"/>
        </w:trPr>
        <w:tc>
          <w:tcPr>
            <w:tcW w:w="32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Other income (expense)</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280" w:type="dxa"/>
            <w:vAlign w:val="bottom"/>
          </w:tcPr>
          <w:p>
            <w:pPr>
              <w:ind w:left="140"/>
              <w:spacing w:after="0"/>
              <w:rPr>
                <w:sz w:val="20"/>
                <w:szCs w:val="20"/>
                <w:color w:val="auto"/>
              </w:rPr>
            </w:pPr>
            <w:r>
              <w:rPr>
                <w:rFonts w:ascii="Arial" w:cs="Arial" w:eastAsia="Arial" w:hAnsi="Arial"/>
                <w:sz w:val="17"/>
                <w:szCs w:val="17"/>
                <w:color w:val="auto"/>
              </w:rPr>
              <w:t>Interest income</w:t>
            </w:r>
          </w:p>
        </w:tc>
        <w:tc>
          <w:tcPr>
            <w:tcW w:w="240" w:type="dxa"/>
            <w:vAlign w:val="bottom"/>
          </w:tcPr>
          <w:p>
            <w:pPr>
              <w:spacing w:after="0"/>
              <w:rPr>
                <w:sz w:val="19"/>
                <w:szCs w:val="19"/>
                <w:color w:val="auto"/>
              </w:rPr>
            </w:pPr>
          </w:p>
        </w:tc>
        <w:tc>
          <w:tcPr>
            <w:tcW w:w="1140" w:type="dxa"/>
            <w:vAlign w:val="bottom"/>
          </w:tcPr>
          <w:p>
            <w:pPr>
              <w:jc w:val="right"/>
              <w:ind w:right="134"/>
              <w:spacing w:after="0"/>
              <w:rPr>
                <w:sz w:val="20"/>
                <w:szCs w:val="20"/>
                <w:color w:val="auto"/>
              </w:rPr>
            </w:pPr>
            <w:r>
              <w:rPr>
                <w:rFonts w:ascii="Arial" w:cs="Arial" w:eastAsia="Arial" w:hAnsi="Arial"/>
                <w:sz w:val="17"/>
                <w:szCs w:val="17"/>
                <w:color w:val="auto"/>
              </w:rPr>
              <w:t>9.7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ind w:right="134"/>
              <w:spacing w:after="0"/>
              <w:rPr>
                <w:sz w:val="20"/>
                <w:szCs w:val="20"/>
                <w:color w:val="auto"/>
              </w:rPr>
            </w:pPr>
            <w:r>
              <w:rPr>
                <w:rFonts w:ascii="Arial" w:cs="Arial" w:eastAsia="Arial" w:hAnsi="Arial"/>
                <w:sz w:val="17"/>
                <w:szCs w:val="17"/>
                <w:color w:val="auto"/>
              </w:rPr>
              <w:t>7.1</w:t>
            </w:r>
          </w:p>
        </w:tc>
        <w:tc>
          <w:tcPr>
            <w:tcW w:w="1100" w:type="dxa"/>
            <w:vAlign w:val="bottom"/>
            <w:gridSpan w:val="2"/>
          </w:tcPr>
          <w:p>
            <w:pPr>
              <w:jc w:val="right"/>
              <w:ind w:right="134"/>
              <w:spacing w:after="0"/>
              <w:rPr>
                <w:sz w:val="20"/>
                <w:szCs w:val="20"/>
                <w:color w:val="auto"/>
              </w:rPr>
            </w:pPr>
            <w:r>
              <w:rPr>
                <w:rFonts w:ascii="Arial" w:cs="Arial" w:eastAsia="Arial" w:hAnsi="Arial"/>
                <w:sz w:val="17"/>
                <w:szCs w:val="17"/>
                <w:color w:val="auto"/>
              </w:rPr>
              <w:t>37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ind w:right="134"/>
              <w:spacing w:after="0"/>
              <w:rPr>
                <w:sz w:val="20"/>
                <w:szCs w:val="20"/>
                <w:color w:val="auto"/>
              </w:rPr>
            </w:pPr>
            <w:r>
              <w:rPr>
                <w:rFonts w:ascii="Arial" w:cs="Arial" w:eastAsia="Arial" w:hAnsi="Arial"/>
                <w:sz w:val="17"/>
                <w:szCs w:val="17"/>
                <w:color w:val="auto"/>
              </w:rPr>
              <w:t>16.9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ind w:right="134"/>
              <w:spacing w:after="0"/>
              <w:rPr>
                <w:sz w:val="20"/>
                <w:szCs w:val="20"/>
                <w:color w:val="auto"/>
              </w:rPr>
            </w:pPr>
            <w:r>
              <w:rPr>
                <w:rFonts w:ascii="Arial" w:cs="Arial" w:eastAsia="Arial" w:hAnsi="Arial"/>
                <w:sz w:val="17"/>
                <w:szCs w:val="17"/>
                <w:color w:val="auto"/>
              </w:rPr>
              <w:t>8.1</w:t>
            </w:r>
          </w:p>
        </w:tc>
        <w:tc>
          <w:tcPr>
            <w:tcW w:w="1080" w:type="dxa"/>
            <w:vAlign w:val="bottom"/>
            <w:gridSpan w:val="2"/>
          </w:tcPr>
          <w:p>
            <w:pPr>
              <w:jc w:val="right"/>
              <w:ind w:right="114"/>
              <w:spacing w:after="0"/>
              <w:rPr>
                <w:sz w:val="20"/>
                <w:szCs w:val="20"/>
                <w:color w:val="auto"/>
              </w:rPr>
            </w:pPr>
            <w:r>
              <w:rPr>
                <w:rFonts w:ascii="Arial" w:cs="Arial" w:eastAsia="Arial" w:hAnsi="Arial"/>
                <w:sz w:val="17"/>
                <w:szCs w:val="17"/>
                <w:color w:val="auto"/>
              </w:rPr>
              <w:t>108</w:t>
            </w:r>
          </w:p>
        </w:tc>
        <w:tc>
          <w:tcPr>
            <w:tcW w:w="0" w:type="dxa"/>
            <w:vAlign w:val="bottom"/>
          </w:tcPr>
          <w:p>
            <w:pPr>
              <w:spacing w:after="0"/>
              <w:rPr>
                <w:sz w:val="1"/>
                <w:szCs w:val="1"/>
                <w:color w:val="auto"/>
              </w:rPr>
            </w:pPr>
          </w:p>
        </w:tc>
      </w:tr>
      <w:tr>
        <w:trPr>
          <w:trHeight w:val="220"/>
        </w:trPr>
        <w:tc>
          <w:tcPr>
            <w:tcW w:w="32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Interest expense</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(37.9)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(37.9)</w:t>
            </w: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(75.7)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(62.0)</w:t>
            </w:r>
          </w:p>
        </w:tc>
        <w:tc>
          <w:tcPr>
            <w:tcW w:w="1080" w:type="dxa"/>
            <w:vAlign w:val="bottom"/>
            <w:gridSpan w:val="2"/>
            <w:shd w:val="clear" w:color="auto" w:fill="CCEEFF"/>
          </w:tcPr>
          <w:p>
            <w:pPr>
              <w:jc w:val="right"/>
              <w:ind w:right="114"/>
              <w:spacing w:after="0"/>
              <w:rPr>
                <w:sz w:val="20"/>
                <w:szCs w:val="20"/>
                <w:color w:val="auto"/>
              </w:rPr>
            </w:pPr>
            <w:r>
              <w:rPr>
                <w:rFonts w:ascii="Arial" w:cs="Arial" w:eastAsia="Arial" w:hAnsi="Arial"/>
                <w:sz w:val="17"/>
                <w:szCs w:val="17"/>
                <w:color w:val="auto"/>
              </w:rPr>
              <w:t>22</w:t>
            </w:r>
          </w:p>
        </w:tc>
        <w:tc>
          <w:tcPr>
            <w:tcW w:w="0" w:type="dxa"/>
            <w:vAlign w:val="bottom"/>
          </w:tcPr>
          <w:p>
            <w:pPr>
              <w:spacing w:after="0"/>
              <w:rPr>
                <w:sz w:val="1"/>
                <w:szCs w:val="1"/>
                <w:color w:val="auto"/>
              </w:rPr>
            </w:pPr>
          </w:p>
        </w:tc>
      </w:tr>
      <w:tr>
        <w:trPr>
          <w:trHeight w:val="220"/>
        </w:trPr>
        <w:tc>
          <w:tcPr>
            <w:tcW w:w="3280" w:type="dxa"/>
            <w:vAlign w:val="bottom"/>
          </w:tcPr>
          <w:p>
            <w:pPr>
              <w:ind w:left="140"/>
              <w:spacing w:after="0"/>
              <w:rPr>
                <w:sz w:val="20"/>
                <w:szCs w:val="20"/>
                <w:color w:val="auto"/>
              </w:rPr>
            </w:pPr>
            <w:r>
              <w:rPr>
                <w:rFonts w:ascii="Arial" w:cs="Arial" w:eastAsia="Arial" w:hAnsi="Arial"/>
                <w:sz w:val="17"/>
                <w:szCs w:val="17"/>
                <w:color w:val="auto"/>
              </w:rPr>
              <w:t>Pledged MSR liability expense</w:t>
            </w:r>
          </w:p>
        </w:tc>
        <w:tc>
          <w:tcPr>
            <w:tcW w:w="240" w:type="dxa"/>
            <w:vAlign w:val="bottom"/>
          </w:tcPr>
          <w:p>
            <w:pPr>
              <w:spacing w:after="0"/>
              <w:rPr>
                <w:sz w:val="19"/>
                <w:szCs w:val="19"/>
                <w:color w:val="auto"/>
              </w:rPr>
            </w:pPr>
          </w:p>
        </w:tc>
        <w:tc>
          <w:tcPr>
            <w:tcW w:w="1140" w:type="dxa"/>
            <w:vAlign w:val="bottom"/>
          </w:tcPr>
          <w:p>
            <w:pPr>
              <w:jc w:val="right"/>
              <w:ind w:right="134"/>
              <w:spacing w:after="0"/>
              <w:rPr>
                <w:sz w:val="20"/>
                <w:szCs w:val="20"/>
                <w:color w:val="auto"/>
              </w:rPr>
            </w:pPr>
            <w:r>
              <w:rPr>
                <w:rFonts w:ascii="Arial" w:cs="Arial" w:eastAsia="Arial" w:hAnsi="Arial"/>
                <w:sz w:val="17"/>
                <w:szCs w:val="17"/>
                <w:color w:val="auto"/>
              </w:rPr>
              <w:t>(74.1)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ind w:right="134"/>
              <w:spacing w:after="0"/>
              <w:rPr>
                <w:sz w:val="20"/>
                <w:szCs w:val="20"/>
                <w:color w:val="auto"/>
              </w:rPr>
            </w:pPr>
            <w:r>
              <w:rPr>
                <w:rFonts w:ascii="Arial" w:cs="Arial" w:eastAsia="Arial" w:hAnsi="Arial"/>
                <w:sz w:val="17"/>
                <w:szCs w:val="17"/>
                <w:color w:val="auto"/>
              </w:rPr>
              <w:t>(86.9)</w:t>
            </w:r>
          </w:p>
        </w:tc>
        <w:tc>
          <w:tcPr>
            <w:tcW w:w="1100" w:type="dxa"/>
            <w:vAlign w:val="bottom"/>
            <w:gridSpan w:val="2"/>
          </w:tcPr>
          <w:p>
            <w:pPr>
              <w:jc w:val="right"/>
              <w:ind w:right="94"/>
              <w:spacing w:after="0"/>
              <w:rPr>
                <w:sz w:val="20"/>
                <w:szCs w:val="20"/>
                <w:color w:val="auto"/>
              </w:rPr>
            </w:pPr>
            <w:r>
              <w:rPr>
                <w:rFonts w:ascii="Arial" w:cs="Arial" w:eastAsia="Arial" w:hAnsi="Arial"/>
                <w:sz w:val="17"/>
                <w:szCs w:val="17"/>
                <w:color w:val="auto"/>
              </w:rPr>
              <w:t>(15)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ind w:right="134"/>
              <w:spacing w:after="0"/>
              <w:rPr>
                <w:sz w:val="20"/>
                <w:szCs w:val="20"/>
                <w:color w:val="auto"/>
              </w:rPr>
            </w:pPr>
            <w:r>
              <w:rPr>
                <w:rFonts w:ascii="Arial" w:cs="Arial" w:eastAsia="Arial" w:hAnsi="Arial"/>
                <w:sz w:val="17"/>
                <w:szCs w:val="17"/>
                <w:color w:val="auto"/>
              </w:rPr>
              <w:t>(161.0)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ind w:right="134"/>
              <w:spacing w:after="0"/>
              <w:rPr>
                <w:sz w:val="20"/>
                <w:szCs w:val="20"/>
                <w:color w:val="auto"/>
              </w:rPr>
            </w:pPr>
            <w:r>
              <w:rPr>
                <w:rFonts w:ascii="Arial" w:cs="Arial" w:eastAsia="Arial" w:hAnsi="Arial"/>
                <w:sz w:val="17"/>
                <w:szCs w:val="17"/>
                <w:color w:val="auto"/>
              </w:rPr>
              <w:t>(77.7)</w:t>
            </w:r>
          </w:p>
        </w:tc>
        <w:tc>
          <w:tcPr>
            <w:tcW w:w="1080" w:type="dxa"/>
            <w:vAlign w:val="bottom"/>
            <w:gridSpan w:val="2"/>
          </w:tcPr>
          <w:p>
            <w:pPr>
              <w:jc w:val="right"/>
              <w:ind w:right="114"/>
              <w:spacing w:after="0"/>
              <w:rPr>
                <w:sz w:val="20"/>
                <w:szCs w:val="20"/>
                <w:color w:val="auto"/>
              </w:rPr>
            </w:pPr>
            <w:r>
              <w:rPr>
                <w:rFonts w:ascii="Arial" w:cs="Arial" w:eastAsia="Arial" w:hAnsi="Arial"/>
                <w:sz w:val="17"/>
                <w:szCs w:val="17"/>
                <w:color w:val="auto"/>
              </w:rPr>
              <w:t>107</w:t>
            </w:r>
          </w:p>
        </w:tc>
        <w:tc>
          <w:tcPr>
            <w:tcW w:w="0" w:type="dxa"/>
            <w:vAlign w:val="bottom"/>
          </w:tcPr>
          <w:p>
            <w:pPr>
              <w:spacing w:after="0"/>
              <w:rPr>
                <w:sz w:val="1"/>
                <w:szCs w:val="1"/>
                <w:color w:val="auto"/>
              </w:rPr>
            </w:pPr>
          </w:p>
        </w:tc>
      </w:tr>
      <w:tr>
        <w:trPr>
          <w:trHeight w:val="220"/>
        </w:trPr>
        <w:tc>
          <w:tcPr>
            <w:tcW w:w="32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Earnings of equity method investee</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3.9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12.0</w:t>
            </w:r>
          </w:p>
        </w:tc>
        <w:tc>
          <w:tcPr>
            <w:tcW w:w="1100" w:type="dxa"/>
            <w:vAlign w:val="bottom"/>
            <w:gridSpan w:val="2"/>
            <w:shd w:val="clear" w:color="auto" w:fill="CCEEFF"/>
          </w:tcPr>
          <w:p>
            <w:pPr>
              <w:jc w:val="center"/>
              <w:ind w:left="14"/>
              <w:spacing w:after="0"/>
              <w:rPr>
                <w:sz w:val="20"/>
                <w:szCs w:val="20"/>
                <w:color w:val="auto"/>
              </w:rPr>
            </w:pPr>
            <w:r>
              <w:rPr>
                <w:rFonts w:ascii="Arial" w:cs="Arial" w:eastAsia="Arial" w:hAnsi="Arial"/>
                <w:sz w:val="17"/>
                <w:szCs w:val="17"/>
                <w:color w:val="auto"/>
                <w:w w:val="92"/>
              </w:rPr>
              <w:t>(67)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15.9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0.4</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n/m</w:t>
            </w:r>
          </w:p>
        </w:tc>
        <w:tc>
          <w:tcPr>
            <w:tcW w:w="0" w:type="dxa"/>
            <w:vAlign w:val="bottom"/>
          </w:tcPr>
          <w:p>
            <w:pPr>
              <w:spacing w:after="0"/>
              <w:rPr>
                <w:sz w:val="1"/>
                <w:szCs w:val="1"/>
                <w:color w:val="auto"/>
              </w:rPr>
            </w:pPr>
          </w:p>
        </w:tc>
      </w:tr>
      <w:tr>
        <w:trPr>
          <w:trHeight w:val="220"/>
        </w:trPr>
        <w:tc>
          <w:tcPr>
            <w:tcW w:w="3280" w:type="dxa"/>
            <w:vAlign w:val="bottom"/>
          </w:tcPr>
          <w:p>
            <w:pPr>
              <w:ind w:left="140"/>
              <w:spacing w:after="0"/>
              <w:rPr>
                <w:sz w:val="20"/>
                <w:szCs w:val="20"/>
                <w:color w:val="auto"/>
              </w:rPr>
            </w:pPr>
            <w:r>
              <w:rPr>
                <w:rFonts w:ascii="Arial" w:cs="Arial" w:eastAsia="Arial" w:hAnsi="Arial"/>
                <w:sz w:val="17"/>
                <w:szCs w:val="17"/>
                <w:color w:val="auto"/>
              </w:rPr>
              <w:t>Gain (loss) on extinguishment of debt</w:t>
            </w:r>
          </w:p>
        </w:tc>
        <w:tc>
          <w:tcPr>
            <w:tcW w:w="240" w:type="dxa"/>
            <w:vAlign w:val="bottom"/>
          </w:tcPr>
          <w:p>
            <w:pPr>
              <w:spacing w:after="0"/>
              <w:rPr>
                <w:sz w:val="19"/>
                <w:szCs w:val="19"/>
                <w:color w:val="auto"/>
              </w:rPr>
            </w:pPr>
          </w:p>
        </w:tc>
        <w:tc>
          <w:tcPr>
            <w:tcW w:w="1140" w:type="dxa"/>
            <w:vAlign w:val="bottom"/>
          </w:tcPr>
          <w:p>
            <w:pPr>
              <w:jc w:val="right"/>
              <w:ind w:right="134"/>
              <w:spacing w:after="0"/>
              <w:rPr>
                <w:sz w:val="20"/>
                <w:szCs w:val="20"/>
                <w:color w:val="auto"/>
              </w:rPr>
            </w:pPr>
            <w:r>
              <w:rPr>
                <w:rFonts w:ascii="Arial" w:cs="Arial" w:eastAsia="Arial" w:hAnsi="Arial"/>
                <w:sz w:val="17"/>
                <w:szCs w:val="17"/>
                <w:color w:val="auto"/>
              </w:rPr>
              <w:t>0.9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080" w:type="dxa"/>
            <w:vAlign w:val="bottom"/>
            <w:gridSpan w:val="2"/>
          </w:tcPr>
          <w:p>
            <w:pPr>
              <w:jc w:val="center"/>
              <w:ind w:right="80"/>
              <w:spacing w:after="0"/>
              <w:rPr>
                <w:sz w:val="20"/>
                <w:szCs w:val="20"/>
                <w:color w:val="auto"/>
              </w:rPr>
            </w:pPr>
            <w:r>
              <w:rPr>
                <w:rFonts w:ascii="Arial" w:cs="Arial" w:eastAsia="Arial" w:hAnsi="Arial"/>
                <w:sz w:val="17"/>
                <w:szCs w:val="17"/>
                <w:color w:val="auto"/>
                <w:w w:val="98"/>
              </w:rPr>
              <w:t>n/m</w:t>
            </w:r>
          </w:p>
        </w:tc>
        <w:tc>
          <w:tcPr>
            <w:tcW w:w="240" w:type="dxa"/>
            <w:vAlign w:val="bottom"/>
          </w:tcPr>
          <w:p>
            <w:pPr>
              <w:spacing w:after="0"/>
              <w:rPr>
                <w:sz w:val="19"/>
                <w:szCs w:val="19"/>
                <w:color w:val="auto"/>
              </w:rPr>
            </w:pPr>
          </w:p>
        </w:tc>
        <w:tc>
          <w:tcPr>
            <w:tcW w:w="1140" w:type="dxa"/>
            <w:vAlign w:val="bottom"/>
          </w:tcPr>
          <w:p>
            <w:pPr>
              <w:jc w:val="right"/>
              <w:ind w:right="134"/>
              <w:spacing w:after="0"/>
              <w:rPr>
                <w:sz w:val="20"/>
                <w:szCs w:val="20"/>
                <w:color w:val="auto"/>
              </w:rPr>
            </w:pPr>
            <w:r>
              <w:rPr>
                <w:rFonts w:ascii="Arial" w:cs="Arial" w:eastAsia="Arial" w:hAnsi="Arial"/>
                <w:sz w:val="17"/>
                <w:szCs w:val="17"/>
                <w:color w:val="auto"/>
              </w:rPr>
              <w:t>0.9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ind w:right="134"/>
              <w:spacing w:after="0"/>
              <w:rPr>
                <w:sz w:val="20"/>
                <w:szCs w:val="20"/>
                <w:color w:val="auto"/>
              </w:rPr>
            </w:pPr>
            <w:r>
              <w:rPr>
                <w:rFonts w:ascii="Arial" w:cs="Arial" w:eastAsia="Arial" w:hAnsi="Arial"/>
                <w:sz w:val="17"/>
                <w:szCs w:val="17"/>
                <w:color w:val="auto"/>
              </w:rPr>
              <w:t>(15.5)</w:t>
            </w:r>
          </w:p>
        </w:tc>
        <w:tc>
          <w:tcPr>
            <w:tcW w:w="1080" w:type="dxa"/>
            <w:vAlign w:val="bottom"/>
            <w:gridSpan w:val="2"/>
          </w:tcPr>
          <w:p>
            <w:pPr>
              <w:jc w:val="right"/>
              <w:ind w:right="74"/>
              <w:spacing w:after="0"/>
              <w:rPr>
                <w:sz w:val="20"/>
                <w:szCs w:val="20"/>
                <w:color w:val="auto"/>
              </w:rPr>
            </w:pPr>
            <w:r>
              <w:rPr>
                <w:rFonts w:ascii="Arial" w:cs="Arial" w:eastAsia="Arial" w:hAnsi="Arial"/>
                <w:sz w:val="17"/>
                <w:szCs w:val="17"/>
                <w:color w:val="auto"/>
              </w:rPr>
              <w:t>(106)</w:t>
            </w:r>
          </w:p>
        </w:tc>
        <w:tc>
          <w:tcPr>
            <w:tcW w:w="0" w:type="dxa"/>
            <w:vAlign w:val="bottom"/>
          </w:tcPr>
          <w:p>
            <w:pPr>
              <w:spacing w:after="0"/>
              <w:rPr>
                <w:sz w:val="1"/>
                <w:szCs w:val="1"/>
                <w:color w:val="auto"/>
              </w:rPr>
            </w:pPr>
          </w:p>
        </w:tc>
      </w:tr>
      <w:tr>
        <w:trPr>
          <w:trHeight w:val="220"/>
        </w:trPr>
        <w:tc>
          <w:tcPr>
            <w:tcW w:w="32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Other, net</w:t>
            </w: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(4.2)</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(0.2)</w:t>
            </w: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center"/>
              <w:ind w:right="80"/>
              <w:spacing w:after="0"/>
              <w:rPr>
                <w:sz w:val="20"/>
                <w:szCs w:val="20"/>
                <w:color w:val="auto"/>
              </w:rPr>
            </w:pPr>
            <w:r>
              <w:rPr>
                <w:rFonts w:ascii="Arial" w:cs="Arial" w:eastAsia="Arial" w:hAnsi="Arial"/>
                <w:sz w:val="17"/>
                <w:szCs w:val="17"/>
                <w:color w:val="auto"/>
                <w:w w:val="98"/>
              </w:rPr>
              <w:t>n/m</w:t>
            </w: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(4.4)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3.7</w:t>
            </w:r>
          </w:p>
        </w:tc>
        <w:tc>
          <w:tcPr>
            <w:tcW w:w="108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(220)</w:t>
            </w:r>
          </w:p>
        </w:tc>
        <w:tc>
          <w:tcPr>
            <w:tcW w:w="0" w:type="dxa"/>
            <w:vAlign w:val="bottom"/>
          </w:tcPr>
          <w:p>
            <w:pPr>
              <w:spacing w:after="0"/>
              <w:rPr>
                <w:sz w:val="1"/>
                <w:szCs w:val="1"/>
                <w:color w:val="auto"/>
              </w:rPr>
            </w:pPr>
          </w:p>
        </w:tc>
      </w:tr>
      <w:tr>
        <w:trPr>
          <w:trHeight w:val="213"/>
        </w:trPr>
        <w:tc>
          <w:tcPr>
            <w:tcW w:w="328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Total other income (expense), net</w:t>
            </w: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(101.6)</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(105.9)</w:t>
            </w:r>
          </w:p>
        </w:tc>
        <w:tc>
          <w:tcPr>
            <w:tcW w:w="1100" w:type="dxa"/>
            <w:vAlign w:val="bottom"/>
            <w:tcBorders>
              <w:bottom w:val="single" w:sz="8" w:color="CCEEFF"/>
            </w:tcBorders>
            <w:gridSpan w:val="2"/>
          </w:tcPr>
          <w:p>
            <w:pPr>
              <w:jc w:val="right"/>
              <w:ind w:right="94"/>
              <w:spacing w:after="0"/>
              <w:rPr>
                <w:sz w:val="20"/>
                <w:szCs w:val="20"/>
                <w:color w:val="auto"/>
              </w:rPr>
            </w:pPr>
            <w:r>
              <w:rPr>
                <w:rFonts w:ascii="Arial" w:cs="Arial" w:eastAsia="Arial" w:hAnsi="Arial"/>
                <w:sz w:val="17"/>
                <w:szCs w:val="17"/>
                <w:color w:val="auto"/>
              </w:rPr>
              <w:t>(4)</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(207.4)</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(143.0)</w:t>
            </w:r>
          </w:p>
        </w:tc>
        <w:tc>
          <w:tcPr>
            <w:tcW w:w="1080" w:type="dxa"/>
            <w:vAlign w:val="bottom"/>
            <w:tcBorders>
              <w:bottom w:val="single" w:sz="8" w:color="CCEEFF"/>
            </w:tcBorders>
            <w:gridSpan w:val="2"/>
          </w:tcPr>
          <w:p>
            <w:pPr>
              <w:jc w:val="right"/>
              <w:ind w:right="114"/>
              <w:spacing w:after="0"/>
              <w:rPr>
                <w:sz w:val="20"/>
                <w:szCs w:val="20"/>
                <w:color w:val="auto"/>
              </w:rPr>
            </w:pPr>
            <w:r>
              <w:rPr>
                <w:rFonts w:ascii="Arial" w:cs="Arial" w:eastAsia="Arial" w:hAnsi="Arial"/>
                <w:sz w:val="17"/>
                <w:szCs w:val="17"/>
                <w:color w:val="auto"/>
              </w:rPr>
              <w:t>45</w:t>
            </w:r>
          </w:p>
        </w:tc>
        <w:tc>
          <w:tcPr>
            <w:tcW w:w="0" w:type="dxa"/>
            <w:vAlign w:val="bottom"/>
          </w:tcPr>
          <w:p>
            <w:pPr>
              <w:spacing w:after="0"/>
              <w:rPr>
                <w:sz w:val="1"/>
                <w:szCs w:val="1"/>
                <w:color w:val="auto"/>
              </w:rPr>
            </w:pPr>
          </w:p>
        </w:tc>
      </w:tr>
      <w:tr>
        <w:trPr>
          <w:trHeight w:val="135"/>
        </w:trPr>
        <w:tc>
          <w:tcPr>
            <w:tcW w:w="32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20"/>
        </w:trPr>
        <w:tc>
          <w:tcPr>
            <w:tcW w:w="3280" w:type="dxa"/>
            <w:vAlign w:val="bottom"/>
          </w:tcPr>
          <w:p>
            <w:pPr>
              <w:ind w:left="20"/>
              <w:spacing w:after="0"/>
              <w:rPr>
                <w:sz w:val="20"/>
                <w:szCs w:val="20"/>
                <w:color w:val="auto"/>
              </w:rPr>
            </w:pPr>
            <w:r>
              <w:rPr>
                <w:rFonts w:ascii="Arial" w:cs="Arial" w:eastAsia="Arial" w:hAnsi="Arial"/>
                <w:sz w:val="17"/>
                <w:szCs w:val="17"/>
                <w:color w:val="auto"/>
              </w:rPr>
              <w:t>Income (loss) before income taxes</w:t>
            </w:r>
          </w:p>
        </w:tc>
        <w:tc>
          <w:tcPr>
            <w:tcW w:w="240" w:type="dxa"/>
            <w:vAlign w:val="bottom"/>
          </w:tcPr>
          <w:p>
            <w:pPr>
              <w:spacing w:after="0"/>
              <w:rPr>
                <w:sz w:val="19"/>
                <w:szCs w:val="19"/>
                <w:color w:val="auto"/>
              </w:rPr>
            </w:pPr>
          </w:p>
        </w:tc>
        <w:tc>
          <w:tcPr>
            <w:tcW w:w="1140" w:type="dxa"/>
            <w:vAlign w:val="bottom"/>
          </w:tcPr>
          <w:p>
            <w:pPr>
              <w:jc w:val="right"/>
              <w:ind w:right="134"/>
              <w:spacing w:after="0"/>
              <w:rPr>
                <w:sz w:val="20"/>
                <w:szCs w:val="20"/>
                <w:color w:val="auto"/>
              </w:rPr>
            </w:pPr>
            <w:r>
              <w:rPr>
                <w:rFonts w:ascii="Arial" w:cs="Arial" w:eastAsia="Arial" w:hAnsi="Arial"/>
                <w:sz w:val="17"/>
                <w:szCs w:val="17"/>
                <w:color w:val="auto"/>
              </w:rPr>
              <w:t>9.4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ind w:right="134"/>
              <w:spacing w:after="0"/>
              <w:rPr>
                <w:sz w:val="20"/>
                <w:szCs w:val="20"/>
                <w:color w:val="auto"/>
              </w:rPr>
            </w:pPr>
            <w:r>
              <w:rPr>
                <w:rFonts w:ascii="Arial" w:cs="Arial" w:eastAsia="Arial" w:hAnsi="Arial"/>
                <w:sz w:val="17"/>
                <w:szCs w:val="17"/>
                <w:color w:val="auto"/>
              </w:rPr>
              <w:t>61.3</w:t>
            </w:r>
          </w:p>
        </w:tc>
        <w:tc>
          <w:tcPr>
            <w:tcW w:w="1100" w:type="dxa"/>
            <w:vAlign w:val="bottom"/>
            <w:gridSpan w:val="2"/>
          </w:tcPr>
          <w:p>
            <w:pPr>
              <w:jc w:val="center"/>
              <w:ind w:left="14"/>
              <w:spacing w:after="0"/>
              <w:rPr>
                <w:sz w:val="20"/>
                <w:szCs w:val="20"/>
                <w:color w:val="auto"/>
              </w:rPr>
            </w:pPr>
            <w:r>
              <w:rPr>
                <w:rFonts w:ascii="Arial" w:cs="Arial" w:eastAsia="Arial" w:hAnsi="Arial"/>
                <w:sz w:val="17"/>
                <w:szCs w:val="17"/>
                <w:color w:val="auto"/>
                <w:w w:val="92"/>
              </w:rPr>
              <w:t>(85)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ind w:right="134"/>
              <w:spacing w:after="0"/>
              <w:rPr>
                <w:sz w:val="20"/>
                <w:szCs w:val="20"/>
                <w:color w:val="auto"/>
              </w:rPr>
            </w:pPr>
            <w:r>
              <w:rPr>
                <w:rFonts w:ascii="Arial" w:cs="Arial" w:eastAsia="Arial" w:hAnsi="Arial"/>
                <w:sz w:val="17"/>
                <w:szCs w:val="17"/>
                <w:color w:val="auto"/>
              </w:rPr>
              <w:t>70.8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ind w:right="134"/>
              <w:spacing w:after="0"/>
              <w:rPr>
                <w:sz w:val="20"/>
                <w:szCs w:val="20"/>
                <w:color w:val="auto"/>
              </w:rPr>
            </w:pPr>
            <w:r>
              <w:rPr>
                <w:rFonts w:ascii="Arial" w:cs="Arial" w:eastAsia="Arial" w:hAnsi="Arial"/>
                <w:sz w:val="17"/>
                <w:szCs w:val="17"/>
                <w:color w:val="auto"/>
              </w:rPr>
              <w:t>(10.6)</w:t>
            </w:r>
          </w:p>
        </w:tc>
        <w:tc>
          <w:tcPr>
            <w:tcW w:w="1080" w:type="dxa"/>
            <w:vAlign w:val="bottom"/>
            <w:gridSpan w:val="2"/>
          </w:tcPr>
          <w:p>
            <w:pPr>
              <w:jc w:val="right"/>
              <w:ind w:right="74"/>
              <w:spacing w:after="0"/>
              <w:rPr>
                <w:sz w:val="20"/>
                <w:szCs w:val="20"/>
                <w:color w:val="auto"/>
              </w:rPr>
            </w:pPr>
            <w:r>
              <w:rPr>
                <w:rFonts w:ascii="Arial" w:cs="Arial" w:eastAsia="Arial" w:hAnsi="Arial"/>
                <w:sz w:val="17"/>
                <w:szCs w:val="17"/>
                <w:color w:val="auto"/>
              </w:rPr>
              <w:t>(769)</w:t>
            </w:r>
          </w:p>
        </w:tc>
        <w:tc>
          <w:tcPr>
            <w:tcW w:w="0" w:type="dxa"/>
            <w:vAlign w:val="bottom"/>
          </w:tcPr>
          <w:p>
            <w:pPr>
              <w:spacing w:after="0"/>
              <w:rPr>
                <w:sz w:val="1"/>
                <w:szCs w:val="1"/>
                <w:color w:val="auto"/>
              </w:rPr>
            </w:pPr>
          </w:p>
        </w:tc>
      </w:tr>
      <w:tr>
        <w:trPr>
          <w:trHeight w:val="220"/>
        </w:trPr>
        <w:tc>
          <w:tcPr>
            <w:tcW w:w="3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tax expense (benefit)</w:t>
            </w: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(0.9)</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3.2</w:t>
            </w:r>
          </w:p>
        </w:tc>
        <w:tc>
          <w:tcPr>
            <w:tcW w:w="1100" w:type="dxa"/>
            <w:vAlign w:val="bottom"/>
            <w:gridSpan w:val="2"/>
            <w:shd w:val="clear" w:color="auto" w:fill="CCEEFF"/>
          </w:tcPr>
          <w:p>
            <w:pPr>
              <w:jc w:val="right"/>
              <w:ind w:right="94"/>
              <w:spacing w:after="0"/>
              <w:rPr>
                <w:sz w:val="20"/>
                <w:szCs w:val="20"/>
                <w:color w:val="auto"/>
              </w:rPr>
            </w:pPr>
            <w:r>
              <w:rPr>
                <w:rFonts w:ascii="Arial" w:cs="Arial" w:eastAsia="Arial" w:hAnsi="Arial"/>
                <w:sz w:val="17"/>
                <w:szCs w:val="17"/>
                <w:color w:val="auto"/>
              </w:rPr>
              <w:t>(128)</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2.3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(8.8)</w:t>
            </w:r>
          </w:p>
        </w:tc>
        <w:tc>
          <w:tcPr>
            <w:tcW w:w="108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(126)</w:t>
            </w:r>
          </w:p>
        </w:tc>
        <w:tc>
          <w:tcPr>
            <w:tcW w:w="0" w:type="dxa"/>
            <w:vAlign w:val="bottom"/>
          </w:tcPr>
          <w:p>
            <w:pPr>
              <w:spacing w:after="0"/>
              <w:rPr>
                <w:sz w:val="1"/>
                <w:szCs w:val="1"/>
                <w:color w:val="auto"/>
              </w:rPr>
            </w:pPr>
          </w:p>
        </w:tc>
      </w:tr>
      <w:tr>
        <w:trPr>
          <w:trHeight w:val="187"/>
        </w:trPr>
        <w:tc>
          <w:tcPr>
            <w:tcW w:w="3280" w:type="dxa"/>
            <w:vAlign w:val="bottom"/>
          </w:tcPr>
          <w:p>
            <w:pPr>
              <w:ind w:left="140"/>
              <w:spacing w:after="0" w:line="187" w:lineRule="exact"/>
              <w:rPr>
                <w:sz w:val="20"/>
                <w:szCs w:val="20"/>
                <w:color w:val="auto"/>
              </w:rPr>
            </w:pPr>
            <w:r>
              <w:rPr>
                <w:rFonts w:ascii="Arial" w:cs="Arial" w:eastAsia="Arial" w:hAnsi="Arial"/>
                <w:sz w:val="17"/>
                <w:szCs w:val="17"/>
                <w:b w:val="1"/>
                <w:bCs w:val="1"/>
                <w:color w:val="auto"/>
              </w:rPr>
              <w:t>Net income (loss)</w:t>
            </w:r>
          </w:p>
        </w:tc>
        <w:tc>
          <w:tcPr>
            <w:tcW w:w="240" w:type="dxa"/>
            <w:vAlign w:val="bottom"/>
            <w:tcBorders>
              <w:bottom w:val="single" w:sz="8" w:color="auto"/>
            </w:tcBorders>
          </w:tcPr>
          <w:p>
            <w:pPr>
              <w:jc w:val="right"/>
              <w:ind w:right="54"/>
              <w:spacing w:after="0" w:line="187" w:lineRule="exact"/>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tcPr>
          <w:p>
            <w:pPr>
              <w:jc w:val="right"/>
              <w:ind w:right="134"/>
              <w:spacing w:after="0" w:line="187" w:lineRule="exact"/>
              <w:rPr>
                <w:sz w:val="20"/>
                <w:szCs w:val="20"/>
                <w:color w:val="auto"/>
              </w:rPr>
            </w:pPr>
            <w:r>
              <w:rPr>
                <w:rFonts w:ascii="Arial" w:cs="Arial" w:eastAsia="Arial" w:hAnsi="Arial"/>
                <w:sz w:val="17"/>
                <w:szCs w:val="17"/>
                <w:color w:val="auto"/>
              </w:rPr>
              <w:t>10.4</w:t>
            </w:r>
          </w:p>
        </w:tc>
        <w:tc>
          <w:tcPr>
            <w:tcW w:w="80" w:type="dxa"/>
            <w:vAlign w:val="bottom"/>
          </w:tcPr>
          <w:p>
            <w:pPr>
              <w:spacing w:after="0"/>
              <w:rPr>
                <w:sz w:val="16"/>
                <w:szCs w:val="16"/>
                <w:color w:val="auto"/>
              </w:rPr>
            </w:pPr>
          </w:p>
        </w:tc>
        <w:tc>
          <w:tcPr>
            <w:tcW w:w="220" w:type="dxa"/>
            <w:vAlign w:val="bottom"/>
            <w:tcBorders>
              <w:bottom w:val="single" w:sz="8" w:color="auto"/>
            </w:tcBorders>
          </w:tcPr>
          <w:p>
            <w:pPr>
              <w:jc w:val="right"/>
              <w:ind w:right="34"/>
              <w:spacing w:after="0" w:line="187" w:lineRule="exact"/>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tcPr>
          <w:p>
            <w:pPr>
              <w:jc w:val="right"/>
              <w:ind w:right="134"/>
              <w:spacing w:after="0" w:line="187" w:lineRule="exact"/>
              <w:rPr>
                <w:sz w:val="20"/>
                <w:szCs w:val="20"/>
                <w:color w:val="auto"/>
              </w:rPr>
            </w:pPr>
            <w:r>
              <w:rPr>
                <w:rFonts w:ascii="Arial" w:cs="Arial" w:eastAsia="Arial" w:hAnsi="Arial"/>
                <w:sz w:val="17"/>
                <w:szCs w:val="17"/>
                <w:color w:val="auto"/>
              </w:rPr>
              <w:t>58.1</w:t>
            </w:r>
          </w:p>
        </w:tc>
        <w:tc>
          <w:tcPr>
            <w:tcW w:w="1100" w:type="dxa"/>
            <w:vAlign w:val="bottom"/>
            <w:gridSpan w:val="2"/>
          </w:tcPr>
          <w:p>
            <w:pPr>
              <w:jc w:val="right"/>
              <w:ind w:right="94"/>
              <w:spacing w:after="0" w:line="187" w:lineRule="exact"/>
              <w:rPr>
                <w:sz w:val="20"/>
                <w:szCs w:val="20"/>
                <w:color w:val="auto"/>
              </w:rPr>
            </w:pPr>
            <w:r>
              <w:rPr>
                <w:rFonts w:ascii="Arial" w:cs="Arial" w:eastAsia="Arial" w:hAnsi="Arial"/>
                <w:sz w:val="17"/>
                <w:szCs w:val="17"/>
                <w:color w:val="auto"/>
              </w:rPr>
              <w:t>(82)</w:t>
            </w:r>
          </w:p>
        </w:tc>
        <w:tc>
          <w:tcPr>
            <w:tcW w:w="80" w:type="dxa"/>
            <w:vAlign w:val="bottom"/>
          </w:tcPr>
          <w:p>
            <w:pPr>
              <w:spacing w:after="0"/>
              <w:rPr>
                <w:sz w:val="16"/>
                <w:szCs w:val="16"/>
                <w:color w:val="auto"/>
              </w:rPr>
            </w:pPr>
          </w:p>
        </w:tc>
        <w:tc>
          <w:tcPr>
            <w:tcW w:w="240" w:type="dxa"/>
            <w:vAlign w:val="bottom"/>
            <w:tcBorders>
              <w:bottom w:val="single" w:sz="8" w:color="auto"/>
            </w:tcBorders>
          </w:tcPr>
          <w:p>
            <w:pPr>
              <w:jc w:val="right"/>
              <w:ind w:right="54"/>
              <w:spacing w:after="0" w:line="187" w:lineRule="exact"/>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tcPr>
          <w:p>
            <w:pPr>
              <w:jc w:val="right"/>
              <w:ind w:right="134"/>
              <w:spacing w:after="0" w:line="187" w:lineRule="exact"/>
              <w:rPr>
                <w:sz w:val="20"/>
                <w:szCs w:val="20"/>
                <w:color w:val="auto"/>
              </w:rPr>
            </w:pPr>
            <w:r>
              <w:rPr>
                <w:rFonts w:ascii="Arial" w:cs="Arial" w:eastAsia="Arial" w:hAnsi="Arial"/>
                <w:sz w:val="17"/>
                <w:szCs w:val="17"/>
                <w:color w:val="auto"/>
              </w:rPr>
              <w:t>68.4</w:t>
            </w:r>
          </w:p>
        </w:tc>
        <w:tc>
          <w:tcPr>
            <w:tcW w:w="100" w:type="dxa"/>
            <w:vAlign w:val="bottom"/>
          </w:tcPr>
          <w:p>
            <w:pPr>
              <w:spacing w:after="0"/>
              <w:rPr>
                <w:sz w:val="16"/>
                <w:szCs w:val="16"/>
                <w:color w:val="auto"/>
              </w:rPr>
            </w:pPr>
          </w:p>
        </w:tc>
        <w:tc>
          <w:tcPr>
            <w:tcW w:w="240" w:type="dxa"/>
            <w:vAlign w:val="bottom"/>
            <w:tcBorders>
              <w:bottom w:val="single" w:sz="8" w:color="auto"/>
            </w:tcBorders>
          </w:tcPr>
          <w:p>
            <w:pPr>
              <w:jc w:val="right"/>
              <w:ind w:right="54"/>
              <w:spacing w:after="0" w:line="187" w:lineRule="exact"/>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tcPr>
          <w:p>
            <w:pPr>
              <w:jc w:val="right"/>
              <w:ind w:right="134"/>
              <w:spacing w:after="0" w:line="187" w:lineRule="exact"/>
              <w:rPr>
                <w:sz w:val="20"/>
                <w:szCs w:val="20"/>
                <w:color w:val="auto"/>
              </w:rPr>
            </w:pPr>
            <w:r>
              <w:rPr>
                <w:rFonts w:ascii="Arial" w:cs="Arial" w:eastAsia="Arial" w:hAnsi="Arial"/>
                <w:sz w:val="17"/>
                <w:szCs w:val="17"/>
                <w:color w:val="auto"/>
              </w:rPr>
              <w:t>(1.8)</w:t>
            </w:r>
          </w:p>
        </w:tc>
        <w:tc>
          <w:tcPr>
            <w:tcW w:w="80" w:type="dxa"/>
            <w:vAlign w:val="bottom"/>
          </w:tcPr>
          <w:p>
            <w:pPr>
              <w:spacing w:after="0"/>
              <w:rPr>
                <w:sz w:val="16"/>
                <w:szCs w:val="16"/>
                <w:color w:val="auto"/>
              </w:rPr>
            </w:pPr>
          </w:p>
        </w:tc>
        <w:tc>
          <w:tcPr>
            <w:tcW w:w="1000" w:type="dxa"/>
            <w:vAlign w:val="bottom"/>
          </w:tcPr>
          <w:p>
            <w:pPr>
              <w:jc w:val="right"/>
              <w:spacing w:after="0" w:line="187" w:lineRule="exact"/>
              <w:rPr>
                <w:sz w:val="20"/>
                <w:szCs w:val="20"/>
                <w:color w:val="auto"/>
              </w:rPr>
            </w:pPr>
            <w:r>
              <w:rPr>
                <w:rFonts w:ascii="Arial" w:cs="Arial" w:eastAsia="Arial" w:hAnsi="Arial"/>
                <w:sz w:val="17"/>
                <w:szCs w:val="17"/>
                <w:color w:val="auto"/>
              </w:rPr>
              <w:t>n/m</w:t>
            </w:r>
          </w:p>
        </w:tc>
        <w:tc>
          <w:tcPr>
            <w:tcW w:w="0" w:type="dxa"/>
            <w:vAlign w:val="bottom"/>
          </w:tcPr>
          <w:p>
            <w:pPr>
              <w:spacing w:after="0"/>
              <w:rPr>
                <w:sz w:val="1"/>
                <w:szCs w:val="1"/>
                <w:color w:val="auto"/>
              </w:rPr>
            </w:pPr>
          </w:p>
        </w:tc>
      </w:tr>
      <w:tr>
        <w:trPr>
          <w:trHeight w:val="20"/>
        </w:trPr>
        <w:tc>
          <w:tcPr>
            <w:tcW w:w="32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32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20"/>
        </w:trPr>
        <w:tc>
          <w:tcPr>
            <w:tcW w:w="3280" w:type="dxa"/>
            <w:vAlign w:val="bottom"/>
          </w:tcPr>
          <w:p>
            <w:pPr>
              <w:ind w:left="20"/>
              <w:spacing w:after="0"/>
              <w:rPr>
                <w:sz w:val="20"/>
                <w:szCs w:val="20"/>
                <w:color w:val="auto"/>
              </w:rPr>
            </w:pPr>
            <w:r>
              <w:rPr>
                <w:rFonts w:ascii="Arial" w:cs="Arial" w:eastAsia="Arial" w:hAnsi="Arial"/>
                <w:sz w:val="17"/>
                <w:szCs w:val="17"/>
                <w:b w:val="1"/>
                <w:bCs w:val="1"/>
                <w:color w:val="auto"/>
                <w:w w:val="91"/>
              </w:rPr>
              <w:t>Segment income (loss) before income taxes</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2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Servicing</w:t>
            </w: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38.6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78.8</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117.4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5.9</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n/m</w:t>
            </w:r>
          </w:p>
        </w:tc>
        <w:tc>
          <w:tcPr>
            <w:tcW w:w="0" w:type="dxa"/>
            <w:vAlign w:val="bottom"/>
          </w:tcPr>
          <w:p>
            <w:pPr>
              <w:spacing w:after="0"/>
              <w:rPr>
                <w:sz w:val="1"/>
                <w:szCs w:val="1"/>
                <w:color w:val="auto"/>
              </w:rPr>
            </w:pPr>
          </w:p>
        </w:tc>
      </w:tr>
      <w:tr>
        <w:trPr>
          <w:trHeight w:val="220"/>
        </w:trPr>
        <w:tc>
          <w:tcPr>
            <w:tcW w:w="3280" w:type="dxa"/>
            <w:vAlign w:val="bottom"/>
          </w:tcPr>
          <w:p>
            <w:pPr>
              <w:ind w:left="140"/>
              <w:spacing w:after="0"/>
              <w:rPr>
                <w:sz w:val="20"/>
                <w:szCs w:val="20"/>
                <w:color w:val="auto"/>
              </w:rPr>
            </w:pPr>
            <w:r>
              <w:rPr>
                <w:rFonts w:ascii="Arial" w:cs="Arial" w:eastAsia="Arial" w:hAnsi="Arial"/>
                <w:sz w:val="17"/>
                <w:szCs w:val="17"/>
                <w:color w:val="auto"/>
              </w:rPr>
              <w:t>Originations</w:t>
            </w:r>
          </w:p>
        </w:tc>
        <w:tc>
          <w:tcPr>
            <w:tcW w:w="240" w:type="dxa"/>
            <w:vAlign w:val="bottom"/>
          </w:tcPr>
          <w:p>
            <w:pPr>
              <w:spacing w:after="0"/>
              <w:rPr>
                <w:sz w:val="19"/>
                <w:szCs w:val="19"/>
                <w:color w:val="auto"/>
              </w:rPr>
            </w:pPr>
          </w:p>
        </w:tc>
        <w:tc>
          <w:tcPr>
            <w:tcW w:w="1140" w:type="dxa"/>
            <w:vAlign w:val="bottom"/>
          </w:tcPr>
          <w:p>
            <w:pPr>
              <w:jc w:val="right"/>
              <w:ind w:right="134"/>
              <w:spacing w:after="0"/>
              <w:rPr>
                <w:sz w:val="20"/>
                <w:szCs w:val="20"/>
                <w:color w:val="auto"/>
              </w:rPr>
            </w:pPr>
            <w:r>
              <w:rPr>
                <w:rFonts w:ascii="Arial" w:cs="Arial" w:eastAsia="Arial" w:hAnsi="Arial"/>
                <w:sz w:val="17"/>
                <w:szCs w:val="17"/>
                <w:color w:val="auto"/>
              </w:rPr>
              <w:t>(1.8)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ind w:right="134"/>
              <w:spacing w:after="0"/>
              <w:rPr>
                <w:sz w:val="20"/>
                <w:szCs w:val="20"/>
                <w:color w:val="auto"/>
              </w:rPr>
            </w:pPr>
            <w:r>
              <w:rPr>
                <w:rFonts w:ascii="Arial" w:cs="Arial" w:eastAsia="Arial" w:hAnsi="Arial"/>
                <w:sz w:val="17"/>
                <w:szCs w:val="17"/>
                <w:color w:val="auto"/>
              </w:rPr>
              <w:t>(2.8)</w:t>
            </w:r>
          </w:p>
        </w:tc>
        <w:tc>
          <w:tcPr>
            <w:tcW w:w="1100" w:type="dxa"/>
            <w:vAlign w:val="bottom"/>
            <w:gridSpan w:val="2"/>
          </w:tcPr>
          <w:p>
            <w:pPr>
              <w:jc w:val="right"/>
              <w:ind w:right="94"/>
              <w:spacing w:after="0"/>
              <w:rPr>
                <w:sz w:val="20"/>
                <w:szCs w:val="20"/>
                <w:color w:val="auto"/>
              </w:rPr>
            </w:pPr>
            <w:r>
              <w:rPr>
                <w:rFonts w:ascii="Arial" w:cs="Arial" w:eastAsia="Arial" w:hAnsi="Arial"/>
                <w:sz w:val="17"/>
                <w:szCs w:val="17"/>
                <w:color w:val="auto"/>
              </w:rPr>
              <w:t>(35)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ind w:right="134"/>
              <w:spacing w:after="0"/>
              <w:rPr>
                <w:sz w:val="20"/>
                <w:szCs w:val="20"/>
                <w:color w:val="auto"/>
              </w:rPr>
            </w:pPr>
            <w:r>
              <w:rPr>
                <w:rFonts w:ascii="Arial" w:cs="Arial" w:eastAsia="Arial" w:hAnsi="Arial"/>
                <w:sz w:val="17"/>
                <w:szCs w:val="17"/>
                <w:color w:val="auto"/>
              </w:rPr>
              <w:t>(4.7)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ind w:right="134"/>
              <w:spacing w:after="0"/>
              <w:rPr>
                <w:sz w:val="20"/>
                <w:szCs w:val="20"/>
                <w:color w:val="auto"/>
              </w:rPr>
            </w:pPr>
            <w:r>
              <w:rPr>
                <w:rFonts w:ascii="Arial" w:cs="Arial" w:eastAsia="Arial" w:hAnsi="Arial"/>
                <w:sz w:val="17"/>
                <w:szCs w:val="17"/>
                <w:color w:val="auto"/>
              </w:rPr>
              <w:t>58.1</w:t>
            </w:r>
          </w:p>
        </w:tc>
        <w:tc>
          <w:tcPr>
            <w:tcW w:w="1080" w:type="dxa"/>
            <w:vAlign w:val="bottom"/>
            <w:gridSpan w:val="2"/>
          </w:tcPr>
          <w:p>
            <w:pPr>
              <w:jc w:val="right"/>
              <w:ind w:right="74"/>
              <w:spacing w:after="0"/>
              <w:rPr>
                <w:sz w:val="20"/>
                <w:szCs w:val="20"/>
                <w:color w:val="auto"/>
              </w:rPr>
            </w:pPr>
            <w:r>
              <w:rPr>
                <w:rFonts w:ascii="Arial" w:cs="Arial" w:eastAsia="Arial" w:hAnsi="Arial"/>
                <w:sz w:val="17"/>
                <w:szCs w:val="17"/>
                <w:color w:val="auto"/>
              </w:rPr>
              <w:t>(108)</w:t>
            </w:r>
          </w:p>
        </w:tc>
        <w:tc>
          <w:tcPr>
            <w:tcW w:w="0" w:type="dxa"/>
            <w:vAlign w:val="bottom"/>
          </w:tcPr>
          <w:p>
            <w:pPr>
              <w:spacing w:after="0"/>
              <w:rPr>
                <w:sz w:val="1"/>
                <w:szCs w:val="1"/>
                <w:color w:val="auto"/>
              </w:rPr>
            </w:pPr>
          </w:p>
        </w:tc>
      </w:tr>
      <w:tr>
        <w:trPr>
          <w:trHeight w:val="220"/>
        </w:trPr>
        <w:tc>
          <w:tcPr>
            <w:tcW w:w="32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Corporate Items and Other</w:t>
            </w: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(27.3)</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(14.6)</w:t>
            </w:r>
          </w:p>
        </w:tc>
        <w:tc>
          <w:tcPr>
            <w:tcW w:w="1100" w:type="dxa"/>
            <w:vAlign w:val="bottom"/>
            <w:gridSpan w:val="2"/>
            <w:shd w:val="clear" w:color="auto" w:fill="CCEEFF"/>
          </w:tcPr>
          <w:p>
            <w:pPr>
              <w:jc w:val="right"/>
              <w:ind w:right="134"/>
              <w:spacing w:after="0"/>
              <w:rPr>
                <w:sz w:val="20"/>
                <w:szCs w:val="20"/>
                <w:color w:val="auto"/>
              </w:rPr>
            </w:pPr>
            <w:r>
              <w:rPr>
                <w:rFonts w:ascii="Arial" w:cs="Arial" w:eastAsia="Arial" w:hAnsi="Arial"/>
                <w:sz w:val="17"/>
                <w:szCs w:val="17"/>
                <w:color w:val="auto"/>
              </w:rPr>
              <w:t>86</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(41.9)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(74.6)</w:t>
            </w:r>
          </w:p>
        </w:tc>
        <w:tc>
          <w:tcPr>
            <w:tcW w:w="108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(44)</w:t>
            </w:r>
          </w:p>
        </w:tc>
        <w:tc>
          <w:tcPr>
            <w:tcW w:w="0" w:type="dxa"/>
            <w:vAlign w:val="bottom"/>
          </w:tcPr>
          <w:p>
            <w:pPr>
              <w:spacing w:after="0"/>
              <w:rPr>
                <w:sz w:val="1"/>
                <w:szCs w:val="1"/>
                <w:color w:val="auto"/>
              </w:rPr>
            </w:pPr>
          </w:p>
        </w:tc>
      </w:tr>
      <w:tr>
        <w:trPr>
          <w:trHeight w:val="213"/>
        </w:trPr>
        <w:tc>
          <w:tcPr>
            <w:tcW w:w="3280" w:type="dxa"/>
            <w:vAlign w:val="bottom"/>
          </w:tcPr>
          <w:p>
            <w:pPr>
              <w:spacing w:after="0"/>
              <w:rPr>
                <w:sz w:val="18"/>
                <w:szCs w:val="18"/>
                <w:color w:val="auto"/>
              </w:rPr>
            </w:pPr>
          </w:p>
        </w:tc>
        <w:tc>
          <w:tcPr>
            <w:tcW w:w="2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9.4</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61.3</w:t>
            </w:r>
          </w:p>
        </w:tc>
        <w:tc>
          <w:tcPr>
            <w:tcW w:w="1100" w:type="dxa"/>
            <w:vAlign w:val="bottom"/>
            <w:gridSpan w:val="2"/>
          </w:tcPr>
          <w:p>
            <w:pPr>
              <w:jc w:val="center"/>
              <w:ind w:left="14"/>
              <w:spacing w:after="0"/>
              <w:rPr>
                <w:sz w:val="20"/>
                <w:szCs w:val="20"/>
                <w:color w:val="auto"/>
              </w:rPr>
            </w:pPr>
            <w:r>
              <w:rPr>
                <w:rFonts w:ascii="Arial" w:cs="Arial" w:eastAsia="Arial" w:hAnsi="Arial"/>
                <w:sz w:val="17"/>
                <w:szCs w:val="17"/>
                <w:color w:val="auto"/>
                <w:w w:val="96"/>
              </w:rPr>
              <w:t>(85)%</w:t>
            </w: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70.8</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(10.6)</w:t>
            </w:r>
          </w:p>
        </w:tc>
        <w:tc>
          <w:tcPr>
            <w:tcW w:w="1080" w:type="dxa"/>
            <w:vAlign w:val="bottom"/>
            <w:gridSpan w:val="2"/>
          </w:tcPr>
          <w:p>
            <w:pPr>
              <w:jc w:val="right"/>
              <w:ind w:right="74"/>
              <w:spacing w:after="0"/>
              <w:rPr>
                <w:sz w:val="20"/>
                <w:szCs w:val="20"/>
                <w:color w:val="auto"/>
              </w:rPr>
            </w:pPr>
            <w:r>
              <w:rPr>
                <w:rFonts w:ascii="Arial" w:cs="Arial" w:eastAsia="Arial" w:hAnsi="Arial"/>
                <w:sz w:val="17"/>
                <w:szCs w:val="17"/>
                <w:color w:val="auto"/>
              </w:rPr>
              <w:t>(768)</w:t>
            </w:r>
          </w:p>
        </w:tc>
        <w:tc>
          <w:tcPr>
            <w:tcW w:w="0" w:type="dxa"/>
            <w:vAlign w:val="bottom"/>
          </w:tcPr>
          <w:p>
            <w:pPr>
              <w:spacing w:after="0"/>
              <w:rPr>
                <w:sz w:val="1"/>
                <w:szCs w:val="1"/>
                <w:color w:val="auto"/>
              </w:rPr>
            </w:pPr>
          </w:p>
        </w:tc>
      </w:tr>
      <w:tr>
        <w:trPr>
          <w:trHeight w:val="20"/>
        </w:trPr>
        <w:tc>
          <w:tcPr>
            <w:tcW w:w="3280" w:type="dxa"/>
            <w:vAlign w:val="bottom"/>
            <w:vMerge w:val="restart"/>
          </w:tcPr>
          <w:p>
            <w:pPr>
              <w:ind w:left="20"/>
              <w:spacing w:after="0"/>
              <w:rPr>
                <w:sz w:val="20"/>
                <w:szCs w:val="20"/>
                <w:color w:val="auto"/>
              </w:rPr>
            </w:pPr>
            <w:r>
              <w:rPr>
                <w:rFonts w:ascii="Arial" w:cs="Arial" w:eastAsia="Arial" w:hAnsi="Arial"/>
                <w:sz w:val="17"/>
                <w:szCs w:val="17"/>
                <w:color w:val="auto"/>
              </w:rPr>
              <w:t>n/m: not meaningful</w:t>
            </w: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32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vMerge w:val="restart"/>
          </w:tcPr>
          <w:p>
            <w:pPr>
              <w:jc w:val="right"/>
              <w:ind w:right="314"/>
              <w:spacing w:after="0"/>
              <w:rPr>
                <w:sz w:val="20"/>
                <w:szCs w:val="20"/>
                <w:color w:val="auto"/>
              </w:rPr>
            </w:pPr>
            <w:r>
              <w:rPr>
                <w:rFonts w:ascii="Arial" w:cs="Arial" w:eastAsia="Arial" w:hAnsi="Arial"/>
                <w:sz w:val="17"/>
                <w:szCs w:val="17"/>
                <w:color w:val="auto"/>
              </w:rPr>
              <w:t>59</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30"/>
        </w:trPr>
        <w:tc>
          <w:tcPr>
            <w:tcW w:w="3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32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13" w:right="33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219"/>
        </w:trPr>
        <w:tc>
          <w:tcPr>
            <w:tcW w:w="3200" w:type="dxa"/>
            <w:vAlign w:val="bottom"/>
          </w:tcPr>
          <w:p>
            <w:pPr>
              <w:spacing w:after="0"/>
              <w:rPr>
                <w:sz w:val="20"/>
                <w:szCs w:val="20"/>
                <w:color w:val="auto"/>
              </w:rPr>
            </w:pPr>
            <w:r>
              <w:rPr>
                <w:rFonts w:ascii="Arial" w:cs="Arial" w:eastAsia="Arial" w:hAnsi="Arial"/>
                <w:sz w:val="17"/>
                <w:szCs w:val="17"/>
                <w:b w:val="1"/>
                <w:bCs w:val="1"/>
                <w:i w:val="1"/>
                <w:iCs w:val="1"/>
                <w:color w:val="auto"/>
              </w:rPr>
              <w:t>Total Revenue</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310"/>
        </w:trPr>
        <w:tc>
          <w:tcPr>
            <w:tcW w:w="6060" w:type="dxa"/>
            <w:vAlign w:val="bottom"/>
            <w:gridSpan w:val="6"/>
          </w:tcPr>
          <w:p>
            <w:pPr>
              <w:jc w:val="right"/>
              <w:ind w:right="434"/>
              <w:spacing w:after="0"/>
              <w:rPr>
                <w:sz w:val="20"/>
                <w:szCs w:val="20"/>
                <w:color w:val="auto"/>
              </w:rPr>
            </w:pPr>
            <w:r>
              <w:rPr>
                <w:rFonts w:ascii="Arial" w:cs="Arial" w:eastAsia="Arial" w:hAnsi="Arial"/>
                <w:sz w:val="17"/>
                <w:szCs w:val="17"/>
                <w:color w:val="auto"/>
                <w:w w:val="90"/>
              </w:rPr>
              <w:t>The below table presents total revenue by segment and at the consolidated level:</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74"/>
        </w:trPr>
        <w:tc>
          <w:tcPr>
            <w:tcW w:w="32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4"/>
          </w:tcPr>
          <w:p>
            <w:pPr>
              <w:jc w:val="right"/>
              <w:ind w:right="554"/>
              <w:spacing w:after="0"/>
              <w:rPr>
                <w:sz w:val="20"/>
                <w:szCs w:val="20"/>
                <w:color w:val="auto"/>
              </w:rPr>
            </w:pPr>
            <w:r>
              <w:rPr>
                <w:rFonts w:ascii="Arial" w:cs="Arial" w:eastAsia="Arial" w:hAnsi="Arial"/>
                <w:sz w:val="17"/>
                <w:szCs w:val="17"/>
                <w:b w:val="1"/>
                <w:bCs w:val="1"/>
                <w:color w:val="auto"/>
              </w:rPr>
              <w:t>Three Months Ended</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4"/>
          </w:tcPr>
          <w:p>
            <w:pPr>
              <w:jc w:val="right"/>
              <w:ind w:right="674"/>
              <w:spacing w:after="0"/>
              <w:rPr>
                <w:sz w:val="20"/>
                <w:szCs w:val="20"/>
                <w:color w:val="auto"/>
              </w:rPr>
            </w:pPr>
            <w:r>
              <w:rPr>
                <w:rFonts w:ascii="Arial" w:cs="Arial" w:eastAsia="Arial" w:hAnsi="Arial"/>
                <w:sz w:val="17"/>
                <w:szCs w:val="17"/>
                <w:b w:val="1"/>
                <w:bCs w:val="1"/>
                <w:color w:val="auto"/>
              </w:rPr>
              <w:t>Six Months Ended</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26"/>
        </w:trPr>
        <w:tc>
          <w:tcPr>
            <w:tcW w:w="3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2"/>
          </w:tcPr>
          <w:p>
            <w:pPr>
              <w:ind w:left="140"/>
              <w:spacing w:after="0"/>
              <w:rPr>
                <w:sz w:val="20"/>
                <w:szCs w:val="20"/>
                <w:color w:val="auto"/>
              </w:rPr>
            </w:pPr>
            <w:r>
              <w:rPr>
                <w:rFonts w:ascii="Arial" w:cs="Arial" w:eastAsia="Arial" w:hAnsi="Arial"/>
                <w:sz w:val="17"/>
                <w:szCs w:val="17"/>
                <w:b w:val="1"/>
                <w:bCs w:val="1"/>
                <w:color w:val="auto"/>
              </w:rPr>
              <w:t>June 30,</w:t>
            </w:r>
          </w:p>
        </w:tc>
        <w:tc>
          <w:tcPr>
            <w:tcW w:w="220" w:type="dxa"/>
            <w:vAlign w:val="bottom"/>
          </w:tcPr>
          <w:p>
            <w:pPr>
              <w:spacing w:after="0"/>
              <w:rPr>
                <w:sz w:val="19"/>
                <w:szCs w:val="19"/>
                <w:color w:val="auto"/>
              </w:rPr>
            </w:pPr>
          </w:p>
        </w:tc>
        <w:tc>
          <w:tcPr>
            <w:tcW w:w="1160" w:type="dxa"/>
            <w:vAlign w:val="bottom"/>
          </w:tcPr>
          <w:p>
            <w:pPr>
              <w:jc w:val="right"/>
              <w:ind w:right="254"/>
              <w:spacing w:after="0"/>
              <w:rPr>
                <w:sz w:val="20"/>
                <w:szCs w:val="20"/>
                <w:color w:val="auto"/>
              </w:rPr>
            </w:pPr>
            <w:r>
              <w:rPr>
                <w:rFonts w:ascii="Arial" w:cs="Arial" w:eastAsia="Arial" w:hAnsi="Arial"/>
                <w:sz w:val="17"/>
                <w:szCs w:val="17"/>
                <w:b w:val="1"/>
                <w:bCs w:val="1"/>
                <w:color w:val="auto"/>
              </w:rPr>
              <w:t>March 31</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gridSpan w:val="2"/>
          </w:tcPr>
          <w:p>
            <w:pPr>
              <w:ind w:left="140"/>
              <w:spacing w:after="0"/>
              <w:rPr>
                <w:sz w:val="20"/>
                <w:szCs w:val="20"/>
                <w:color w:val="auto"/>
              </w:rPr>
            </w:pPr>
            <w:r>
              <w:rPr>
                <w:rFonts w:ascii="Arial" w:cs="Arial" w:eastAsia="Arial" w:hAnsi="Arial"/>
                <w:sz w:val="17"/>
                <w:szCs w:val="17"/>
                <w:b w:val="1"/>
                <w:bCs w:val="1"/>
                <w:color w:val="auto"/>
              </w:rPr>
              <w:t>June 30,</w:t>
            </w:r>
          </w:p>
        </w:tc>
        <w:tc>
          <w:tcPr>
            <w:tcW w:w="240" w:type="dxa"/>
            <w:vAlign w:val="bottom"/>
          </w:tcPr>
          <w:p>
            <w:pPr>
              <w:spacing w:after="0"/>
              <w:rPr>
                <w:sz w:val="19"/>
                <w:szCs w:val="19"/>
                <w:color w:val="auto"/>
              </w:rPr>
            </w:pPr>
          </w:p>
        </w:tc>
        <w:tc>
          <w:tcPr>
            <w:tcW w:w="1140" w:type="dxa"/>
            <w:vAlign w:val="bottom"/>
          </w:tcPr>
          <w:p>
            <w:pPr>
              <w:jc w:val="right"/>
              <w:ind w:right="294"/>
              <w:spacing w:after="0"/>
              <w:rPr>
                <w:sz w:val="20"/>
                <w:szCs w:val="20"/>
                <w:color w:val="auto"/>
              </w:rPr>
            </w:pPr>
            <w:r>
              <w:rPr>
                <w:rFonts w:ascii="Arial" w:cs="Arial" w:eastAsia="Arial" w:hAnsi="Arial"/>
                <w:sz w:val="17"/>
                <w:szCs w:val="17"/>
                <w:b w:val="1"/>
                <w:bCs w:val="1"/>
                <w:color w:val="auto"/>
              </w:rPr>
              <w:t>June 30,</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45"/>
        </w:trPr>
        <w:tc>
          <w:tcPr>
            <w:tcW w:w="3200" w:type="dxa"/>
            <w:vAlign w:val="bottom"/>
            <w:tcBorders>
              <w:bottom w:val="single" w:sz="8" w:color="CCEEFF"/>
            </w:tcBorders>
          </w:tcPr>
          <w:p>
            <w:pPr>
              <w:ind w:left="20"/>
              <w:spacing w:after="0"/>
              <w:rPr>
                <w:sz w:val="20"/>
                <w:szCs w:val="20"/>
                <w:color w:val="auto"/>
              </w:rPr>
            </w:pPr>
            <w:r>
              <w:rPr>
                <w:rFonts w:ascii="Arial" w:cs="Arial" w:eastAsia="Arial" w:hAnsi="Arial"/>
                <w:sz w:val="17"/>
                <w:szCs w:val="17"/>
                <w:b w:val="1"/>
                <w:bCs w:val="1"/>
                <w:color w:val="auto"/>
              </w:rPr>
              <w:t>Revenue</w:t>
            </w: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34"/>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34"/>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bottom w:val="single" w:sz="8" w:color="CCEEFF"/>
            </w:tcBorders>
          </w:tcPr>
          <w:p>
            <w:pPr>
              <w:spacing w:after="0"/>
              <w:rPr>
                <w:sz w:val="21"/>
                <w:szCs w:val="21"/>
                <w:color w:val="auto"/>
              </w:rPr>
            </w:pPr>
          </w:p>
        </w:tc>
        <w:tc>
          <w:tcPr>
            <w:tcW w:w="98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b w:val="1"/>
                <w:bCs w:val="1"/>
                <w:color w:val="auto"/>
              </w:rPr>
              <w:t>% Change</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34"/>
              <w:spacing w:after="0"/>
              <w:rPr>
                <w:sz w:val="20"/>
                <w:szCs w:val="20"/>
                <w:color w:val="auto"/>
              </w:rPr>
            </w:pPr>
            <w:r>
              <w:rPr>
                <w:rFonts w:ascii="Arial" w:cs="Arial" w:eastAsia="Arial" w:hAnsi="Arial"/>
                <w:sz w:val="17"/>
                <w:szCs w:val="17"/>
                <w:b w:val="1"/>
                <w:bCs w:val="1"/>
                <w:color w:val="auto"/>
              </w:rPr>
              <w:t>2022</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34"/>
              <w:spacing w:after="0"/>
              <w:rPr>
                <w:sz w:val="20"/>
                <w:szCs w:val="20"/>
                <w:color w:val="auto"/>
              </w:rPr>
            </w:pPr>
            <w:r>
              <w:rPr>
                <w:rFonts w:ascii="Arial" w:cs="Arial" w:eastAsia="Arial" w:hAnsi="Arial"/>
                <w:sz w:val="17"/>
                <w:szCs w:val="17"/>
                <w:b w:val="1"/>
                <w:bCs w:val="1"/>
                <w:color w:val="auto"/>
              </w:rPr>
              <w:t>2021</w:t>
            </w:r>
          </w:p>
        </w:tc>
        <w:tc>
          <w:tcPr>
            <w:tcW w:w="100" w:type="dxa"/>
            <w:vAlign w:val="bottom"/>
            <w:tcBorders>
              <w:bottom w:val="single" w:sz="8" w:color="CCEEFF"/>
            </w:tcBorders>
          </w:tcPr>
          <w:p>
            <w:pPr>
              <w:spacing w:after="0"/>
              <w:rPr>
                <w:sz w:val="21"/>
                <w:szCs w:val="21"/>
                <w:color w:val="auto"/>
              </w:rPr>
            </w:pPr>
          </w:p>
        </w:tc>
        <w:tc>
          <w:tcPr>
            <w:tcW w:w="10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b w:val="1"/>
                <w:bCs w:val="1"/>
                <w:color w:val="auto"/>
              </w:rPr>
              <w:t>% Change</w:t>
            </w:r>
          </w:p>
        </w:tc>
      </w:tr>
      <w:tr>
        <w:trPr>
          <w:trHeight w:val="213"/>
        </w:trPr>
        <w:tc>
          <w:tcPr>
            <w:tcW w:w="32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Servicing</w:t>
            </w: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184.4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198.0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382.4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372.7</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3 %</w:t>
            </w:r>
          </w:p>
        </w:tc>
      </w:tr>
      <w:tr>
        <w:trPr>
          <w:trHeight w:val="220"/>
        </w:trPr>
        <w:tc>
          <w:tcPr>
            <w:tcW w:w="3200" w:type="dxa"/>
            <w:vAlign w:val="bottom"/>
          </w:tcPr>
          <w:p>
            <w:pPr>
              <w:ind w:left="140"/>
              <w:spacing w:after="0"/>
              <w:rPr>
                <w:sz w:val="20"/>
                <w:szCs w:val="20"/>
                <w:color w:val="auto"/>
              </w:rPr>
            </w:pPr>
            <w:r>
              <w:rPr>
                <w:rFonts w:ascii="Arial" w:cs="Arial" w:eastAsia="Arial" w:hAnsi="Arial"/>
                <w:sz w:val="17"/>
                <w:szCs w:val="17"/>
                <w:color w:val="auto"/>
              </w:rPr>
              <w:t>Originations</w:t>
            </w:r>
          </w:p>
        </w:tc>
        <w:tc>
          <w:tcPr>
            <w:tcW w:w="240" w:type="dxa"/>
            <w:vAlign w:val="bottom"/>
          </w:tcPr>
          <w:p>
            <w:pPr>
              <w:spacing w:after="0"/>
              <w:rPr>
                <w:sz w:val="19"/>
                <w:szCs w:val="19"/>
                <w:color w:val="auto"/>
              </w:rPr>
            </w:pPr>
          </w:p>
        </w:tc>
        <w:tc>
          <w:tcPr>
            <w:tcW w:w="1140" w:type="dxa"/>
            <w:vAlign w:val="bottom"/>
          </w:tcPr>
          <w:p>
            <w:pPr>
              <w:jc w:val="right"/>
              <w:ind w:right="134"/>
              <w:spacing w:after="0"/>
              <w:rPr>
                <w:sz w:val="20"/>
                <w:szCs w:val="20"/>
                <w:color w:val="auto"/>
              </w:rPr>
            </w:pPr>
            <w:r>
              <w:rPr>
                <w:rFonts w:ascii="Arial" w:cs="Arial" w:eastAsia="Arial" w:hAnsi="Arial"/>
                <w:sz w:val="17"/>
                <w:szCs w:val="17"/>
                <w:color w:val="auto"/>
              </w:rPr>
              <w:t>36.3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ind w:right="134"/>
              <w:spacing w:after="0"/>
              <w:rPr>
                <w:sz w:val="20"/>
                <w:szCs w:val="20"/>
                <w:color w:val="auto"/>
              </w:rPr>
            </w:pPr>
            <w:r>
              <w:rPr>
                <w:rFonts w:ascii="Arial" w:cs="Arial" w:eastAsia="Arial" w:hAnsi="Arial"/>
                <w:sz w:val="17"/>
                <w:szCs w:val="17"/>
                <w:color w:val="auto"/>
              </w:rPr>
              <w:t>45.0</w:t>
            </w:r>
          </w:p>
        </w:tc>
        <w:tc>
          <w:tcPr>
            <w:tcW w:w="1080" w:type="dxa"/>
            <w:vAlign w:val="bottom"/>
            <w:gridSpan w:val="2"/>
          </w:tcPr>
          <w:p>
            <w:pPr>
              <w:jc w:val="right"/>
              <w:ind w:right="74"/>
              <w:spacing w:after="0"/>
              <w:rPr>
                <w:sz w:val="20"/>
                <w:szCs w:val="20"/>
                <w:color w:val="auto"/>
              </w:rPr>
            </w:pPr>
            <w:r>
              <w:rPr>
                <w:rFonts w:ascii="Arial" w:cs="Arial" w:eastAsia="Arial" w:hAnsi="Arial"/>
                <w:sz w:val="17"/>
                <w:szCs w:val="17"/>
                <w:color w:val="auto"/>
              </w:rPr>
              <w:t>(19)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ind w:right="134"/>
              <w:spacing w:after="0"/>
              <w:rPr>
                <w:sz w:val="20"/>
                <w:szCs w:val="20"/>
                <w:color w:val="auto"/>
              </w:rPr>
            </w:pPr>
            <w:r>
              <w:rPr>
                <w:rFonts w:ascii="Arial" w:cs="Arial" w:eastAsia="Arial" w:hAnsi="Arial"/>
                <w:sz w:val="17"/>
                <w:szCs w:val="17"/>
                <w:color w:val="auto"/>
              </w:rPr>
              <w:t>81.3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ind w:right="134"/>
              <w:spacing w:after="0"/>
              <w:rPr>
                <w:sz w:val="20"/>
                <w:szCs w:val="20"/>
                <w:color w:val="auto"/>
              </w:rPr>
            </w:pPr>
            <w:r>
              <w:rPr>
                <w:rFonts w:ascii="Arial" w:cs="Arial" w:eastAsia="Arial" w:hAnsi="Arial"/>
                <w:sz w:val="17"/>
                <w:szCs w:val="17"/>
                <w:color w:val="auto"/>
              </w:rPr>
              <w:t>121.7</w:t>
            </w:r>
          </w:p>
        </w:tc>
        <w:tc>
          <w:tcPr>
            <w:tcW w:w="1100" w:type="dxa"/>
            <w:vAlign w:val="bottom"/>
            <w:gridSpan w:val="2"/>
          </w:tcPr>
          <w:p>
            <w:pPr>
              <w:jc w:val="right"/>
              <w:ind w:right="74"/>
              <w:spacing w:after="0"/>
              <w:rPr>
                <w:sz w:val="20"/>
                <w:szCs w:val="20"/>
                <w:color w:val="auto"/>
              </w:rPr>
            </w:pPr>
            <w:r>
              <w:rPr>
                <w:rFonts w:ascii="Arial" w:cs="Arial" w:eastAsia="Arial" w:hAnsi="Arial"/>
                <w:sz w:val="17"/>
                <w:szCs w:val="17"/>
                <w:color w:val="auto"/>
              </w:rPr>
              <w:t>(33)</w:t>
            </w:r>
          </w:p>
        </w:tc>
      </w:tr>
      <w:tr>
        <w:trPr>
          <w:trHeight w:val="220"/>
        </w:trPr>
        <w:tc>
          <w:tcPr>
            <w:tcW w:w="32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Corporate</w:t>
            </w: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1.6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1.8</w:t>
            </w:r>
          </w:p>
        </w:tc>
        <w:tc>
          <w:tcPr>
            <w:tcW w:w="108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(10)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3.4</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2.8</w:t>
            </w:r>
          </w:p>
        </w:tc>
        <w:tc>
          <w:tcPr>
            <w:tcW w:w="1100" w:type="dxa"/>
            <w:vAlign w:val="bottom"/>
            <w:gridSpan w:val="2"/>
            <w:shd w:val="clear" w:color="auto" w:fill="CCEEFF"/>
          </w:tcPr>
          <w:p>
            <w:pPr>
              <w:jc w:val="right"/>
              <w:ind w:right="114"/>
              <w:spacing w:after="0"/>
              <w:rPr>
                <w:sz w:val="20"/>
                <w:szCs w:val="20"/>
                <w:color w:val="auto"/>
              </w:rPr>
            </w:pPr>
            <w:r>
              <w:rPr>
                <w:rFonts w:ascii="Arial" w:cs="Arial" w:eastAsia="Arial" w:hAnsi="Arial"/>
                <w:sz w:val="17"/>
                <w:szCs w:val="17"/>
                <w:color w:val="auto"/>
              </w:rPr>
              <w:t>23</w:t>
            </w:r>
          </w:p>
        </w:tc>
      </w:tr>
      <w:tr>
        <w:trPr>
          <w:trHeight w:val="213"/>
        </w:trPr>
        <w:tc>
          <w:tcPr>
            <w:tcW w:w="3200" w:type="dxa"/>
            <w:vAlign w:val="bottom"/>
          </w:tcPr>
          <w:p>
            <w:pPr>
              <w:ind w:left="140"/>
              <w:spacing w:after="0"/>
              <w:rPr>
                <w:sz w:val="20"/>
                <w:szCs w:val="20"/>
                <w:color w:val="auto"/>
              </w:rPr>
            </w:pPr>
            <w:r>
              <w:rPr>
                <w:rFonts w:ascii="Arial" w:cs="Arial" w:eastAsia="Arial" w:hAnsi="Arial"/>
                <w:sz w:val="17"/>
                <w:szCs w:val="17"/>
                <w:b w:val="1"/>
                <w:bCs w:val="1"/>
                <w:color w:val="auto"/>
              </w:rPr>
              <w:t>Total segment revenue</w:t>
            </w:r>
          </w:p>
        </w:tc>
        <w:tc>
          <w:tcPr>
            <w:tcW w:w="240" w:type="dxa"/>
            <w:vAlign w:val="bottom"/>
          </w:tcPr>
          <w:p>
            <w:pPr>
              <w:spacing w:after="0"/>
              <w:rPr>
                <w:sz w:val="18"/>
                <w:szCs w:val="18"/>
                <w:color w:val="auto"/>
              </w:rPr>
            </w:pPr>
          </w:p>
        </w:tc>
        <w:tc>
          <w:tcPr>
            <w:tcW w:w="1140" w:type="dxa"/>
            <w:vAlign w:val="bottom"/>
          </w:tcPr>
          <w:p>
            <w:pPr>
              <w:jc w:val="right"/>
              <w:ind w:right="134"/>
              <w:spacing w:after="0"/>
              <w:rPr>
                <w:sz w:val="20"/>
                <w:szCs w:val="20"/>
                <w:color w:val="auto"/>
              </w:rPr>
            </w:pPr>
            <w:r>
              <w:rPr>
                <w:rFonts w:ascii="Arial" w:cs="Arial" w:eastAsia="Arial" w:hAnsi="Arial"/>
                <w:sz w:val="17"/>
                <w:szCs w:val="17"/>
                <w:b w:val="1"/>
                <w:bCs w:val="1"/>
                <w:color w:val="auto"/>
              </w:rPr>
              <w:t>222.3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ind w:right="134"/>
              <w:spacing w:after="0"/>
              <w:rPr>
                <w:sz w:val="20"/>
                <w:szCs w:val="20"/>
                <w:color w:val="auto"/>
              </w:rPr>
            </w:pPr>
            <w:r>
              <w:rPr>
                <w:rFonts w:ascii="Arial" w:cs="Arial" w:eastAsia="Arial" w:hAnsi="Arial"/>
                <w:sz w:val="17"/>
                <w:szCs w:val="17"/>
                <w:b w:val="1"/>
                <w:bCs w:val="1"/>
                <w:color w:val="auto"/>
              </w:rPr>
              <w:t>244.8</w:t>
            </w:r>
          </w:p>
        </w:tc>
        <w:tc>
          <w:tcPr>
            <w:tcW w:w="1080" w:type="dxa"/>
            <w:vAlign w:val="bottom"/>
            <w:gridSpan w:val="2"/>
          </w:tcPr>
          <w:p>
            <w:pPr>
              <w:jc w:val="right"/>
              <w:ind w:right="74"/>
              <w:spacing w:after="0"/>
              <w:rPr>
                <w:sz w:val="20"/>
                <w:szCs w:val="20"/>
                <w:color w:val="auto"/>
              </w:rPr>
            </w:pPr>
            <w:r>
              <w:rPr>
                <w:rFonts w:ascii="Arial" w:cs="Arial" w:eastAsia="Arial" w:hAnsi="Arial"/>
                <w:sz w:val="16"/>
                <w:szCs w:val="16"/>
                <w:b w:val="1"/>
                <w:bCs w:val="1"/>
                <w:color w:val="auto"/>
              </w:rPr>
              <w:t>(9)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ind w:right="134"/>
              <w:spacing w:after="0"/>
              <w:rPr>
                <w:sz w:val="20"/>
                <w:szCs w:val="20"/>
                <w:color w:val="auto"/>
              </w:rPr>
            </w:pPr>
            <w:r>
              <w:rPr>
                <w:rFonts w:ascii="Arial" w:cs="Arial" w:eastAsia="Arial" w:hAnsi="Arial"/>
                <w:sz w:val="17"/>
                <w:szCs w:val="17"/>
                <w:b w:val="1"/>
                <w:bCs w:val="1"/>
                <w:color w:val="auto"/>
              </w:rPr>
              <w:t>467.1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ind w:right="134"/>
              <w:spacing w:after="0"/>
              <w:rPr>
                <w:sz w:val="20"/>
                <w:szCs w:val="20"/>
                <w:color w:val="auto"/>
              </w:rPr>
            </w:pPr>
            <w:r>
              <w:rPr>
                <w:rFonts w:ascii="Arial" w:cs="Arial" w:eastAsia="Arial" w:hAnsi="Arial"/>
                <w:sz w:val="17"/>
                <w:szCs w:val="17"/>
                <w:b w:val="1"/>
                <w:bCs w:val="1"/>
                <w:color w:val="auto"/>
              </w:rPr>
              <w:t>497.1</w:t>
            </w:r>
          </w:p>
        </w:tc>
        <w:tc>
          <w:tcPr>
            <w:tcW w:w="1100" w:type="dxa"/>
            <w:vAlign w:val="bottom"/>
            <w:gridSpan w:val="2"/>
          </w:tcPr>
          <w:p>
            <w:pPr>
              <w:jc w:val="right"/>
              <w:ind w:right="74"/>
              <w:spacing w:after="0"/>
              <w:rPr>
                <w:sz w:val="20"/>
                <w:szCs w:val="20"/>
                <w:color w:val="auto"/>
              </w:rPr>
            </w:pPr>
            <w:r>
              <w:rPr>
                <w:rFonts w:ascii="Arial" w:cs="Arial" w:eastAsia="Arial" w:hAnsi="Arial"/>
                <w:sz w:val="17"/>
                <w:szCs w:val="17"/>
                <w:b w:val="1"/>
                <w:bCs w:val="1"/>
                <w:color w:val="auto"/>
              </w:rPr>
              <w:t>(6)</w:t>
            </w:r>
          </w:p>
        </w:tc>
      </w:tr>
      <w:tr>
        <w:trPr>
          <w:trHeight w:val="220"/>
        </w:trPr>
        <w:tc>
          <w:tcPr>
            <w:tcW w:w="32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Inter-segment elimination (1)</w:t>
            </w: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(0.1)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(13.3)</w:t>
            </w:r>
          </w:p>
        </w:tc>
        <w:tc>
          <w:tcPr>
            <w:tcW w:w="108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(99)</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(13.4)</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(24.1)</w:t>
            </w:r>
          </w:p>
        </w:tc>
        <w:tc>
          <w:tcPr>
            <w:tcW w:w="1100" w:type="dxa"/>
            <w:vAlign w:val="bottom"/>
            <w:gridSpan w:val="2"/>
            <w:shd w:val="clear" w:color="auto" w:fill="CCEEFF"/>
          </w:tcPr>
          <w:p>
            <w:pPr>
              <w:jc w:val="right"/>
              <w:ind w:right="254"/>
              <w:spacing w:after="0"/>
              <w:rPr>
                <w:sz w:val="20"/>
                <w:szCs w:val="20"/>
                <w:color w:val="auto"/>
              </w:rPr>
            </w:pPr>
            <w:r>
              <w:rPr>
                <w:rFonts w:ascii="Arial" w:cs="Arial" w:eastAsia="Arial" w:hAnsi="Arial"/>
                <w:sz w:val="17"/>
                <w:szCs w:val="17"/>
                <w:color w:val="auto"/>
              </w:rPr>
              <w:t>(44)</w:t>
            </w:r>
          </w:p>
        </w:tc>
      </w:tr>
      <w:tr>
        <w:trPr>
          <w:trHeight w:val="213"/>
        </w:trPr>
        <w:tc>
          <w:tcPr>
            <w:tcW w:w="3200" w:type="dxa"/>
            <w:vAlign w:val="bottom"/>
          </w:tcPr>
          <w:p>
            <w:pPr>
              <w:ind w:left="220"/>
              <w:spacing w:after="0"/>
              <w:rPr>
                <w:sz w:val="20"/>
                <w:szCs w:val="20"/>
                <w:color w:val="auto"/>
              </w:rPr>
            </w:pPr>
            <w:r>
              <w:rPr>
                <w:rFonts w:ascii="Arial" w:cs="Arial" w:eastAsia="Arial" w:hAnsi="Arial"/>
                <w:sz w:val="17"/>
                <w:szCs w:val="17"/>
                <w:color w:val="auto"/>
              </w:rPr>
              <w:t>Total revenue</w:t>
            </w:r>
          </w:p>
        </w:tc>
        <w:tc>
          <w:tcPr>
            <w:tcW w:w="2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222.2</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231.6</w:t>
            </w:r>
          </w:p>
        </w:tc>
        <w:tc>
          <w:tcPr>
            <w:tcW w:w="1080" w:type="dxa"/>
            <w:vAlign w:val="bottom"/>
            <w:gridSpan w:val="2"/>
          </w:tcPr>
          <w:p>
            <w:pPr>
              <w:jc w:val="right"/>
              <w:ind w:right="74"/>
              <w:spacing w:after="0"/>
              <w:rPr>
                <w:sz w:val="20"/>
                <w:szCs w:val="20"/>
                <w:color w:val="auto"/>
              </w:rPr>
            </w:pPr>
            <w:r>
              <w:rPr>
                <w:rFonts w:ascii="Arial" w:cs="Arial" w:eastAsia="Arial" w:hAnsi="Arial"/>
                <w:sz w:val="17"/>
                <w:szCs w:val="17"/>
                <w:color w:val="auto"/>
              </w:rPr>
              <w:t>(4)</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453.7</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473.0</w:t>
            </w:r>
          </w:p>
        </w:tc>
        <w:tc>
          <w:tcPr>
            <w:tcW w:w="1100" w:type="dxa"/>
            <w:vAlign w:val="bottom"/>
            <w:gridSpan w:val="2"/>
          </w:tcPr>
          <w:p>
            <w:pPr>
              <w:jc w:val="right"/>
              <w:ind w:right="74"/>
              <w:spacing w:after="0"/>
              <w:rPr>
                <w:sz w:val="20"/>
                <w:szCs w:val="20"/>
                <w:color w:val="auto"/>
              </w:rPr>
            </w:pPr>
            <w:r>
              <w:rPr>
                <w:rFonts w:ascii="Arial" w:cs="Arial" w:eastAsia="Arial" w:hAnsi="Arial"/>
                <w:sz w:val="17"/>
                <w:szCs w:val="17"/>
                <w:color w:val="auto"/>
              </w:rPr>
              <w:t>(4)</w:t>
            </w:r>
          </w:p>
        </w:tc>
      </w:tr>
      <w:tr>
        <w:trPr>
          <w:trHeight w:val="20"/>
        </w:trPr>
        <w:tc>
          <w:tcPr>
            <w:tcW w:w="3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bl>
    <w:p>
      <w:pPr>
        <w:spacing w:after="0" w:line="186" w:lineRule="exact"/>
        <w:rPr>
          <w:sz w:val="20"/>
          <w:szCs w:val="20"/>
          <w:color w:val="auto"/>
        </w:rPr>
      </w:pPr>
    </w:p>
    <w:p>
      <w:pPr>
        <w:ind w:left="320" w:right="120" w:hanging="317"/>
        <w:spacing w:after="0" w:line="322" w:lineRule="auto"/>
        <w:tabs>
          <w:tab w:leader="none" w:pos="320" w:val="left"/>
        </w:tabs>
        <w:numPr>
          <w:ilvl w:val="0"/>
          <w:numId w:val="43"/>
        </w:numPr>
        <w:rPr>
          <w:rFonts w:ascii="Arial" w:cs="Arial" w:eastAsia="Arial" w:hAnsi="Arial"/>
          <w:sz w:val="14"/>
          <w:szCs w:val="14"/>
          <w:color w:val="auto"/>
        </w:rPr>
      </w:pPr>
      <w:r>
        <w:rPr>
          <w:rFonts w:ascii="Arial" w:cs="Arial" w:eastAsia="Arial" w:hAnsi="Arial"/>
          <w:sz w:val="14"/>
          <w:szCs w:val="14"/>
          <w:color w:val="auto"/>
        </w:rPr>
        <w:t>The fair value change of inter-segment economic hedge derivatives reported within Total revenue (Gain on loans held for sale, net) is eliminated at the consolidated level with an offset in MSR valuation adjustments, net. Refer to Item 3 - Quantitative and Qualitative Disclosures about Market Risk for further detail.</w:t>
      </w:r>
    </w:p>
    <w:p>
      <w:pPr>
        <w:spacing w:after="0" w:line="29" w:lineRule="exact"/>
        <w:rPr>
          <w:sz w:val="20"/>
          <w:szCs w:val="20"/>
          <w:color w:val="auto"/>
        </w:rPr>
      </w:pPr>
    </w:p>
    <w:p>
      <w:pPr>
        <w:ind w:right="40"/>
        <w:spacing w:after="0" w:line="278" w:lineRule="auto"/>
        <w:rPr>
          <w:sz w:val="20"/>
          <w:szCs w:val="20"/>
          <w:color w:val="auto"/>
        </w:rPr>
      </w:pPr>
      <w:r>
        <w:rPr>
          <w:rFonts w:ascii="Arial" w:cs="Arial" w:eastAsia="Arial" w:hAnsi="Arial"/>
          <w:sz w:val="16"/>
          <w:szCs w:val="16"/>
          <w:color w:val="auto"/>
        </w:rPr>
        <w:t>Total segment revenue was $222.3 million for the three months ended June 30, 2022, $22.5 million or 9% lower than the three months ended March 31, 2022, driven by a $13.6 million revenue decrease from Servicing and an $8.7 million revenue decrease from Originations. The Servicing revenue decrease is mostly due to an $8.8 million loss on repurchased delinquent loans in connection with the Ginnie Mae EBO program during the second quarter of 2022, and a $7.1 million decline in Reverse mortgage revenue, net driven by unrealized losses on the HECM loan portfolio attributable to unfavorable market interest rate and spread conditions. The decrease in Originations revenue is mostly due to an $8.6 million decrease in Reverse mortgage revenue, net driven by both lower loan production volume and lower margins attributable to the same unfavorable market interest rate and spread conditions.</w:t>
      </w:r>
    </w:p>
    <w:p>
      <w:pPr>
        <w:spacing w:after="0" w:line="65" w:lineRule="exact"/>
        <w:rPr>
          <w:sz w:val="20"/>
          <w:szCs w:val="20"/>
          <w:color w:val="auto"/>
        </w:rPr>
      </w:pPr>
    </w:p>
    <w:p>
      <w:pPr>
        <w:ind w:right="60"/>
        <w:spacing w:after="0" w:line="298" w:lineRule="auto"/>
        <w:rPr>
          <w:sz w:val="20"/>
          <w:szCs w:val="20"/>
          <w:color w:val="auto"/>
        </w:rPr>
      </w:pPr>
      <w:r>
        <w:rPr>
          <w:rFonts w:ascii="Arial" w:cs="Arial" w:eastAsia="Arial" w:hAnsi="Arial"/>
          <w:sz w:val="15"/>
          <w:szCs w:val="15"/>
          <w:color w:val="auto"/>
        </w:rPr>
        <w:t>As compared to the six months ended June 30, 2021, total segment revenue for the six months ended June 30, 2022 was $30.0 million or 6% lower, due to a $40.4 million decrease in Originations revenue offset by a $9.7 million increase in Servicing revenue. The decrease in Originations revenue is primarily due to a $37.0 million decline in Gain on loans held for sale, net in our Consumer Direct channel driven by lower recapture volume in the context of rising interest rates at a historic pace during the six months ended June 30, 2022. The increase in Servicing revenue includes a $75.2 million increase in Servicing and subservicing fees due to the portfolio growth, the launch of MAV and the acquisition of reverse subservicing from MAM (RMS), offset by a $43.4 million decline in Reverse mortgage revenue, net due to unrealized losses on the HECM loan portfolio, net attributable to market conditions, and a $21.9 million decline in Gain on loans held for sale, net due to lower redelivery gains and losses on repurchased and sold delinquent loans in connection with the Ginnie Mae EBO program.</w:t>
      </w:r>
    </w:p>
    <w:p>
      <w:pPr>
        <w:spacing w:after="0" w:line="51" w:lineRule="exact"/>
        <w:rPr>
          <w:sz w:val="20"/>
          <w:szCs w:val="20"/>
          <w:color w:val="auto"/>
        </w:rPr>
      </w:pPr>
    </w:p>
    <w:p>
      <w:pPr>
        <w:spacing w:after="0"/>
        <w:rPr>
          <w:sz w:val="20"/>
          <w:szCs w:val="20"/>
          <w:color w:val="auto"/>
        </w:rPr>
      </w:pPr>
      <w:r>
        <w:rPr>
          <w:rFonts w:ascii="Arial" w:cs="Arial" w:eastAsia="Arial" w:hAnsi="Arial"/>
          <w:sz w:val="17"/>
          <w:szCs w:val="17"/>
          <w:color w:val="auto"/>
        </w:rPr>
        <w:t>See the respective Segment Results of Operations for additional information.</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7" w:right="33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219"/>
        </w:trPr>
        <w:tc>
          <w:tcPr>
            <w:tcW w:w="3240" w:type="dxa"/>
            <w:vAlign w:val="bottom"/>
          </w:tcPr>
          <w:p>
            <w:pPr>
              <w:spacing w:after="0"/>
              <w:rPr>
                <w:sz w:val="20"/>
                <w:szCs w:val="20"/>
                <w:color w:val="auto"/>
              </w:rPr>
            </w:pPr>
            <w:r>
              <w:rPr>
                <w:rFonts w:ascii="Arial" w:cs="Arial" w:eastAsia="Arial" w:hAnsi="Arial"/>
                <w:sz w:val="17"/>
                <w:szCs w:val="17"/>
                <w:b w:val="1"/>
                <w:bCs w:val="1"/>
                <w:i w:val="1"/>
                <w:iCs w:val="1"/>
                <w:color w:val="auto"/>
              </w:rPr>
              <w:t>MSR Valuation Adjustments, Net</w:t>
            </w: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0"/>
        </w:trPr>
        <w:tc>
          <w:tcPr>
            <w:tcW w:w="6100" w:type="dxa"/>
            <w:vAlign w:val="bottom"/>
            <w:gridSpan w:val="6"/>
          </w:tcPr>
          <w:p>
            <w:pPr>
              <w:spacing w:after="0"/>
              <w:rPr>
                <w:sz w:val="20"/>
                <w:szCs w:val="20"/>
                <w:color w:val="auto"/>
              </w:rPr>
            </w:pPr>
            <w:r>
              <w:rPr>
                <w:rFonts w:ascii="Arial" w:cs="Arial" w:eastAsia="Arial" w:hAnsi="Arial"/>
                <w:sz w:val="17"/>
                <w:szCs w:val="17"/>
                <w:color w:val="auto"/>
                <w:w w:val="98"/>
              </w:rPr>
              <w:t>The table below presents the key components of MSR valuation adjustments, net:</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32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4"/>
          </w:tcPr>
          <w:p>
            <w:pPr>
              <w:jc w:val="right"/>
              <w:ind w:right="554"/>
              <w:spacing w:after="0"/>
              <w:rPr>
                <w:sz w:val="20"/>
                <w:szCs w:val="20"/>
                <w:color w:val="auto"/>
              </w:rPr>
            </w:pPr>
            <w:r>
              <w:rPr>
                <w:rFonts w:ascii="Arial" w:cs="Arial" w:eastAsia="Arial" w:hAnsi="Arial"/>
                <w:sz w:val="17"/>
                <w:szCs w:val="17"/>
                <w:b w:val="1"/>
                <w:bCs w:val="1"/>
                <w:color w:val="auto"/>
              </w:rPr>
              <w:t>Three Months Ended</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4"/>
          </w:tcPr>
          <w:p>
            <w:pPr>
              <w:jc w:val="right"/>
              <w:ind w:right="674"/>
              <w:spacing w:after="0"/>
              <w:rPr>
                <w:sz w:val="20"/>
                <w:szCs w:val="20"/>
                <w:color w:val="auto"/>
              </w:rPr>
            </w:pPr>
            <w:r>
              <w:rPr>
                <w:rFonts w:ascii="Arial" w:cs="Arial" w:eastAsia="Arial" w:hAnsi="Arial"/>
                <w:sz w:val="17"/>
                <w:szCs w:val="17"/>
                <w:b w:val="1"/>
                <w:bCs w:val="1"/>
                <w:color w:val="auto"/>
              </w:rPr>
              <w:t>Six Months Ended</w:t>
            </w: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3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gridSpan w:val="2"/>
          </w:tcPr>
          <w:p>
            <w:pPr>
              <w:ind w:left="140"/>
              <w:spacing w:after="0"/>
              <w:rPr>
                <w:sz w:val="20"/>
                <w:szCs w:val="20"/>
                <w:color w:val="auto"/>
              </w:rPr>
            </w:pPr>
            <w:r>
              <w:rPr>
                <w:rFonts w:ascii="Arial" w:cs="Arial" w:eastAsia="Arial" w:hAnsi="Arial"/>
                <w:sz w:val="17"/>
                <w:szCs w:val="17"/>
                <w:b w:val="1"/>
                <w:bCs w:val="1"/>
                <w:color w:val="auto"/>
              </w:rPr>
              <w:t>June 30,</w:t>
            </w:r>
          </w:p>
        </w:tc>
        <w:tc>
          <w:tcPr>
            <w:tcW w:w="220" w:type="dxa"/>
            <w:vAlign w:val="bottom"/>
          </w:tcPr>
          <w:p>
            <w:pPr>
              <w:spacing w:after="0"/>
              <w:rPr>
                <w:sz w:val="20"/>
                <w:szCs w:val="20"/>
                <w:color w:val="auto"/>
              </w:rPr>
            </w:pPr>
          </w:p>
        </w:tc>
        <w:tc>
          <w:tcPr>
            <w:tcW w:w="1160" w:type="dxa"/>
            <w:vAlign w:val="bottom"/>
          </w:tcPr>
          <w:p>
            <w:pPr>
              <w:jc w:val="right"/>
              <w:ind w:right="254"/>
              <w:spacing w:after="0"/>
              <w:rPr>
                <w:sz w:val="20"/>
                <w:szCs w:val="20"/>
                <w:color w:val="auto"/>
              </w:rPr>
            </w:pPr>
            <w:r>
              <w:rPr>
                <w:rFonts w:ascii="Arial" w:cs="Arial" w:eastAsia="Arial" w:hAnsi="Arial"/>
                <w:sz w:val="17"/>
                <w:szCs w:val="17"/>
                <w:b w:val="1"/>
                <w:bCs w:val="1"/>
                <w:color w:val="auto"/>
              </w:rPr>
              <w:t>March 31</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gridSpan w:val="2"/>
          </w:tcPr>
          <w:p>
            <w:pPr>
              <w:ind w:left="140"/>
              <w:spacing w:after="0"/>
              <w:rPr>
                <w:sz w:val="20"/>
                <w:szCs w:val="20"/>
                <w:color w:val="auto"/>
              </w:rPr>
            </w:pPr>
            <w:r>
              <w:rPr>
                <w:rFonts w:ascii="Arial" w:cs="Arial" w:eastAsia="Arial" w:hAnsi="Arial"/>
                <w:sz w:val="17"/>
                <w:szCs w:val="17"/>
                <w:b w:val="1"/>
                <w:bCs w:val="1"/>
                <w:color w:val="auto"/>
              </w:rPr>
              <w:t>June 30,</w:t>
            </w:r>
          </w:p>
        </w:tc>
        <w:tc>
          <w:tcPr>
            <w:tcW w:w="260" w:type="dxa"/>
            <w:vAlign w:val="bottom"/>
          </w:tcPr>
          <w:p>
            <w:pPr>
              <w:spacing w:after="0"/>
              <w:rPr>
                <w:sz w:val="20"/>
                <w:szCs w:val="20"/>
                <w:color w:val="auto"/>
              </w:rPr>
            </w:pPr>
          </w:p>
        </w:tc>
        <w:tc>
          <w:tcPr>
            <w:tcW w:w="1140" w:type="dxa"/>
            <w:vAlign w:val="bottom"/>
          </w:tcPr>
          <w:p>
            <w:pPr>
              <w:jc w:val="right"/>
              <w:ind w:right="314"/>
              <w:spacing w:after="0"/>
              <w:rPr>
                <w:sz w:val="20"/>
                <w:szCs w:val="20"/>
                <w:color w:val="auto"/>
              </w:rPr>
            </w:pPr>
            <w:r>
              <w:rPr>
                <w:rFonts w:ascii="Arial" w:cs="Arial" w:eastAsia="Arial" w:hAnsi="Arial"/>
                <w:sz w:val="17"/>
                <w:szCs w:val="17"/>
                <w:b w:val="1"/>
                <w:bCs w:val="1"/>
                <w:color w:val="auto"/>
              </w:rPr>
              <w:t>June 30,</w:t>
            </w: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8"/>
        </w:trPr>
        <w:tc>
          <w:tcPr>
            <w:tcW w:w="3240" w:type="dxa"/>
            <w:vAlign w:val="bottom"/>
            <w:tcBorders>
              <w:bottom w:val="single" w:sz="8" w:color="CCEEFF"/>
            </w:tcBorders>
          </w:tcPr>
          <w:p>
            <w:pPr>
              <w:ind w:left="20"/>
              <w:spacing w:after="0"/>
              <w:rPr>
                <w:sz w:val="20"/>
                <w:szCs w:val="20"/>
                <w:color w:val="auto"/>
              </w:rPr>
            </w:pPr>
            <w:r>
              <w:rPr>
                <w:rFonts w:ascii="Arial" w:cs="Arial" w:eastAsia="Arial" w:hAnsi="Arial"/>
                <w:sz w:val="17"/>
                <w:szCs w:val="17"/>
                <w:b w:val="1"/>
                <w:bCs w:val="1"/>
                <w:color w:val="auto"/>
              </w:rPr>
              <w:t>Segment Results</w:t>
            </w: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14"/>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34"/>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b w:val="1"/>
                <w:bCs w:val="1"/>
                <w:color w:val="auto"/>
              </w:rPr>
              <w:t>% Change</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54"/>
              <w:spacing w:after="0"/>
              <w:rPr>
                <w:sz w:val="20"/>
                <w:szCs w:val="20"/>
                <w:color w:val="auto"/>
              </w:rPr>
            </w:pPr>
            <w:r>
              <w:rPr>
                <w:rFonts w:ascii="Arial" w:cs="Arial" w:eastAsia="Arial" w:hAnsi="Arial"/>
                <w:sz w:val="17"/>
                <w:szCs w:val="17"/>
                <w:b w:val="1"/>
                <w:bCs w:val="1"/>
                <w:color w:val="auto"/>
              </w:rPr>
              <w:t>2022</w:t>
            </w:r>
          </w:p>
        </w:tc>
        <w:tc>
          <w:tcPr>
            <w:tcW w:w="8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34"/>
              <w:spacing w:after="0"/>
              <w:rPr>
                <w:sz w:val="20"/>
                <w:szCs w:val="20"/>
                <w:color w:val="auto"/>
              </w:rPr>
            </w:pPr>
            <w:r>
              <w:rPr>
                <w:rFonts w:ascii="Arial" w:cs="Arial" w:eastAsia="Arial" w:hAnsi="Arial"/>
                <w:sz w:val="17"/>
                <w:szCs w:val="17"/>
                <w:b w:val="1"/>
                <w:bCs w:val="1"/>
                <w:color w:val="auto"/>
              </w:rPr>
              <w:t>2021</w:t>
            </w:r>
          </w:p>
        </w:tc>
        <w:tc>
          <w:tcPr>
            <w:tcW w:w="8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b w:val="1"/>
                <w:bCs w:val="1"/>
                <w:color w:val="auto"/>
              </w:rPr>
              <w:t>% Change</w:t>
            </w:r>
          </w:p>
        </w:tc>
        <w:tc>
          <w:tcPr>
            <w:tcW w:w="0" w:type="dxa"/>
            <w:vAlign w:val="bottom"/>
          </w:tcPr>
          <w:p>
            <w:pPr>
              <w:spacing w:after="0"/>
              <w:rPr>
                <w:sz w:val="1"/>
                <w:szCs w:val="1"/>
                <w:color w:val="auto"/>
              </w:rPr>
            </w:pPr>
          </w:p>
        </w:tc>
      </w:tr>
      <w:tr>
        <w:trPr>
          <w:trHeight w:val="213"/>
        </w:trPr>
        <w:tc>
          <w:tcPr>
            <w:tcW w:w="3240" w:type="dxa"/>
            <w:vAlign w:val="bottom"/>
            <w:shd w:val="clear" w:color="auto" w:fill="CCEEFF"/>
          </w:tcPr>
          <w:p>
            <w:pPr>
              <w:ind w:left="140"/>
              <w:spacing w:after="0"/>
              <w:rPr>
                <w:sz w:val="20"/>
                <w:szCs w:val="20"/>
                <w:color w:val="auto"/>
              </w:rPr>
            </w:pPr>
            <w:r>
              <w:rPr>
                <w:rFonts w:ascii="Arial" w:cs="Arial" w:eastAsia="Arial" w:hAnsi="Arial"/>
                <w:sz w:val="17"/>
                <w:szCs w:val="17"/>
                <w:color w:val="auto"/>
                <w:w w:val="95"/>
              </w:rPr>
              <w:t>MSR realization of expected cash flows (1)</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(67.6)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(72.8)</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(140.4)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(106.2)</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32 %</w:t>
            </w:r>
          </w:p>
        </w:tc>
        <w:tc>
          <w:tcPr>
            <w:tcW w:w="0" w:type="dxa"/>
            <w:vAlign w:val="bottom"/>
          </w:tcPr>
          <w:p>
            <w:pPr>
              <w:spacing w:after="0"/>
              <w:rPr>
                <w:sz w:val="1"/>
                <w:szCs w:val="1"/>
                <w:color w:val="auto"/>
              </w:rPr>
            </w:pPr>
          </w:p>
        </w:tc>
      </w:tr>
      <w:tr>
        <w:trPr>
          <w:trHeight w:val="168"/>
        </w:trPr>
        <w:tc>
          <w:tcPr>
            <w:tcW w:w="3240" w:type="dxa"/>
            <w:vAlign w:val="bottom"/>
          </w:tcPr>
          <w:p>
            <w:pPr>
              <w:ind w:left="140"/>
              <w:spacing w:after="0" w:line="168" w:lineRule="exact"/>
              <w:rPr>
                <w:sz w:val="20"/>
                <w:szCs w:val="20"/>
                <w:color w:val="auto"/>
              </w:rPr>
            </w:pPr>
            <w:r>
              <w:rPr>
                <w:rFonts w:ascii="Arial" w:cs="Arial" w:eastAsia="Arial" w:hAnsi="Arial"/>
                <w:sz w:val="17"/>
                <w:szCs w:val="17"/>
                <w:color w:val="auto"/>
                <w:w w:val="94"/>
              </w:rPr>
              <w:t>MSR fair value changes due to interest rate</w:t>
            </w:r>
          </w:p>
        </w:tc>
        <w:tc>
          <w:tcPr>
            <w:tcW w:w="260" w:type="dxa"/>
            <w:vAlign w:val="bottom"/>
          </w:tcPr>
          <w:p>
            <w:pPr>
              <w:spacing w:after="0"/>
              <w:rPr>
                <w:sz w:val="14"/>
                <w:szCs w:val="14"/>
                <w:color w:val="auto"/>
              </w:rPr>
            </w:pPr>
          </w:p>
        </w:tc>
        <w:tc>
          <w:tcPr>
            <w:tcW w:w="1120" w:type="dxa"/>
            <w:vAlign w:val="bottom"/>
            <w:vMerge w:val="restart"/>
          </w:tcPr>
          <w:p>
            <w:pPr>
              <w:jc w:val="right"/>
              <w:ind w:right="134"/>
              <w:spacing w:after="0"/>
              <w:rPr>
                <w:sz w:val="20"/>
                <w:szCs w:val="20"/>
                <w:color w:val="auto"/>
              </w:rPr>
            </w:pPr>
            <w:r>
              <w:rPr>
                <w:rFonts w:ascii="Arial" w:cs="Arial" w:eastAsia="Arial" w:hAnsi="Arial"/>
                <w:sz w:val="17"/>
                <w:szCs w:val="17"/>
                <w:color w:val="auto"/>
              </w:rPr>
              <w:t>115.1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vMerge w:val="restart"/>
          </w:tcPr>
          <w:p>
            <w:pPr>
              <w:jc w:val="right"/>
              <w:ind w:right="134"/>
              <w:spacing w:after="0"/>
              <w:rPr>
                <w:sz w:val="20"/>
                <w:szCs w:val="20"/>
                <w:color w:val="auto"/>
              </w:rPr>
            </w:pPr>
            <w:r>
              <w:rPr>
                <w:rFonts w:ascii="Arial" w:cs="Arial" w:eastAsia="Arial" w:hAnsi="Arial"/>
                <w:sz w:val="17"/>
                <w:szCs w:val="17"/>
                <w:color w:val="auto"/>
              </w:rPr>
              <w:t>201.2</w:t>
            </w:r>
          </w:p>
        </w:tc>
        <w:tc>
          <w:tcPr>
            <w:tcW w:w="1080" w:type="dxa"/>
            <w:vAlign w:val="bottom"/>
            <w:gridSpan w:val="2"/>
            <w:vMerge w:val="restart"/>
          </w:tcPr>
          <w:p>
            <w:pPr>
              <w:jc w:val="right"/>
              <w:spacing w:after="0"/>
              <w:rPr>
                <w:sz w:val="20"/>
                <w:szCs w:val="20"/>
                <w:color w:val="auto"/>
              </w:rPr>
            </w:pPr>
            <w:r>
              <w:rPr>
                <w:rFonts w:ascii="Arial" w:cs="Arial" w:eastAsia="Arial" w:hAnsi="Arial"/>
                <w:sz w:val="17"/>
                <w:szCs w:val="17"/>
                <w:color w:val="auto"/>
              </w:rPr>
              <w:t>(43)%</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vMerge w:val="restart"/>
          </w:tcPr>
          <w:p>
            <w:pPr>
              <w:jc w:val="right"/>
              <w:ind w:right="154"/>
              <w:spacing w:after="0"/>
              <w:rPr>
                <w:sz w:val="20"/>
                <w:szCs w:val="20"/>
                <w:color w:val="auto"/>
              </w:rPr>
            </w:pPr>
            <w:r>
              <w:rPr>
                <w:rFonts w:ascii="Arial" w:cs="Arial" w:eastAsia="Arial" w:hAnsi="Arial"/>
                <w:sz w:val="17"/>
                <w:szCs w:val="17"/>
                <w:color w:val="auto"/>
              </w:rPr>
              <w:t>316.2</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vMerge w:val="restart"/>
          </w:tcPr>
          <w:p>
            <w:pPr>
              <w:jc w:val="right"/>
              <w:ind w:right="134"/>
              <w:spacing w:after="0"/>
              <w:rPr>
                <w:sz w:val="20"/>
                <w:szCs w:val="20"/>
                <w:color w:val="auto"/>
              </w:rPr>
            </w:pPr>
            <w:r>
              <w:rPr>
                <w:rFonts w:ascii="Arial" w:cs="Arial" w:eastAsia="Arial" w:hAnsi="Arial"/>
                <w:sz w:val="17"/>
                <w:szCs w:val="17"/>
                <w:color w:val="auto"/>
              </w:rPr>
              <w:t>28.3</w:t>
            </w:r>
          </w:p>
        </w:tc>
        <w:tc>
          <w:tcPr>
            <w:tcW w:w="8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7"/>
                <w:szCs w:val="17"/>
                <w:color w:val="auto"/>
              </w:rPr>
              <w:t>n/m</w:t>
            </w:r>
          </w:p>
        </w:tc>
        <w:tc>
          <w:tcPr>
            <w:tcW w:w="0" w:type="dxa"/>
            <w:vAlign w:val="bottom"/>
          </w:tcPr>
          <w:p>
            <w:pPr>
              <w:spacing w:after="0"/>
              <w:rPr>
                <w:sz w:val="1"/>
                <w:szCs w:val="1"/>
                <w:color w:val="auto"/>
              </w:rPr>
            </w:pPr>
          </w:p>
        </w:tc>
      </w:tr>
      <w:tr>
        <w:trPr>
          <w:trHeight w:val="219"/>
        </w:trPr>
        <w:tc>
          <w:tcPr>
            <w:tcW w:w="3240" w:type="dxa"/>
            <w:vAlign w:val="bottom"/>
          </w:tcPr>
          <w:p>
            <w:pPr>
              <w:ind w:left="300"/>
              <w:spacing w:after="0"/>
              <w:rPr>
                <w:sz w:val="20"/>
                <w:szCs w:val="20"/>
                <w:color w:val="auto"/>
              </w:rPr>
            </w:pPr>
            <w:r>
              <w:rPr>
                <w:rFonts w:ascii="Arial" w:cs="Arial" w:eastAsia="Arial" w:hAnsi="Arial"/>
                <w:sz w:val="17"/>
                <w:szCs w:val="17"/>
                <w:color w:val="auto"/>
              </w:rPr>
              <w:t>and assumption updates</w:t>
            </w:r>
          </w:p>
        </w:tc>
        <w:tc>
          <w:tcPr>
            <w:tcW w:w="26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2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Derivative fair value gain (loss)</w:t>
            </w: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(17.0)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(80.0)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rPr>
              <w:t>(97.1)</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(14.8)</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556 %</w:t>
            </w:r>
          </w:p>
        </w:tc>
        <w:tc>
          <w:tcPr>
            <w:tcW w:w="0" w:type="dxa"/>
            <w:vAlign w:val="bottom"/>
          </w:tcPr>
          <w:p>
            <w:pPr>
              <w:spacing w:after="0"/>
              <w:rPr>
                <w:sz w:val="1"/>
                <w:szCs w:val="1"/>
                <w:color w:val="auto"/>
              </w:rPr>
            </w:pPr>
          </w:p>
        </w:tc>
      </w:tr>
      <w:tr>
        <w:trPr>
          <w:trHeight w:val="213"/>
        </w:trPr>
        <w:tc>
          <w:tcPr>
            <w:tcW w:w="3240" w:type="dxa"/>
            <w:vAlign w:val="bottom"/>
          </w:tcPr>
          <w:p>
            <w:pPr>
              <w:ind w:left="240"/>
              <w:spacing w:after="0"/>
              <w:rPr>
                <w:sz w:val="20"/>
                <w:szCs w:val="20"/>
                <w:color w:val="auto"/>
              </w:rPr>
            </w:pPr>
            <w:r>
              <w:rPr>
                <w:rFonts w:ascii="Arial" w:cs="Arial" w:eastAsia="Arial" w:hAnsi="Arial"/>
                <w:sz w:val="17"/>
                <w:szCs w:val="17"/>
                <w:color w:val="auto"/>
              </w:rPr>
              <w:t>Total Servicing</w:t>
            </w:r>
          </w:p>
        </w:tc>
        <w:tc>
          <w:tcPr>
            <w:tcW w:w="260" w:type="dxa"/>
            <w:vAlign w:val="bottom"/>
          </w:tcPr>
          <w:p>
            <w:pPr>
              <w:spacing w:after="0"/>
              <w:rPr>
                <w:sz w:val="18"/>
                <w:szCs w:val="18"/>
                <w:color w:val="auto"/>
              </w:rPr>
            </w:pPr>
          </w:p>
        </w:tc>
        <w:tc>
          <w:tcPr>
            <w:tcW w:w="1120" w:type="dxa"/>
            <w:vAlign w:val="bottom"/>
          </w:tcPr>
          <w:p>
            <w:pPr>
              <w:jc w:val="right"/>
              <w:ind w:right="134"/>
              <w:spacing w:after="0"/>
              <w:rPr>
                <w:sz w:val="20"/>
                <w:szCs w:val="20"/>
                <w:color w:val="auto"/>
              </w:rPr>
            </w:pPr>
            <w:r>
              <w:rPr>
                <w:rFonts w:ascii="Arial" w:cs="Arial" w:eastAsia="Arial" w:hAnsi="Arial"/>
                <w:sz w:val="17"/>
                <w:szCs w:val="17"/>
                <w:color w:val="auto"/>
              </w:rPr>
              <w:t>30.5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ind w:right="134"/>
              <w:spacing w:after="0"/>
              <w:rPr>
                <w:sz w:val="20"/>
                <w:szCs w:val="20"/>
                <w:color w:val="auto"/>
              </w:rPr>
            </w:pPr>
            <w:r>
              <w:rPr>
                <w:rFonts w:ascii="Arial" w:cs="Arial" w:eastAsia="Arial" w:hAnsi="Arial"/>
                <w:sz w:val="17"/>
                <w:szCs w:val="17"/>
                <w:color w:val="auto"/>
              </w:rPr>
              <w:t>48.4</w:t>
            </w: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(37)%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ind w:right="154"/>
              <w:spacing w:after="0"/>
              <w:rPr>
                <w:sz w:val="20"/>
                <w:szCs w:val="20"/>
                <w:color w:val="auto"/>
              </w:rPr>
            </w:pPr>
            <w:r>
              <w:rPr>
                <w:rFonts w:ascii="Arial" w:cs="Arial" w:eastAsia="Arial" w:hAnsi="Arial"/>
                <w:sz w:val="17"/>
                <w:szCs w:val="17"/>
                <w:color w:val="auto"/>
              </w:rPr>
              <w:t>78.7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ind w:right="134"/>
              <w:spacing w:after="0"/>
              <w:rPr>
                <w:sz w:val="20"/>
                <w:szCs w:val="20"/>
                <w:color w:val="auto"/>
              </w:rPr>
            </w:pPr>
            <w:r>
              <w:rPr>
                <w:rFonts w:ascii="Arial" w:cs="Arial" w:eastAsia="Arial" w:hAnsi="Arial"/>
                <w:sz w:val="17"/>
                <w:szCs w:val="17"/>
                <w:color w:val="auto"/>
              </w:rPr>
              <w:t>(92.6)</w:t>
            </w: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(185)%</w:t>
            </w:r>
          </w:p>
        </w:tc>
        <w:tc>
          <w:tcPr>
            <w:tcW w:w="0" w:type="dxa"/>
            <w:vAlign w:val="bottom"/>
          </w:tcPr>
          <w:p>
            <w:pPr>
              <w:spacing w:after="0"/>
              <w:rPr>
                <w:sz w:val="1"/>
                <w:szCs w:val="1"/>
                <w:color w:val="auto"/>
              </w:rPr>
            </w:pPr>
          </w:p>
        </w:tc>
      </w:tr>
      <w:tr>
        <w:trPr>
          <w:trHeight w:val="220"/>
        </w:trPr>
        <w:tc>
          <w:tcPr>
            <w:tcW w:w="3240" w:type="dxa"/>
            <w:vAlign w:val="bottom"/>
            <w:shd w:val="clear" w:color="auto" w:fill="CCEEFF"/>
          </w:tcPr>
          <w:p>
            <w:pPr>
              <w:ind w:left="40"/>
              <w:spacing w:after="0"/>
              <w:rPr>
                <w:sz w:val="20"/>
                <w:szCs w:val="20"/>
                <w:color w:val="auto"/>
              </w:rPr>
            </w:pPr>
            <w:r>
              <w:rPr>
                <w:rFonts w:ascii="Arial" w:cs="Arial" w:eastAsia="Arial" w:hAnsi="Arial"/>
                <w:sz w:val="17"/>
                <w:szCs w:val="17"/>
                <w:color w:val="auto"/>
              </w:rPr>
              <w:t>Originations - MSR fair value changes</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2.6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1.1</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136 %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3.7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17.3</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(79)%</w:t>
            </w:r>
          </w:p>
        </w:tc>
        <w:tc>
          <w:tcPr>
            <w:tcW w:w="0" w:type="dxa"/>
            <w:vAlign w:val="bottom"/>
          </w:tcPr>
          <w:p>
            <w:pPr>
              <w:spacing w:after="0"/>
              <w:rPr>
                <w:sz w:val="1"/>
                <w:szCs w:val="1"/>
                <w:color w:val="auto"/>
              </w:rPr>
            </w:pPr>
          </w:p>
        </w:tc>
      </w:tr>
      <w:tr>
        <w:trPr>
          <w:trHeight w:val="168"/>
        </w:trPr>
        <w:tc>
          <w:tcPr>
            <w:tcW w:w="3240" w:type="dxa"/>
            <w:vAlign w:val="bottom"/>
          </w:tcPr>
          <w:p>
            <w:pPr>
              <w:ind w:left="40"/>
              <w:spacing w:after="0" w:line="168" w:lineRule="exact"/>
              <w:rPr>
                <w:sz w:val="20"/>
                <w:szCs w:val="20"/>
                <w:color w:val="auto"/>
              </w:rPr>
            </w:pPr>
            <w:r>
              <w:rPr>
                <w:rFonts w:ascii="Arial" w:cs="Arial" w:eastAsia="Arial" w:hAnsi="Arial"/>
                <w:sz w:val="17"/>
                <w:szCs w:val="17"/>
                <w:color w:val="auto"/>
              </w:rPr>
              <w:t>Inter-segment elimination - derivative fair</w:t>
            </w:r>
          </w:p>
        </w:tc>
        <w:tc>
          <w:tcPr>
            <w:tcW w:w="260" w:type="dxa"/>
            <w:vAlign w:val="bottom"/>
          </w:tcPr>
          <w:p>
            <w:pPr>
              <w:spacing w:after="0"/>
              <w:rPr>
                <w:sz w:val="14"/>
                <w:szCs w:val="14"/>
                <w:color w:val="auto"/>
              </w:rPr>
            </w:pPr>
          </w:p>
        </w:tc>
        <w:tc>
          <w:tcPr>
            <w:tcW w:w="1120" w:type="dxa"/>
            <w:vAlign w:val="bottom"/>
            <w:vMerge w:val="restart"/>
          </w:tcPr>
          <w:p>
            <w:pPr>
              <w:jc w:val="right"/>
              <w:ind w:right="134"/>
              <w:spacing w:after="0"/>
              <w:rPr>
                <w:sz w:val="20"/>
                <w:szCs w:val="20"/>
                <w:color w:val="auto"/>
              </w:rPr>
            </w:pPr>
            <w:r>
              <w:rPr>
                <w:rFonts w:ascii="Arial" w:cs="Arial" w:eastAsia="Arial" w:hAnsi="Arial"/>
                <w:sz w:val="17"/>
                <w:szCs w:val="17"/>
                <w:color w:val="auto"/>
              </w:rPr>
              <w:t>0.1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vMerge w:val="restart"/>
          </w:tcPr>
          <w:p>
            <w:pPr>
              <w:jc w:val="right"/>
              <w:ind w:right="134"/>
              <w:spacing w:after="0"/>
              <w:rPr>
                <w:sz w:val="20"/>
                <w:szCs w:val="20"/>
                <w:color w:val="auto"/>
              </w:rPr>
            </w:pPr>
            <w:r>
              <w:rPr>
                <w:rFonts w:ascii="Arial" w:cs="Arial" w:eastAsia="Arial" w:hAnsi="Arial"/>
                <w:sz w:val="17"/>
                <w:szCs w:val="17"/>
                <w:color w:val="auto"/>
              </w:rPr>
              <w:t>13.3</w:t>
            </w:r>
          </w:p>
        </w:tc>
        <w:tc>
          <w:tcPr>
            <w:tcW w:w="1080" w:type="dxa"/>
            <w:vAlign w:val="bottom"/>
            <w:gridSpan w:val="2"/>
            <w:vMerge w:val="restart"/>
          </w:tcPr>
          <w:p>
            <w:pPr>
              <w:jc w:val="right"/>
              <w:spacing w:after="0"/>
              <w:rPr>
                <w:sz w:val="20"/>
                <w:szCs w:val="20"/>
                <w:color w:val="auto"/>
              </w:rPr>
            </w:pPr>
            <w:r>
              <w:rPr>
                <w:rFonts w:ascii="Arial" w:cs="Arial" w:eastAsia="Arial" w:hAnsi="Arial"/>
                <w:sz w:val="17"/>
                <w:szCs w:val="17"/>
                <w:color w:val="auto"/>
              </w:rPr>
              <w:t>(99)%</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vMerge w:val="restart"/>
          </w:tcPr>
          <w:p>
            <w:pPr>
              <w:jc w:val="right"/>
              <w:ind w:right="154"/>
              <w:spacing w:after="0"/>
              <w:rPr>
                <w:sz w:val="20"/>
                <w:szCs w:val="20"/>
                <w:color w:val="auto"/>
              </w:rPr>
            </w:pPr>
            <w:r>
              <w:rPr>
                <w:rFonts w:ascii="Arial" w:cs="Arial" w:eastAsia="Arial" w:hAnsi="Arial"/>
                <w:sz w:val="17"/>
                <w:szCs w:val="17"/>
                <w:color w:val="auto"/>
              </w:rPr>
              <w:t>13.4</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vMerge w:val="restart"/>
          </w:tcPr>
          <w:p>
            <w:pPr>
              <w:jc w:val="right"/>
              <w:ind w:right="134"/>
              <w:spacing w:after="0"/>
              <w:rPr>
                <w:sz w:val="20"/>
                <w:szCs w:val="20"/>
                <w:color w:val="auto"/>
              </w:rPr>
            </w:pPr>
            <w:r>
              <w:rPr>
                <w:rFonts w:ascii="Arial" w:cs="Arial" w:eastAsia="Arial" w:hAnsi="Arial"/>
                <w:sz w:val="17"/>
                <w:szCs w:val="17"/>
                <w:color w:val="auto"/>
              </w:rPr>
              <w:t>24.1</w:t>
            </w:r>
          </w:p>
        </w:tc>
        <w:tc>
          <w:tcPr>
            <w:tcW w:w="1080" w:type="dxa"/>
            <w:vAlign w:val="bottom"/>
            <w:gridSpan w:val="2"/>
            <w:vMerge w:val="restart"/>
          </w:tcPr>
          <w:p>
            <w:pPr>
              <w:jc w:val="right"/>
              <w:spacing w:after="0"/>
              <w:rPr>
                <w:sz w:val="20"/>
                <w:szCs w:val="20"/>
                <w:color w:val="auto"/>
              </w:rPr>
            </w:pPr>
            <w:r>
              <w:rPr>
                <w:rFonts w:ascii="Arial" w:cs="Arial" w:eastAsia="Arial" w:hAnsi="Arial"/>
                <w:sz w:val="17"/>
                <w:szCs w:val="17"/>
                <w:color w:val="auto"/>
              </w:rPr>
              <w:t>(44)%</w:t>
            </w:r>
          </w:p>
        </w:tc>
        <w:tc>
          <w:tcPr>
            <w:tcW w:w="0" w:type="dxa"/>
            <w:vAlign w:val="bottom"/>
          </w:tcPr>
          <w:p>
            <w:pPr>
              <w:spacing w:after="0"/>
              <w:rPr>
                <w:sz w:val="1"/>
                <w:szCs w:val="1"/>
                <w:color w:val="auto"/>
              </w:rPr>
            </w:pPr>
          </w:p>
        </w:tc>
      </w:tr>
      <w:tr>
        <w:trPr>
          <w:trHeight w:val="219"/>
        </w:trPr>
        <w:tc>
          <w:tcPr>
            <w:tcW w:w="3240" w:type="dxa"/>
            <w:vAlign w:val="bottom"/>
            <w:tcBorders>
              <w:bottom w:val="single" w:sz="8" w:color="CCEEFF"/>
            </w:tcBorders>
          </w:tcPr>
          <w:p>
            <w:pPr>
              <w:ind w:left="180"/>
              <w:spacing w:after="0"/>
              <w:rPr>
                <w:sz w:val="20"/>
                <w:szCs w:val="20"/>
                <w:color w:val="auto"/>
              </w:rPr>
            </w:pPr>
            <w:r>
              <w:rPr>
                <w:rFonts w:ascii="Arial" w:cs="Arial" w:eastAsia="Arial" w:hAnsi="Arial"/>
                <w:sz w:val="17"/>
                <w:szCs w:val="17"/>
                <w:color w:val="auto"/>
              </w:rPr>
              <w:t>value gain (loss)</w:t>
            </w: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1080" w:type="dxa"/>
            <w:vAlign w:val="bottom"/>
            <w:tcBorders>
              <w:bottom w:val="single" w:sz="8" w:color="CCEEFF"/>
            </w:tcBorders>
            <w:gridSpan w:val="2"/>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1080" w:type="dxa"/>
            <w:vAlign w:val="bottom"/>
            <w:tcBorders>
              <w:bottom w:val="single" w:sz="8" w:color="CCEEFF"/>
            </w:tcBorders>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MSR valuation adjustments, net</w:t>
            </w: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33.2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62.7</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(47)%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rPr>
              <w:t>95.8</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(51.2)</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(287)%</w:t>
            </w: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(1) The terms realization of expected cash flows and runoff may be used interchangeably within this discussion.</w:t>
      </w:r>
    </w:p>
    <w:p>
      <w:pPr>
        <w:spacing w:after="0" w:line="96" w:lineRule="exact"/>
        <w:rPr>
          <w:sz w:val="20"/>
          <w:szCs w:val="20"/>
          <w:color w:val="auto"/>
        </w:rPr>
      </w:pPr>
    </w:p>
    <w:p>
      <w:pPr>
        <w:ind w:right="160"/>
        <w:spacing w:after="0" w:line="285" w:lineRule="auto"/>
        <w:rPr>
          <w:sz w:val="20"/>
          <w:szCs w:val="20"/>
          <w:color w:val="auto"/>
        </w:rPr>
      </w:pPr>
      <w:r>
        <w:rPr>
          <w:rFonts w:ascii="Arial" w:cs="Arial" w:eastAsia="Arial" w:hAnsi="Arial"/>
          <w:sz w:val="16"/>
          <w:szCs w:val="16"/>
          <w:color w:val="auto"/>
        </w:rPr>
        <w:t>We reported a $33.2 million gain in MSR valuation adjustments, net in the three months ended June 30, 2022, $29.4 million lower than the three months ended March 31, 2022. The net gain is driven by favorable MSR fair value changes due to fast rising interest rates, net of hedging. The decrease in the net gain in the second quarter of 2022 as compared to the first quarter of 2022 is mostly driven by a lower increase in rates during the respective periods. The 10-year swap rate increased by 65 basis points in the second quarter of 2022 and 83 basis points in the first quarter of 2022.</w:t>
      </w:r>
    </w:p>
    <w:p>
      <w:pPr>
        <w:spacing w:after="0" w:line="56" w:lineRule="exact"/>
        <w:rPr>
          <w:sz w:val="20"/>
          <w:szCs w:val="20"/>
          <w:color w:val="auto"/>
        </w:rPr>
      </w:pPr>
    </w:p>
    <w:p>
      <w:pPr>
        <w:ind w:right="100"/>
        <w:spacing w:after="0" w:line="261" w:lineRule="auto"/>
        <w:rPr>
          <w:sz w:val="20"/>
          <w:szCs w:val="20"/>
          <w:color w:val="auto"/>
        </w:rPr>
      </w:pPr>
      <w:r>
        <w:rPr>
          <w:rFonts w:ascii="Arial" w:cs="Arial" w:eastAsia="Arial" w:hAnsi="Arial"/>
          <w:sz w:val="17"/>
          <w:szCs w:val="17"/>
          <w:color w:val="auto"/>
        </w:rPr>
        <w:t>For the six months ended June 30, 2022, we reported a $95.8 million gain in MSR valuation adjustments, net, as compared to a $51.2 million loss for the six months ended June 30, 2021. The loss in the six months ended June 30, 2021 is mostly due to MSR portfolio runoff and the lack of offset by MSR fair value gain due to interest rate and assumption updates, net of hedging. The higher net fair value gain in the six months ended June 30, 2022 as compared to the six months ended June 30, 2021 is mostly driven by a higher increase in rates during the respective periods. The 10-year swap rate increased by 148 basis points in the six months ended June 30, 2022 and 52 basis points in the six months ended June 30, 2021.</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color w:val="auto"/>
        </w:rPr>
        <w:t>See the respective Segment Results of Operations sections for additional information.</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Compensation and Benefits</w:t>
      </w:r>
    </w:p>
    <w:p>
      <w:pPr>
        <w:spacing w:after="0" w:line="115" w:lineRule="exact"/>
        <w:rPr>
          <w:sz w:val="20"/>
          <w:szCs w:val="20"/>
          <w:color w:val="auto"/>
        </w:rPr>
      </w:pPr>
    </w:p>
    <w:p>
      <w:pPr>
        <w:ind w:right="100"/>
        <w:spacing w:after="0" w:line="278" w:lineRule="auto"/>
        <w:rPr>
          <w:sz w:val="20"/>
          <w:szCs w:val="20"/>
          <w:color w:val="auto"/>
        </w:rPr>
      </w:pPr>
      <w:r>
        <w:rPr>
          <w:rFonts w:ascii="Arial" w:cs="Arial" w:eastAsia="Arial" w:hAnsi="Arial"/>
          <w:sz w:val="16"/>
          <w:szCs w:val="16"/>
          <w:color w:val="auto"/>
        </w:rPr>
        <w:t>Compensation and benefits expense for the three months ended June 30, 2022 increased $15.9 million, or 23%, as compared to the three months ended March 31, 2022, primarily due to a $14.7 million increase in incentive compensation and a $1.9 million increase in severance expense. The expense of cash-settled share-based awards increased by $12.9 million as a result of our common stock price appreciation during the second quarter and forfeitures recognized in the first quarter of 2022. Our total average headcount was unchanged as compared to the three months ended March 31, 2022. The decrease in Originations average headcount, mostly Consumer Direct, as part of our efforts to right size our resources to market opportunities was offset by an increase in Servicing average headcount, mostly in support of the growth in our reverse mortgage subservicing business.</w:t>
      </w:r>
    </w:p>
    <w:p>
      <w:pPr>
        <w:spacing w:after="0" w:line="65" w:lineRule="exact"/>
        <w:rPr>
          <w:sz w:val="20"/>
          <w:szCs w:val="20"/>
          <w:color w:val="auto"/>
        </w:rPr>
      </w:pPr>
    </w:p>
    <w:p>
      <w:pPr>
        <w:ind w:right="40"/>
        <w:spacing w:after="0" w:line="300" w:lineRule="auto"/>
        <w:rPr>
          <w:sz w:val="20"/>
          <w:szCs w:val="20"/>
          <w:color w:val="auto"/>
        </w:rPr>
      </w:pPr>
      <w:r>
        <w:rPr>
          <w:rFonts w:ascii="Arial" w:cs="Arial" w:eastAsia="Arial" w:hAnsi="Arial"/>
          <w:sz w:val="15"/>
          <w:szCs w:val="15"/>
          <w:color w:val="auto"/>
        </w:rPr>
        <w:t>As compared to the six months ended June 30, 2021, Compensation and benefits expense for the six months ended June 30, 2022 increased $11.4 million, or 8%. The $15.2 million increase in salaries and benefits primarily due to a 15% increase in total average headcount, primarily attributed to a 17% increase in Servicing average headcount reflecting the hiring of employees to support the growth of our reverse mortgage subservicing platform, $3.6 million increase in severance, and $2.4 million increase in commissions driven by higher Originations volumes were partially offset by a $10.9 million decline in the fair value of cash-settled share-based awards as a result of a decrease in our common stock price and a reduction in expense due to forfeitures recognized in the first quarter of 2022. Our offshore-to-total average headcount ratio decreased from 69% in the six months ended June 30, 2021 to 65% in the six months ended June 30, 2022.</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Servicing and Origination Expense</w:t>
      </w:r>
    </w:p>
    <w:p>
      <w:pPr>
        <w:spacing w:after="0" w:line="115" w:lineRule="exact"/>
        <w:rPr>
          <w:sz w:val="20"/>
          <w:szCs w:val="20"/>
          <w:color w:val="auto"/>
        </w:rPr>
      </w:pPr>
    </w:p>
    <w:p>
      <w:pPr>
        <w:ind w:right="160"/>
        <w:spacing w:after="0" w:line="268" w:lineRule="auto"/>
        <w:rPr>
          <w:sz w:val="20"/>
          <w:szCs w:val="20"/>
          <w:color w:val="auto"/>
        </w:rPr>
      </w:pPr>
      <w:r>
        <w:rPr>
          <w:rFonts w:ascii="Arial" w:cs="Arial" w:eastAsia="Arial" w:hAnsi="Arial"/>
          <w:sz w:val="17"/>
          <w:szCs w:val="17"/>
          <w:color w:val="auto"/>
        </w:rPr>
        <w:t>Servicing and origination expense for the three months ended June 30, 2022 increased $4.9 million, or 35%, as compared to the three months ended March 31, 2022 due to a $4.0 million release of provision for indemnification recorded in the first quarter of 2022 due to a favorable settlement, and a $1.0 million increase in provision expense due to increased government-insured claim loss volumes.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7" w:right="339" w:bottom="1440" w:gutter="0" w:footer="0" w:header="0"/>
        </w:sectPr>
      </w:pPr>
    </w:p>
    <w:bookmarkStart w:id="63" w:name="page64"/>
    <w:bookmarkEnd w:id="63"/>
    <w:p>
      <w:pPr>
        <w:ind w:right="120"/>
        <w:spacing w:after="0" w:line="281" w:lineRule="auto"/>
        <w:rPr>
          <w:sz w:val="20"/>
          <w:szCs w:val="20"/>
          <w:color w:val="auto"/>
        </w:rPr>
      </w:pPr>
      <w:r>
        <w:rPr>
          <w:rFonts w:ascii="Arial" w:cs="Arial" w:eastAsia="Arial" w:hAnsi="Arial"/>
          <w:sz w:val="16"/>
          <w:szCs w:val="16"/>
          <w:color w:val="auto"/>
        </w:rPr>
        <w:t>As compared to the six months ended June 30, 2021, Servicing and origination expense for the six months ended June 30, 2022 decreased $20.8 million, or 39%, mostly attributed to the Servicing segment. The decline is primarily due to a $6.9 million decrease in satisfaction and interest on payoff expense attributable to lower payoff volume, a $5.7 million release of provisions for indemnification recorded in the six months ended June 30, 2022 related to favorable litigation settlements, a $4.7 million decrease in reverse subservicing expenses with the transfer of a subservicer to our reverse servicing platform beginning in the fourth quarter of 2021, and a $2.3 million reduction in interim subservicing costs incurred on bulk acquisitions in the first half of 2021.</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color w:val="auto"/>
        </w:rPr>
        <w:t>See Segment Results of Operations - Servicing for additional information.</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Operating Expenses</w:t>
      </w:r>
    </w:p>
    <w:p>
      <w:pPr>
        <w:spacing w:after="0" w:line="11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Professional services expense for the three months ended June 30, 2022 decreased $3.5 million, or 29%, as compared to the three months ended March 31, 2022, primarily due to an increase in the recovery of legal expenses related to litigation settlements, which were $11.1 million in the second quarter of 2022 as compared to $9.9 million in the first quarter of 2022, and a $2.0 million decrease in expenses related to other legal matters</w:t>
      </w:r>
    </w:p>
    <w:p>
      <w:pPr>
        <w:spacing w:after="0" w:line="69"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As compared to the six months ended June 30, 2021, Professional services expense for the six months ended June 30, 2022 decreased $22.0 million, or 51%, primarily due to a $24.6 million decline in legal expenses offset in part by a $2.3 million increase in other professional services. The net decrease in legal expenses is largely due to $21.0 million of recoveries of prior year expenses during the six months ended June 30, 2022 related to litigation settlements and a $3.4 million decrease in expenses related to other legal matters. The net increase in other professional services is driven by $7.3 million additional expense related to our reverse subservicing business offset by $3.2 million of advisory fees recorded in the six months ended June 30, 2021 related to the launch of MAV Canopy and a $1.8 million decline in Originations outsourced surge resources utilized during the six months ended June 30, 2021.</w:t>
      </w:r>
    </w:p>
    <w:p>
      <w:pPr>
        <w:spacing w:after="0" w:line="65" w:lineRule="exact"/>
        <w:rPr>
          <w:sz w:val="20"/>
          <w:szCs w:val="20"/>
          <w:color w:val="auto"/>
        </w:rPr>
      </w:pPr>
    </w:p>
    <w:p>
      <w:pPr>
        <w:ind w:right="60"/>
        <w:spacing w:after="0" w:line="263" w:lineRule="auto"/>
        <w:rPr>
          <w:sz w:val="20"/>
          <w:szCs w:val="20"/>
          <w:color w:val="auto"/>
        </w:rPr>
      </w:pPr>
      <w:r>
        <w:rPr>
          <w:rFonts w:ascii="Arial" w:cs="Arial" w:eastAsia="Arial" w:hAnsi="Arial"/>
          <w:sz w:val="17"/>
          <w:szCs w:val="17"/>
          <w:color w:val="auto"/>
        </w:rPr>
        <w:t>Occupancy and equipment expense for the three months ended June 30, 2022 remained flat as compared to the three months ended March 31, 2022. As compared to the six months ended June 30, 2021, Occupancy and equipment expense for the six months ended June 30, 2022 increased $3.0 million, or 18%, largely driven by an increase in postage and mailing expenses associated with an increased average number of loans serviced and the acquisition of reverse mortgage subservicing.</w:t>
      </w:r>
    </w:p>
    <w:p>
      <w:pPr>
        <w:spacing w:after="0" w:line="73"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Technology and communication expense for the three months ended June 30, 2022 remained flat as compared to the three months ended March 31, 2022. As compared to the six months ended June 30, 2021, Technology and communication expense for the six months ended June 30, 2022 increased $3.3 million, or 13%, largely driven by higher servicing system expenses due to the increase in the average number of loans serviced and higher technology expenses attributed to higher loan production volume.</w:t>
      </w:r>
    </w:p>
    <w:p>
      <w:pPr>
        <w:spacing w:after="0" w:line="61" w:lineRule="exact"/>
        <w:rPr>
          <w:sz w:val="20"/>
          <w:szCs w:val="20"/>
          <w:color w:val="auto"/>
        </w:rPr>
      </w:pPr>
    </w:p>
    <w:p>
      <w:pPr>
        <w:jc w:val="both"/>
        <w:ind w:right="200"/>
        <w:spacing w:after="0" w:line="251" w:lineRule="auto"/>
        <w:rPr>
          <w:sz w:val="20"/>
          <w:szCs w:val="20"/>
          <w:color w:val="auto"/>
        </w:rPr>
      </w:pPr>
      <w:r>
        <w:rPr>
          <w:rFonts w:ascii="Arial" w:cs="Arial" w:eastAsia="Arial" w:hAnsi="Arial"/>
          <w:sz w:val="16"/>
          <w:szCs w:val="16"/>
          <w:color w:val="auto"/>
        </w:rPr>
        <w:t>Other expenses for the three months ended June 30, 2022 remained mostly flat as compared to the three months ended March 31, 2022. As compared to the six months ended June 30, 2021, Other expenses for the six months ended June 30, 2022 increased $7.1 million mainly due to a $2.0 million increase in advertising expense in our Reverse Originations business, $2.1 million of amortization expense on the reverse subservicing contract intangible asset recognized in October 2021 and April 2022, and a $1.3 million increase in miscellaneous other expenses, including travel expenses.</w:t>
      </w:r>
    </w:p>
    <w:p>
      <w:pPr>
        <w:spacing w:after="0" w:line="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Income (Loss)</w:t>
      </w:r>
    </w:p>
    <w:p>
      <w:pPr>
        <w:spacing w:after="0" w:line="115" w:lineRule="exact"/>
        <w:rPr>
          <w:sz w:val="20"/>
          <w:szCs w:val="20"/>
          <w:color w:val="auto"/>
        </w:rPr>
      </w:pPr>
    </w:p>
    <w:p>
      <w:pPr>
        <w:ind w:right="40"/>
        <w:spacing w:after="0" w:line="263" w:lineRule="auto"/>
        <w:rPr>
          <w:sz w:val="20"/>
          <w:szCs w:val="20"/>
          <w:color w:val="auto"/>
        </w:rPr>
      </w:pPr>
      <w:r>
        <w:rPr>
          <w:rFonts w:ascii="Arial" w:cs="Arial" w:eastAsia="Arial" w:hAnsi="Arial"/>
          <w:sz w:val="17"/>
          <w:szCs w:val="17"/>
          <w:color w:val="auto"/>
        </w:rPr>
        <w:t>Interest income increased $2.6 million during the three months ended June 30, 2022 as compared to the three months ended March 31, 2022 primarily attributable to higher loan production volumes in Originations, partially offset by lower loans held for sale average balances in our Servicing segment. As compared to the six months ended June 30, 2021, interest income for the six months ended June 30, 2022 increased $8.8 million, primarily attributable to higher loan production volumes.</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Expense</w:t>
      </w:r>
    </w:p>
    <w:p>
      <w:pPr>
        <w:spacing w:after="0" w:line="102" w:lineRule="exact"/>
        <w:rPr>
          <w:sz w:val="20"/>
          <w:szCs w:val="20"/>
          <w:color w:val="auto"/>
        </w:rPr>
      </w:pPr>
    </w:p>
    <w:p>
      <w:pPr>
        <w:ind w:right="40"/>
        <w:spacing w:after="0" w:line="237" w:lineRule="auto"/>
        <w:rPr>
          <w:sz w:val="20"/>
          <w:szCs w:val="20"/>
          <w:color w:val="auto"/>
        </w:rPr>
      </w:pPr>
      <w:r>
        <w:rPr>
          <w:rFonts w:ascii="Arial" w:cs="Arial" w:eastAsia="Arial" w:hAnsi="Arial"/>
          <w:sz w:val="17"/>
          <w:szCs w:val="17"/>
          <w:color w:val="auto"/>
        </w:rPr>
        <w:t>Interest expense for the three months ended June 30, 2022 was unchanged as compared to the three months ended March 31, 2022, as the effects of a $141.5 million lower average debt balance on our asset backed financing, primarily driven by lower loans held for sale average balances, was offset by an average 33 bps higher cost of funds driven by increased underlying reference interest rates.</w:t>
      </w:r>
    </w:p>
    <w:p>
      <w:pPr>
        <w:spacing w:after="0" w:line="80" w:lineRule="exact"/>
        <w:rPr>
          <w:sz w:val="20"/>
          <w:szCs w:val="20"/>
          <w:color w:val="auto"/>
        </w:rPr>
      </w:pPr>
    </w:p>
    <w:p>
      <w:pPr>
        <w:ind w:right="20"/>
        <w:spacing w:after="0" w:line="309" w:lineRule="auto"/>
        <w:rPr>
          <w:sz w:val="20"/>
          <w:szCs w:val="20"/>
          <w:color w:val="auto"/>
        </w:rPr>
      </w:pPr>
      <w:r>
        <w:rPr>
          <w:rFonts w:ascii="Arial" w:cs="Arial" w:eastAsia="Arial" w:hAnsi="Arial"/>
          <w:sz w:val="15"/>
          <w:szCs w:val="15"/>
          <w:color w:val="auto"/>
        </w:rPr>
        <w:t>As compared to the six months ended June 30, 2021, Interest expense for the six months ended June 30, 2022 increased $13.7 million, or 22%, due to a $739.9 million or 47% higher average debt balance on our asset backed financing, primarily to finance our increased loan production volumes and MSR portfolio growth, and $64.9 million or 8% higher average corporate debt with the issuance of senior secured notes as part of our corporate debt refinancing in the first and second quarters of 2021, partially offset by 60 bps or 11% lower cost of funds primarily driven by improved pricing across our asset backed financing facilities.</w:t>
      </w: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color w:val="auto"/>
        </w:rPr>
        <w:t>See Segment Results of Operations - Servicing for information regarding Pledged MSR liability expense.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967" w:right="359" w:bottom="1440" w:gutter="0" w:footer="0" w:header="0"/>
        </w:sectPr>
      </w:pPr>
    </w:p>
    <w:bookmarkStart w:id="64" w:name="page65"/>
    <w:bookmarkEnd w:id="64"/>
    <w:p>
      <w:pPr>
        <w:ind w:right="80"/>
        <w:spacing w:after="0" w:line="263" w:lineRule="auto"/>
        <w:rPr>
          <w:sz w:val="20"/>
          <w:szCs w:val="20"/>
          <w:color w:val="auto"/>
        </w:rPr>
      </w:pPr>
      <w:r>
        <w:rPr>
          <w:rFonts w:ascii="Arial" w:cs="Arial" w:eastAsia="Arial" w:hAnsi="Arial"/>
          <w:sz w:val="17"/>
          <w:szCs w:val="17"/>
          <w:color w:val="auto"/>
        </w:rPr>
        <w:t>Gain on debt extinguishment of $0.9 million for the three and six months ended June 30, 2022 resulted from our repurchase of $25.0 million PMC 7.875% Senior Secured Notes due March 2026 at a discount. Loss on debt extinguishment of $15.5 million for the six months ended June 30, 2021 was recognized in the first quarter of 2021 and resulted from our early repayment of the SSTL due May 2022, PHH 6.375% senior unsecured notes due August 2021, and PMC 8.375% senior secured notes due November 2022.</w:t>
      </w:r>
    </w:p>
    <w:p>
      <w:pPr>
        <w:spacing w:after="0" w:line="73" w:lineRule="exact"/>
        <w:rPr>
          <w:sz w:val="20"/>
          <w:szCs w:val="20"/>
          <w:color w:val="auto"/>
        </w:rPr>
      </w:pPr>
    </w:p>
    <w:p>
      <w:pPr>
        <w:ind w:right="200"/>
        <w:spacing w:after="0" w:line="268" w:lineRule="auto"/>
        <w:rPr>
          <w:sz w:val="20"/>
          <w:szCs w:val="20"/>
          <w:color w:val="auto"/>
        </w:rPr>
      </w:pPr>
      <w:r>
        <w:rPr>
          <w:rFonts w:ascii="Arial" w:cs="Arial" w:eastAsia="Arial" w:hAnsi="Arial"/>
          <w:sz w:val="17"/>
          <w:szCs w:val="17"/>
          <w:color w:val="auto"/>
        </w:rPr>
        <w:t>Earnings of equity method investee represent our 15% share of MAV Canopy from May 3, 2021. The higher earnings in the first quarter of 2022 as compared to the second quarter of 2022 is mostly due to the fair value gain recorded by MAV Canopy on its MSR portfolio due to rising interest rates. See Note 10 - Investment in Equity Method Investee and Related Party Transactions for further detail.</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3040" w:type="dxa"/>
            <w:vAlign w:val="bottom"/>
          </w:tcPr>
          <w:p>
            <w:pPr>
              <w:spacing w:after="0"/>
              <w:rPr>
                <w:sz w:val="20"/>
                <w:szCs w:val="20"/>
                <w:color w:val="auto"/>
              </w:rPr>
            </w:pPr>
            <w:r>
              <w:rPr>
                <w:rFonts w:ascii="Arial" w:cs="Arial" w:eastAsia="Arial" w:hAnsi="Arial"/>
                <w:sz w:val="17"/>
                <w:szCs w:val="17"/>
                <w:b w:val="1"/>
                <w:bCs w:val="1"/>
                <w:i w:val="1"/>
                <w:iCs w:val="1"/>
                <w:color w:val="auto"/>
              </w:rPr>
              <w:t>Income Tax Benefit (Expense)</w:t>
            </w: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349"/>
        </w:trPr>
        <w:tc>
          <w:tcPr>
            <w:tcW w:w="30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4"/>
          </w:tcPr>
          <w:p>
            <w:pPr>
              <w:jc w:val="right"/>
              <w:ind w:right="634"/>
              <w:spacing w:after="0"/>
              <w:rPr>
                <w:sz w:val="20"/>
                <w:szCs w:val="20"/>
                <w:color w:val="auto"/>
              </w:rPr>
            </w:pPr>
            <w:r>
              <w:rPr>
                <w:rFonts w:ascii="Arial" w:cs="Arial" w:eastAsia="Arial" w:hAnsi="Arial"/>
                <w:sz w:val="17"/>
                <w:szCs w:val="17"/>
                <w:b w:val="1"/>
                <w:bCs w:val="1"/>
                <w:color w:val="auto"/>
              </w:rPr>
              <w:t>Three Months Ended</w:t>
            </w:r>
          </w:p>
        </w:tc>
        <w:tc>
          <w:tcPr>
            <w:tcW w:w="12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4"/>
          </w:tcPr>
          <w:p>
            <w:pPr>
              <w:jc w:val="right"/>
              <w:ind w:right="754"/>
              <w:spacing w:after="0"/>
              <w:rPr>
                <w:sz w:val="20"/>
                <w:szCs w:val="20"/>
                <w:color w:val="auto"/>
              </w:rPr>
            </w:pPr>
            <w:r>
              <w:rPr>
                <w:rFonts w:ascii="Arial" w:cs="Arial" w:eastAsia="Arial" w:hAnsi="Arial"/>
                <w:sz w:val="17"/>
                <w:szCs w:val="17"/>
                <w:b w:val="1"/>
                <w:bCs w:val="1"/>
                <w:color w:val="auto"/>
              </w:rPr>
              <w:t>Six Months Ended</w:t>
            </w:r>
          </w:p>
        </w:tc>
        <w:tc>
          <w:tcPr>
            <w:tcW w:w="940" w:type="dxa"/>
            <w:vAlign w:val="bottom"/>
          </w:tcPr>
          <w:p>
            <w:pPr>
              <w:spacing w:after="0"/>
              <w:rPr>
                <w:sz w:val="24"/>
                <w:szCs w:val="24"/>
                <w:color w:val="auto"/>
              </w:rPr>
            </w:pPr>
          </w:p>
        </w:tc>
      </w:tr>
      <w:tr>
        <w:trPr>
          <w:trHeight w:val="239"/>
        </w:trPr>
        <w:tc>
          <w:tcPr>
            <w:tcW w:w="3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w w:val="91"/>
              </w:rPr>
              <w:t>June 30,</w:t>
            </w:r>
          </w:p>
        </w:tc>
        <w:tc>
          <w:tcPr>
            <w:tcW w:w="240" w:type="dxa"/>
            <w:vAlign w:val="bottom"/>
          </w:tcPr>
          <w:p>
            <w:pPr>
              <w:spacing w:after="0"/>
              <w:rPr>
                <w:sz w:val="20"/>
                <w:szCs w:val="20"/>
                <w:color w:val="auto"/>
              </w:rPr>
            </w:pPr>
          </w:p>
        </w:tc>
        <w:tc>
          <w:tcPr>
            <w:tcW w:w="1220" w:type="dxa"/>
            <w:vAlign w:val="bottom"/>
          </w:tcPr>
          <w:p>
            <w:pPr>
              <w:jc w:val="right"/>
              <w:ind w:right="274"/>
              <w:spacing w:after="0"/>
              <w:rPr>
                <w:sz w:val="20"/>
                <w:szCs w:val="20"/>
                <w:color w:val="auto"/>
              </w:rPr>
            </w:pPr>
            <w:r>
              <w:rPr>
                <w:rFonts w:ascii="Arial" w:cs="Arial" w:eastAsia="Arial" w:hAnsi="Arial"/>
                <w:sz w:val="17"/>
                <w:szCs w:val="17"/>
                <w:b w:val="1"/>
                <w:bCs w:val="1"/>
                <w:color w:val="auto"/>
              </w:rPr>
              <w:t>March 31,</w:t>
            </w:r>
          </w:p>
        </w:tc>
        <w:tc>
          <w:tcPr>
            <w:tcW w:w="1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gridSpan w:val="2"/>
          </w:tcPr>
          <w:p>
            <w:pPr>
              <w:ind w:left="160"/>
              <w:spacing w:after="0"/>
              <w:rPr>
                <w:sz w:val="20"/>
                <w:szCs w:val="20"/>
                <w:color w:val="auto"/>
              </w:rPr>
            </w:pPr>
            <w:r>
              <w:rPr>
                <w:rFonts w:ascii="Arial" w:cs="Arial" w:eastAsia="Arial" w:hAnsi="Arial"/>
                <w:sz w:val="17"/>
                <w:szCs w:val="17"/>
                <w:b w:val="1"/>
                <w:bCs w:val="1"/>
                <w:color w:val="auto"/>
              </w:rPr>
              <w:t>June 30,</w:t>
            </w:r>
          </w:p>
        </w:tc>
        <w:tc>
          <w:tcPr>
            <w:tcW w:w="280" w:type="dxa"/>
            <w:vAlign w:val="bottom"/>
          </w:tcPr>
          <w:p>
            <w:pPr>
              <w:spacing w:after="0"/>
              <w:rPr>
                <w:sz w:val="20"/>
                <w:szCs w:val="20"/>
                <w:color w:val="auto"/>
              </w:rPr>
            </w:pPr>
          </w:p>
        </w:tc>
        <w:tc>
          <w:tcPr>
            <w:tcW w:w="1200" w:type="dxa"/>
            <w:vAlign w:val="bottom"/>
          </w:tcPr>
          <w:p>
            <w:pPr>
              <w:jc w:val="right"/>
              <w:ind w:right="334"/>
              <w:spacing w:after="0"/>
              <w:rPr>
                <w:sz w:val="20"/>
                <w:szCs w:val="20"/>
                <w:color w:val="auto"/>
              </w:rPr>
            </w:pPr>
            <w:r>
              <w:rPr>
                <w:rFonts w:ascii="Arial" w:cs="Arial" w:eastAsia="Arial" w:hAnsi="Arial"/>
                <w:sz w:val="17"/>
                <w:szCs w:val="17"/>
                <w:b w:val="1"/>
                <w:bCs w:val="1"/>
                <w:color w:val="auto"/>
              </w:rPr>
              <w:t>June 30,</w:t>
            </w:r>
          </w:p>
        </w:tc>
        <w:tc>
          <w:tcPr>
            <w:tcW w:w="940" w:type="dxa"/>
            <w:vAlign w:val="bottom"/>
          </w:tcPr>
          <w:p>
            <w:pPr>
              <w:spacing w:after="0"/>
              <w:rPr>
                <w:sz w:val="20"/>
                <w:szCs w:val="20"/>
                <w:color w:val="auto"/>
              </w:rPr>
            </w:pPr>
          </w:p>
        </w:tc>
      </w:tr>
      <w:tr>
        <w:trPr>
          <w:trHeight w:val="258"/>
        </w:trPr>
        <w:tc>
          <w:tcPr>
            <w:tcW w:w="304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74"/>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474"/>
              <w:spacing w:after="0"/>
              <w:rPr>
                <w:sz w:val="20"/>
                <w:szCs w:val="20"/>
                <w:color w:val="auto"/>
              </w:rPr>
            </w:pPr>
            <w:r>
              <w:rPr>
                <w:rFonts w:ascii="Arial" w:cs="Arial" w:eastAsia="Arial" w:hAnsi="Arial"/>
                <w:sz w:val="17"/>
                <w:szCs w:val="17"/>
                <w:b w:val="1"/>
                <w:bCs w:val="1"/>
                <w:color w:val="auto"/>
              </w:rPr>
              <w:t>2022</w:t>
            </w:r>
          </w:p>
        </w:tc>
        <w:tc>
          <w:tcPr>
            <w:tcW w:w="1200" w:type="dxa"/>
            <w:vAlign w:val="bottom"/>
            <w:tcBorders>
              <w:bottom w:val="single" w:sz="8" w:color="CCEEFF"/>
            </w:tcBorders>
          </w:tcPr>
          <w:p>
            <w:pPr>
              <w:jc w:val="right"/>
              <w:ind w:right="134"/>
              <w:spacing w:after="0"/>
              <w:rPr>
                <w:sz w:val="20"/>
                <w:szCs w:val="20"/>
                <w:color w:val="auto"/>
              </w:rPr>
            </w:pPr>
            <w:r>
              <w:rPr>
                <w:rFonts w:ascii="Arial" w:cs="Arial" w:eastAsia="Arial" w:hAnsi="Arial"/>
                <w:sz w:val="17"/>
                <w:szCs w:val="17"/>
                <w:b w:val="1"/>
                <w:bCs w:val="1"/>
                <w:color w:val="auto"/>
              </w:rPr>
              <w:t>% Change</w:t>
            </w:r>
          </w:p>
        </w:tc>
        <w:tc>
          <w:tcPr>
            <w:tcW w:w="2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74"/>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74"/>
              <w:spacing w:after="0"/>
              <w:rPr>
                <w:sz w:val="20"/>
                <w:szCs w:val="20"/>
                <w:color w:val="auto"/>
              </w:rPr>
            </w:pPr>
            <w:r>
              <w:rPr>
                <w:rFonts w:ascii="Arial" w:cs="Arial" w:eastAsia="Arial" w:hAnsi="Arial"/>
                <w:sz w:val="17"/>
                <w:szCs w:val="17"/>
                <w:b w:val="1"/>
                <w:bCs w:val="1"/>
                <w:color w:val="auto"/>
              </w:rPr>
              <w:t>2021</w:t>
            </w:r>
          </w:p>
        </w:tc>
        <w:tc>
          <w:tcPr>
            <w:tcW w:w="940" w:type="dxa"/>
            <w:vAlign w:val="bottom"/>
            <w:tcBorders>
              <w:bottom w:val="single" w:sz="8" w:color="CCEEFF"/>
            </w:tcBorders>
          </w:tcPr>
          <w:p>
            <w:pPr>
              <w:jc w:val="right"/>
              <w:spacing w:after="0"/>
              <w:rPr>
                <w:sz w:val="20"/>
                <w:szCs w:val="20"/>
                <w:color w:val="auto"/>
              </w:rPr>
            </w:pPr>
            <w:r>
              <w:rPr>
                <w:rFonts w:ascii="Arial" w:cs="Arial" w:eastAsia="Arial" w:hAnsi="Arial"/>
                <w:sz w:val="17"/>
                <w:szCs w:val="17"/>
                <w:b w:val="1"/>
                <w:bCs w:val="1"/>
                <w:color w:val="auto"/>
              </w:rPr>
              <w:t>% Change</w:t>
            </w:r>
          </w:p>
        </w:tc>
      </w:tr>
      <w:tr>
        <w:trPr>
          <w:trHeight w:val="213"/>
        </w:trPr>
        <w:tc>
          <w:tcPr>
            <w:tcW w:w="30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Income tax expense (benefit)</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ind w:left="700"/>
              <w:spacing w:after="0"/>
              <w:rPr>
                <w:sz w:val="20"/>
                <w:szCs w:val="20"/>
                <w:color w:val="auto"/>
              </w:rPr>
            </w:pPr>
            <w:r>
              <w:rPr>
                <w:rFonts w:ascii="Arial" w:cs="Arial" w:eastAsia="Arial" w:hAnsi="Arial"/>
                <w:sz w:val="17"/>
                <w:szCs w:val="17"/>
                <w:color w:val="auto"/>
              </w:rPr>
              <w:t>(0.9)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3.2</w:t>
            </w:r>
          </w:p>
        </w:tc>
        <w:tc>
          <w:tcPr>
            <w:tcW w:w="120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(128)%</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2.3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(8.8)</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(126)</w:t>
            </w:r>
          </w:p>
        </w:tc>
      </w:tr>
      <w:tr>
        <w:trPr>
          <w:trHeight w:val="155"/>
        </w:trPr>
        <w:tc>
          <w:tcPr>
            <w:tcW w:w="30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220"/>
        </w:trPr>
        <w:tc>
          <w:tcPr>
            <w:tcW w:w="30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Income (loss) before income taxes</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9.4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61.3</w:t>
            </w:r>
          </w:p>
        </w:tc>
        <w:tc>
          <w:tcPr>
            <w:tcW w:w="120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(85)%</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70.8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(10.6)</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(768)</w:t>
            </w:r>
          </w:p>
        </w:tc>
      </w:tr>
      <w:tr>
        <w:trPr>
          <w:trHeight w:val="220"/>
        </w:trPr>
        <w:tc>
          <w:tcPr>
            <w:tcW w:w="3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0"/>
        </w:trPr>
        <w:tc>
          <w:tcPr>
            <w:tcW w:w="30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Effective tax rate</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ind w:left="700"/>
              <w:spacing w:after="0"/>
              <w:rPr>
                <w:sz w:val="20"/>
                <w:szCs w:val="20"/>
                <w:color w:val="auto"/>
              </w:rPr>
            </w:pPr>
            <w:r>
              <w:rPr>
                <w:rFonts w:ascii="Arial" w:cs="Arial" w:eastAsia="Arial" w:hAnsi="Arial"/>
                <w:sz w:val="17"/>
                <w:szCs w:val="17"/>
                <w:color w:val="auto"/>
                <w:w w:val="95"/>
              </w:rPr>
              <w:t>(9.8)%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5.3 %</w:t>
            </w:r>
          </w:p>
        </w:tc>
        <w:tc>
          <w:tcPr>
            <w:tcW w:w="120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(285)%</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83.2 %</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w:t>
            </w:r>
          </w:p>
        </w:tc>
      </w:tr>
    </w:tbl>
    <w:p>
      <w:pPr>
        <w:spacing w:after="0" w:line="181" w:lineRule="exact"/>
        <w:rPr>
          <w:sz w:val="20"/>
          <w:szCs w:val="20"/>
          <w:color w:val="auto"/>
        </w:rPr>
      </w:pPr>
    </w:p>
    <w:p>
      <w:pPr>
        <w:ind w:right="240"/>
        <w:spacing w:after="0" w:line="261" w:lineRule="auto"/>
        <w:rPr>
          <w:sz w:val="20"/>
          <w:szCs w:val="20"/>
          <w:color w:val="auto"/>
        </w:rPr>
      </w:pPr>
      <w:r>
        <w:rPr>
          <w:rFonts w:ascii="Arial" w:cs="Arial" w:eastAsia="Arial" w:hAnsi="Arial"/>
          <w:sz w:val="17"/>
          <w:szCs w:val="17"/>
          <w:color w:val="auto"/>
        </w:rPr>
        <w:t>Our effective tax rate for the periods indicated in the table above differs from the federal statutory income tax rate primarily due to the full valuation allowance recorded on our net federal and state deferred tax assets. Also refer to Note 21 - Income Taxes to the consolidated financial statements in our Annual Report on Form 10-K for the year ended December 31, 2021 for further details on deferred tax assets. Ocwen evaluated all positive and negative evidence and determined that a full valuation allowance at June 30, 2022 remains appropriate. The income tax expense (benefit) is primarily comprised of income taxes in foreign jurisdictions and changes in uncertain tax positions.</w:t>
      </w:r>
    </w:p>
    <w:p>
      <w:pPr>
        <w:spacing w:after="0" w:line="61" w:lineRule="exact"/>
        <w:rPr>
          <w:sz w:val="20"/>
          <w:szCs w:val="20"/>
          <w:color w:val="auto"/>
        </w:rPr>
      </w:pPr>
    </w:p>
    <w:p>
      <w:pPr>
        <w:ind w:right="180"/>
        <w:spacing w:after="0" w:line="284" w:lineRule="auto"/>
        <w:rPr>
          <w:sz w:val="20"/>
          <w:szCs w:val="20"/>
          <w:color w:val="auto"/>
        </w:rPr>
      </w:pPr>
      <w:r>
        <w:rPr>
          <w:rFonts w:ascii="Arial" w:cs="Arial" w:eastAsia="Arial" w:hAnsi="Arial"/>
          <w:sz w:val="15"/>
          <w:szCs w:val="15"/>
          <w:color w:val="auto"/>
        </w:rPr>
        <w:t>The $0.9 million income tax benefit recognized in the three months ended June 30, 2022 was driven primarily by a decrease in the projected annual effective tax rate applied to year-to-date pre-tax earnings. The income tax expense recognized in the three months ended March 31, 2022 was driven primarily by projected income tax expense related to pre-tax earnings, partially offset by income tax benefit recognized related to the favorable resolution of an uncertain tax position.</w:t>
      </w:r>
    </w:p>
    <w:p>
      <w:pPr>
        <w:spacing w:after="0" w:line="47" w:lineRule="exact"/>
        <w:rPr>
          <w:sz w:val="20"/>
          <w:szCs w:val="20"/>
          <w:color w:val="auto"/>
        </w:rPr>
      </w:pPr>
    </w:p>
    <w:p>
      <w:pPr>
        <w:ind w:right="100"/>
        <w:spacing w:after="0" w:line="259" w:lineRule="auto"/>
        <w:rPr>
          <w:sz w:val="20"/>
          <w:szCs w:val="20"/>
          <w:color w:val="auto"/>
        </w:rPr>
      </w:pPr>
      <w:r>
        <w:rPr>
          <w:rFonts w:ascii="Arial" w:cs="Arial" w:eastAsia="Arial" w:hAnsi="Arial"/>
          <w:sz w:val="17"/>
          <w:szCs w:val="17"/>
          <w:color w:val="auto"/>
        </w:rPr>
        <w:t>For the six months ended June 30, 2022, income tax expense of $2.3 million was driven by projected income tax expense related to pre-tax earnings, partially offset by an income tax benefit related to the favorable resolution of an uncertain tax position. As compared with the six months ended June 30, 2021, income tax expense for the six months ended June 30, 2022 increased $11.1 million primarily due to higher pre-tax earnings and a $7.3 million reduction in the amount of income tax benefit related to the favorable resolution of uncertain tax positions. The decline in the effective tax rate is primarily due to the $81.4 million increase in pre-tax earnings in the six months ended June 30, 2022 compared to the same period in 2021, as well as the reduction in the income tax benefit related to the favorable resolution of uncertain tax positions.</w:t>
      </w:r>
    </w:p>
    <w:p>
      <w:pPr>
        <w:spacing w:after="0" w:line="78" w:lineRule="exact"/>
        <w:rPr>
          <w:sz w:val="20"/>
          <w:szCs w:val="20"/>
          <w:color w:val="auto"/>
        </w:rPr>
      </w:pPr>
    </w:p>
    <w:p>
      <w:pPr>
        <w:ind w:right="180"/>
        <w:spacing w:after="0" w:line="268" w:lineRule="auto"/>
        <w:rPr>
          <w:sz w:val="20"/>
          <w:szCs w:val="20"/>
          <w:color w:val="auto"/>
        </w:rPr>
      </w:pPr>
      <w:r>
        <w:rPr>
          <w:rFonts w:ascii="Arial" w:cs="Arial" w:eastAsia="Arial" w:hAnsi="Arial"/>
          <w:sz w:val="17"/>
          <w:szCs w:val="17"/>
          <w:color w:val="auto"/>
        </w:rPr>
        <w:t>Under our transfer pricing agreements, our operations in India and Philippines are compensated on a cost-plus basis for the services they provide, such that even when we have a consolidated pre-tax loss from operations these foreign operations have taxable income, which is subject to statutory tax rates in these jurisdictions that are higher than the U.S. statutory rate of 21%.</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7" w:right="33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219"/>
        </w:trPr>
        <w:tc>
          <w:tcPr>
            <w:tcW w:w="5320" w:type="dxa"/>
            <w:vAlign w:val="bottom"/>
          </w:tcPr>
          <w:p>
            <w:pPr>
              <w:spacing w:after="0"/>
              <w:rPr>
                <w:sz w:val="20"/>
                <w:szCs w:val="20"/>
                <w:color w:val="auto"/>
              </w:rPr>
            </w:pPr>
            <w:r>
              <w:rPr>
                <w:rFonts w:ascii="Arial" w:cs="Arial" w:eastAsia="Arial" w:hAnsi="Arial"/>
                <w:sz w:val="17"/>
                <w:szCs w:val="17"/>
                <w:b w:val="1"/>
                <w:bCs w:val="1"/>
                <w:i w:val="1"/>
                <w:iCs w:val="1"/>
                <w:color w:val="auto"/>
              </w:rPr>
              <w:t>Financial Condition</w:t>
            </w: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349"/>
        </w:trPr>
        <w:tc>
          <w:tcPr>
            <w:tcW w:w="5320" w:type="dxa"/>
            <w:vAlign w:val="bottom"/>
          </w:tcPr>
          <w:p>
            <w:pPr>
              <w:ind w:left="20"/>
              <w:spacing w:after="0"/>
              <w:rPr>
                <w:sz w:val="20"/>
                <w:szCs w:val="20"/>
                <w:color w:val="auto"/>
              </w:rPr>
            </w:pPr>
            <w:r>
              <w:rPr>
                <w:rFonts w:ascii="Arial" w:cs="Arial" w:eastAsia="Arial" w:hAnsi="Arial"/>
                <w:sz w:val="17"/>
                <w:szCs w:val="17"/>
                <w:b w:val="1"/>
                <w:bCs w:val="1"/>
                <w:color w:val="auto"/>
              </w:rPr>
              <w:t>Financial Condition Summary</w:t>
            </w:r>
          </w:p>
        </w:tc>
        <w:tc>
          <w:tcPr>
            <w:tcW w:w="180" w:type="dxa"/>
            <w:vAlign w:val="bottom"/>
          </w:tcPr>
          <w:p>
            <w:pPr>
              <w:spacing w:after="0"/>
              <w:rPr>
                <w:sz w:val="24"/>
                <w:szCs w:val="24"/>
                <w:color w:val="auto"/>
              </w:rPr>
            </w:pPr>
          </w:p>
        </w:tc>
        <w:tc>
          <w:tcPr>
            <w:tcW w:w="1420" w:type="dxa"/>
            <w:vAlign w:val="bottom"/>
            <w:gridSpan w:val="2"/>
          </w:tcPr>
          <w:p>
            <w:pPr>
              <w:ind w:left="60"/>
              <w:spacing w:after="0"/>
              <w:rPr>
                <w:sz w:val="20"/>
                <w:szCs w:val="20"/>
                <w:color w:val="auto"/>
              </w:rPr>
            </w:pPr>
            <w:r>
              <w:rPr>
                <w:rFonts w:ascii="Arial" w:cs="Arial" w:eastAsia="Arial" w:hAnsi="Arial"/>
                <w:sz w:val="17"/>
                <w:szCs w:val="17"/>
                <w:b w:val="1"/>
                <w:bCs w:val="1"/>
                <w:color w:val="auto"/>
              </w:rPr>
              <w:t>June 30, 2022</w:t>
            </w:r>
          </w:p>
        </w:tc>
        <w:tc>
          <w:tcPr>
            <w:tcW w:w="1620" w:type="dxa"/>
            <w:vAlign w:val="bottom"/>
            <w:gridSpan w:val="3"/>
          </w:tcPr>
          <w:p>
            <w:pPr>
              <w:ind w:left="60"/>
              <w:spacing w:after="0"/>
              <w:rPr>
                <w:sz w:val="20"/>
                <w:szCs w:val="20"/>
                <w:color w:val="auto"/>
              </w:rPr>
            </w:pPr>
            <w:r>
              <w:rPr>
                <w:rFonts w:ascii="Arial" w:cs="Arial" w:eastAsia="Arial" w:hAnsi="Arial"/>
                <w:sz w:val="17"/>
                <w:szCs w:val="17"/>
                <w:b w:val="1"/>
                <w:bCs w:val="1"/>
                <w:color w:val="auto"/>
              </w:rPr>
              <w:t>December 31, 2021</w:t>
            </w:r>
          </w:p>
        </w:tc>
        <w:tc>
          <w:tcPr>
            <w:tcW w:w="240" w:type="dxa"/>
            <w:vAlign w:val="bottom"/>
          </w:tcPr>
          <w:p>
            <w:pPr>
              <w:spacing w:after="0"/>
              <w:rPr>
                <w:sz w:val="24"/>
                <w:szCs w:val="24"/>
                <w:color w:val="auto"/>
              </w:rPr>
            </w:pPr>
          </w:p>
        </w:tc>
        <w:tc>
          <w:tcPr>
            <w:tcW w:w="1180" w:type="dxa"/>
            <w:vAlign w:val="bottom"/>
          </w:tcPr>
          <w:p>
            <w:pPr>
              <w:jc w:val="right"/>
              <w:ind w:right="254"/>
              <w:spacing w:after="0"/>
              <w:rPr>
                <w:sz w:val="20"/>
                <w:szCs w:val="20"/>
                <w:color w:val="auto"/>
              </w:rPr>
            </w:pPr>
            <w:r>
              <w:rPr>
                <w:rFonts w:ascii="Arial" w:cs="Arial" w:eastAsia="Arial" w:hAnsi="Arial"/>
                <w:sz w:val="17"/>
                <w:szCs w:val="17"/>
                <w:b w:val="1"/>
                <w:bCs w:val="1"/>
                <w:color w:val="auto"/>
              </w:rPr>
              <w:t>$ Change</w:t>
            </w:r>
          </w:p>
        </w:tc>
        <w:tc>
          <w:tcPr>
            <w:tcW w:w="1240" w:type="dxa"/>
            <w:vAlign w:val="bottom"/>
          </w:tcPr>
          <w:p>
            <w:pPr>
              <w:ind w:left="280"/>
              <w:spacing w:after="0"/>
              <w:rPr>
                <w:sz w:val="20"/>
                <w:szCs w:val="20"/>
                <w:color w:val="auto"/>
              </w:rPr>
            </w:pPr>
            <w:r>
              <w:rPr>
                <w:rFonts w:ascii="Arial" w:cs="Arial" w:eastAsia="Arial" w:hAnsi="Arial"/>
                <w:sz w:val="17"/>
                <w:szCs w:val="17"/>
                <w:b w:val="1"/>
                <w:bCs w:val="1"/>
                <w:color w:val="auto"/>
              </w:rPr>
              <w:t>% Change</w:t>
            </w:r>
          </w:p>
        </w:tc>
      </w:tr>
      <w:tr>
        <w:trPr>
          <w:trHeight w:val="213"/>
        </w:trPr>
        <w:tc>
          <w:tcPr>
            <w:tcW w:w="5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Cash</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tcBorders>
              <w:top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255.9</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194"/>
              <w:spacing w:after="0"/>
              <w:rPr>
                <w:sz w:val="20"/>
                <w:szCs w:val="20"/>
                <w:color w:val="auto"/>
              </w:rPr>
            </w:pPr>
            <w:r>
              <w:rPr>
                <w:rFonts w:ascii="Arial" w:cs="Arial" w:eastAsia="Arial" w:hAnsi="Arial"/>
                <w:sz w:val="17"/>
                <w:szCs w:val="17"/>
                <w:color w:val="auto"/>
              </w:rPr>
              <w:t>$</w:t>
            </w:r>
          </w:p>
        </w:tc>
        <w:tc>
          <w:tcPr>
            <w:tcW w:w="1120" w:type="dxa"/>
            <w:vAlign w:val="bottom"/>
            <w:tcBorders>
              <w:top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192.8</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180" w:type="dxa"/>
            <w:vAlign w:val="bottom"/>
            <w:tcBorders>
              <w:top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63.1</w:t>
            </w:r>
          </w:p>
        </w:tc>
        <w:tc>
          <w:tcPr>
            <w:tcW w:w="1240" w:type="dxa"/>
            <w:vAlign w:val="bottom"/>
            <w:tcBorders>
              <w:top w:val="single" w:sz="8" w:color="auto"/>
            </w:tcBorders>
            <w:shd w:val="clear" w:color="auto" w:fill="CCEEFF"/>
          </w:tcPr>
          <w:p>
            <w:pPr>
              <w:ind w:left="840"/>
              <w:spacing w:after="0"/>
              <w:rPr>
                <w:sz w:val="20"/>
                <w:szCs w:val="20"/>
                <w:color w:val="auto"/>
              </w:rPr>
            </w:pPr>
            <w:r>
              <w:rPr>
                <w:rFonts w:ascii="Arial" w:cs="Arial" w:eastAsia="Arial" w:hAnsi="Arial"/>
                <w:sz w:val="17"/>
                <w:szCs w:val="17"/>
                <w:color w:val="auto"/>
                <w:w w:val="97"/>
              </w:rPr>
              <w:t>33 %</w:t>
            </w:r>
          </w:p>
        </w:tc>
      </w:tr>
      <w:tr>
        <w:trPr>
          <w:trHeight w:val="220"/>
        </w:trPr>
        <w:tc>
          <w:tcPr>
            <w:tcW w:w="5320" w:type="dxa"/>
            <w:vAlign w:val="bottom"/>
          </w:tcPr>
          <w:p>
            <w:pPr>
              <w:ind w:left="20"/>
              <w:spacing w:after="0"/>
              <w:rPr>
                <w:sz w:val="20"/>
                <w:szCs w:val="20"/>
                <w:color w:val="auto"/>
              </w:rPr>
            </w:pPr>
            <w:r>
              <w:rPr>
                <w:rFonts w:ascii="Arial" w:cs="Arial" w:eastAsia="Arial" w:hAnsi="Arial"/>
                <w:sz w:val="17"/>
                <w:szCs w:val="17"/>
                <w:color w:val="auto"/>
              </w:rPr>
              <w:t>Restricted cash</w:t>
            </w:r>
          </w:p>
        </w:tc>
        <w:tc>
          <w:tcPr>
            <w:tcW w:w="180" w:type="dxa"/>
            <w:vAlign w:val="bottom"/>
          </w:tcPr>
          <w:p>
            <w:pPr>
              <w:spacing w:after="0"/>
              <w:rPr>
                <w:sz w:val="19"/>
                <w:szCs w:val="19"/>
                <w:color w:val="auto"/>
              </w:rPr>
            </w:pPr>
          </w:p>
        </w:tc>
        <w:tc>
          <w:tcPr>
            <w:tcW w:w="1320" w:type="dxa"/>
            <w:vAlign w:val="bottom"/>
          </w:tcPr>
          <w:p>
            <w:pPr>
              <w:jc w:val="right"/>
              <w:ind w:right="134"/>
              <w:spacing w:after="0"/>
              <w:rPr>
                <w:sz w:val="20"/>
                <w:szCs w:val="20"/>
                <w:color w:val="auto"/>
              </w:rPr>
            </w:pPr>
            <w:r>
              <w:rPr>
                <w:rFonts w:ascii="Arial" w:cs="Arial" w:eastAsia="Arial" w:hAnsi="Arial"/>
                <w:sz w:val="17"/>
                <w:szCs w:val="17"/>
                <w:color w:val="auto"/>
              </w:rPr>
              <w:t>66.7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jc w:val="right"/>
              <w:ind w:right="134"/>
              <w:spacing w:after="0"/>
              <w:rPr>
                <w:sz w:val="20"/>
                <w:szCs w:val="20"/>
                <w:color w:val="auto"/>
              </w:rPr>
            </w:pPr>
            <w:r>
              <w:rPr>
                <w:rFonts w:ascii="Arial" w:cs="Arial" w:eastAsia="Arial" w:hAnsi="Arial"/>
                <w:sz w:val="17"/>
                <w:szCs w:val="17"/>
                <w:color w:val="auto"/>
              </w:rPr>
              <w:t>70.7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ind w:right="134"/>
              <w:spacing w:after="0"/>
              <w:rPr>
                <w:sz w:val="20"/>
                <w:szCs w:val="20"/>
                <w:color w:val="auto"/>
              </w:rPr>
            </w:pPr>
            <w:r>
              <w:rPr>
                <w:rFonts w:ascii="Arial" w:cs="Arial" w:eastAsia="Arial" w:hAnsi="Arial"/>
                <w:sz w:val="17"/>
                <w:szCs w:val="17"/>
                <w:color w:val="auto"/>
              </w:rPr>
              <w:t>(4.0)</w:t>
            </w:r>
          </w:p>
        </w:tc>
        <w:tc>
          <w:tcPr>
            <w:tcW w:w="1240" w:type="dxa"/>
            <w:vAlign w:val="bottom"/>
          </w:tcPr>
          <w:p>
            <w:pPr>
              <w:jc w:val="right"/>
              <w:ind w:right="94"/>
              <w:spacing w:after="0"/>
              <w:rPr>
                <w:sz w:val="20"/>
                <w:szCs w:val="20"/>
                <w:color w:val="auto"/>
              </w:rPr>
            </w:pPr>
            <w:r>
              <w:rPr>
                <w:rFonts w:ascii="Arial" w:cs="Arial" w:eastAsia="Arial" w:hAnsi="Arial"/>
                <w:sz w:val="17"/>
                <w:szCs w:val="17"/>
                <w:color w:val="auto"/>
              </w:rPr>
              <w:t>(6)</w:t>
            </w:r>
          </w:p>
        </w:tc>
      </w:tr>
      <w:tr>
        <w:trPr>
          <w:trHeight w:val="220"/>
        </w:trPr>
        <w:tc>
          <w:tcPr>
            <w:tcW w:w="5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MSRs, at fair value</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2,485.7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2,250.1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235.5</w:t>
            </w:r>
          </w:p>
        </w:tc>
        <w:tc>
          <w:tcPr>
            <w:tcW w:w="1240" w:type="dxa"/>
            <w:vAlign w:val="bottom"/>
            <w:shd w:val="clear" w:color="auto" w:fill="CCEEFF"/>
          </w:tcPr>
          <w:p>
            <w:pPr>
              <w:ind w:left="840"/>
              <w:spacing w:after="0"/>
              <w:rPr>
                <w:sz w:val="20"/>
                <w:szCs w:val="20"/>
                <w:color w:val="auto"/>
              </w:rPr>
            </w:pPr>
            <w:r>
              <w:rPr>
                <w:rFonts w:ascii="Arial" w:cs="Arial" w:eastAsia="Arial" w:hAnsi="Arial"/>
                <w:sz w:val="17"/>
                <w:szCs w:val="17"/>
                <w:color w:val="auto"/>
              </w:rPr>
              <w:t>10</w:t>
            </w:r>
          </w:p>
        </w:tc>
      </w:tr>
      <w:tr>
        <w:trPr>
          <w:trHeight w:val="220"/>
        </w:trPr>
        <w:tc>
          <w:tcPr>
            <w:tcW w:w="5320" w:type="dxa"/>
            <w:vAlign w:val="bottom"/>
          </w:tcPr>
          <w:p>
            <w:pPr>
              <w:ind w:left="20"/>
              <w:spacing w:after="0"/>
              <w:rPr>
                <w:sz w:val="20"/>
                <w:szCs w:val="20"/>
                <w:color w:val="auto"/>
              </w:rPr>
            </w:pPr>
            <w:r>
              <w:rPr>
                <w:rFonts w:ascii="Arial" w:cs="Arial" w:eastAsia="Arial" w:hAnsi="Arial"/>
                <w:sz w:val="17"/>
                <w:szCs w:val="17"/>
                <w:color w:val="auto"/>
              </w:rPr>
              <w:t>Advances, net</w:t>
            </w:r>
          </w:p>
        </w:tc>
        <w:tc>
          <w:tcPr>
            <w:tcW w:w="180" w:type="dxa"/>
            <w:vAlign w:val="bottom"/>
          </w:tcPr>
          <w:p>
            <w:pPr>
              <w:spacing w:after="0"/>
              <w:rPr>
                <w:sz w:val="19"/>
                <w:szCs w:val="19"/>
                <w:color w:val="auto"/>
              </w:rPr>
            </w:pPr>
          </w:p>
        </w:tc>
        <w:tc>
          <w:tcPr>
            <w:tcW w:w="1320" w:type="dxa"/>
            <w:vAlign w:val="bottom"/>
          </w:tcPr>
          <w:p>
            <w:pPr>
              <w:jc w:val="right"/>
              <w:ind w:right="134"/>
              <w:spacing w:after="0"/>
              <w:rPr>
                <w:sz w:val="20"/>
                <w:szCs w:val="20"/>
                <w:color w:val="auto"/>
              </w:rPr>
            </w:pPr>
            <w:r>
              <w:rPr>
                <w:rFonts w:ascii="Arial" w:cs="Arial" w:eastAsia="Arial" w:hAnsi="Arial"/>
                <w:sz w:val="17"/>
                <w:szCs w:val="17"/>
                <w:color w:val="auto"/>
              </w:rPr>
              <w:t>647.2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jc w:val="right"/>
              <w:ind w:right="134"/>
              <w:spacing w:after="0"/>
              <w:rPr>
                <w:sz w:val="20"/>
                <w:szCs w:val="20"/>
                <w:color w:val="auto"/>
              </w:rPr>
            </w:pPr>
            <w:r>
              <w:rPr>
                <w:rFonts w:ascii="Arial" w:cs="Arial" w:eastAsia="Arial" w:hAnsi="Arial"/>
                <w:sz w:val="17"/>
                <w:szCs w:val="17"/>
                <w:color w:val="auto"/>
              </w:rPr>
              <w:t>772.4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ind w:right="134"/>
              <w:spacing w:after="0"/>
              <w:rPr>
                <w:sz w:val="20"/>
                <w:szCs w:val="20"/>
                <w:color w:val="auto"/>
              </w:rPr>
            </w:pPr>
            <w:r>
              <w:rPr>
                <w:rFonts w:ascii="Arial" w:cs="Arial" w:eastAsia="Arial" w:hAnsi="Arial"/>
                <w:sz w:val="17"/>
                <w:szCs w:val="17"/>
                <w:color w:val="auto"/>
              </w:rPr>
              <w:t>(125.3)</w:t>
            </w:r>
          </w:p>
        </w:tc>
        <w:tc>
          <w:tcPr>
            <w:tcW w:w="1240" w:type="dxa"/>
            <w:vAlign w:val="bottom"/>
          </w:tcPr>
          <w:p>
            <w:pPr>
              <w:jc w:val="right"/>
              <w:ind w:right="94"/>
              <w:spacing w:after="0"/>
              <w:rPr>
                <w:sz w:val="20"/>
                <w:szCs w:val="20"/>
                <w:color w:val="auto"/>
              </w:rPr>
            </w:pPr>
            <w:r>
              <w:rPr>
                <w:rFonts w:ascii="Arial" w:cs="Arial" w:eastAsia="Arial" w:hAnsi="Arial"/>
                <w:sz w:val="17"/>
                <w:szCs w:val="17"/>
                <w:color w:val="auto"/>
              </w:rPr>
              <w:t>(16)</w:t>
            </w:r>
          </w:p>
        </w:tc>
      </w:tr>
      <w:tr>
        <w:trPr>
          <w:trHeight w:val="220"/>
        </w:trPr>
        <w:tc>
          <w:tcPr>
            <w:tcW w:w="5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Loans held for sale</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687.5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928.5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(241.1)</w:t>
            </w:r>
          </w:p>
        </w:tc>
        <w:tc>
          <w:tcPr>
            <w:tcW w:w="124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(26)</w:t>
            </w:r>
          </w:p>
        </w:tc>
      </w:tr>
      <w:tr>
        <w:trPr>
          <w:trHeight w:val="220"/>
        </w:trPr>
        <w:tc>
          <w:tcPr>
            <w:tcW w:w="5320" w:type="dxa"/>
            <w:vAlign w:val="bottom"/>
          </w:tcPr>
          <w:p>
            <w:pPr>
              <w:ind w:left="20"/>
              <w:spacing w:after="0"/>
              <w:rPr>
                <w:sz w:val="20"/>
                <w:szCs w:val="20"/>
                <w:color w:val="auto"/>
              </w:rPr>
            </w:pPr>
            <w:r>
              <w:rPr>
                <w:rFonts w:ascii="Arial" w:cs="Arial" w:eastAsia="Arial" w:hAnsi="Arial"/>
                <w:sz w:val="17"/>
                <w:szCs w:val="17"/>
                <w:color w:val="auto"/>
              </w:rPr>
              <w:t>Loans held for investment, at fair value</w:t>
            </w:r>
          </w:p>
        </w:tc>
        <w:tc>
          <w:tcPr>
            <w:tcW w:w="180" w:type="dxa"/>
            <w:vAlign w:val="bottom"/>
          </w:tcPr>
          <w:p>
            <w:pPr>
              <w:spacing w:after="0"/>
              <w:rPr>
                <w:sz w:val="19"/>
                <w:szCs w:val="19"/>
                <w:color w:val="auto"/>
              </w:rPr>
            </w:pPr>
          </w:p>
        </w:tc>
        <w:tc>
          <w:tcPr>
            <w:tcW w:w="1320" w:type="dxa"/>
            <w:vAlign w:val="bottom"/>
          </w:tcPr>
          <w:p>
            <w:pPr>
              <w:jc w:val="right"/>
              <w:ind w:right="134"/>
              <w:spacing w:after="0"/>
              <w:rPr>
                <w:sz w:val="20"/>
                <w:szCs w:val="20"/>
                <w:color w:val="auto"/>
              </w:rPr>
            </w:pPr>
            <w:r>
              <w:rPr>
                <w:rFonts w:ascii="Arial" w:cs="Arial" w:eastAsia="Arial" w:hAnsi="Arial"/>
                <w:sz w:val="17"/>
                <w:szCs w:val="17"/>
                <w:color w:val="auto"/>
              </w:rPr>
              <w:t>7,383.8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jc w:val="right"/>
              <w:ind w:right="134"/>
              <w:spacing w:after="0"/>
              <w:rPr>
                <w:sz w:val="20"/>
                <w:szCs w:val="20"/>
                <w:color w:val="auto"/>
              </w:rPr>
            </w:pPr>
            <w:r>
              <w:rPr>
                <w:rFonts w:ascii="Arial" w:cs="Arial" w:eastAsia="Arial" w:hAnsi="Arial"/>
                <w:sz w:val="17"/>
                <w:szCs w:val="17"/>
                <w:color w:val="auto"/>
              </w:rPr>
              <w:t>7,207.6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ind w:right="134"/>
              <w:spacing w:after="0"/>
              <w:rPr>
                <w:sz w:val="20"/>
                <w:szCs w:val="20"/>
                <w:color w:val="auto"/>
              </w:rPr>
            </w:pPr>
            <w:r>
              <w:rPr>
                <w:rFonts w:ascii="Arial" w:cs="Arial" w:eastAsia="Arial" w:hAnsi="Arial"/>
                <w:sz w:val="17"/>
                <w:szCs w:val="17"/>
                <w:color w:val="auto"/>
              </w:rPr>
              <w:t>176.2</w:t>
            </w:r>
          </w:p>
        </w:tc>
        <w:tc>
          <w:tcPr>
            <w:tcW w:w="1240" w:type="dxa"/>
            <w:vAlign w:val="bottom"/>
          </w:tcPr>
          <w:p>
            <w:pPr>
              <w:ind w:left="940"/>
              <w:spacing w:after="0"/>
              <w:rPr>
                <w:sz w:val="20"/>
                <w:szCs w:val="20"/>
                <w:color w:val="auto"/>
              </w:rPr>
            </w:pPr>
            <w:r>
              <w:rPr>
                <w:rFonts w:ascii="Arial" w:cs="Arial" w:eastAsia="Arial" w:hAnsi="Arial"/>
                <w:sz w:val="17"/>
                <w:szCs w:val="17"/>
                <w:color w:val="auto"/>
              </w:rPr>
              <w:t>2</w:t>
            </w:r>
          </w:p>
        </w:tc>
      </w:tr>
      <w:tr>
        <w:trPr>
          <w:trHeight w:val="220"/>
        </w:trPr>
        <w:tc>
          <w:tcPr>
            <w:tcW w:w="5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Receivables</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178.5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180.7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(2.2)</w:t>
            </w:r>
          </w:p>
        </w:tc>
        <w:tc>
          <w:tcPr>
            <w:tcW w:w="124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(1)</w:t>
            </w:r>
          </w:p>
        </w:tc>
      </w:tr>
      <w:tr>
        <w:trPr>
          <w:trHeight w:val="220"/>
        </w:trPr>
        <w:tc>
          <w:tcPr>
            <w:tcW w:w="5320" w:type="dxa"/>
            <w:vAlign w:val="bottom"/>
          </w:tcPr>
          <w:p>
            <w:pPr>
              <w:ind w:left="20"/>
              <w:spacing w:after="0"/>
              <w:rPr>
                <w:sz w:val="20"/>
                <w:szCs w:val="20"/>
                <w:color w:val="auto"/>
              </w:rPr>
            </w:pPr>
            <w:r>
              <w:rPr>
                <w:rFonts w:ascii="Arial" w:cs="Arial" w:eastAsia="Arial" w:hAnsi="Arial"/>
                <w:sz w:val="17"/>
                <w:szCs w:val="17"/>
                <w:color w:val="auto"/>
              </w:rPr>
              <w:t>Investment in equity method investee</w:t>
            </w:r>
          </w:p>
        </w:tc>
        <w:tc>
          <w:tcPr>
            <w:tcW w:w="180" w:type="dxa"/>
            <w:vAlign w:val="bottom"/>
          </w:tcPr>
          <w:p>
            <w:pPr>
              <w:spacing w:after="0"/>
              <w:rPr>
                <w:sz w:val="19"/>
                <w:szCs w:val="19"/>
                <w:color w:val="auto"/>
              </w:rPr>
            </w:pPr>
          </w:p>
        </w:tc>
        <w:tc>
          <w:tcPr>
            <w:tcW w:w="1320" w:type="dxa"/>
            <w:vAlign w:val="bottom"/>
          </w:tcPr>
          <w:p>
            <w:pPr>
              <w:jc w:val="right"/>
              <w:ind w:right="134"/>
              <w:spacing w:after="0"/>
              <w:rPr>
                <w:sz w:val="20"/>
                <w:szCs w:val="20"/>
                <w:color w:val="auto"/>
              </w:rPr>
            </w:pPr>
            <w:r>
              <w:rPr>
                <w:rFonts w:ascii="Arial" w:cs="Arial" w:eastAsia="Arial" w:hAnsi="Arial"/>
                <w:sz w:val="17"/>
                <w:szCs w:val="17"/>
                <w:color w:val="auto"/>
              </w:rPr>
              <w:t>38.8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jc w:val="right"/>
              <w:ind w:right="134"/>
              <w:spacing w:after="0"/>
              <w:rPr>
                <w:sz w:val="20"/>
                <w:szCs w:val="20"/>
                <w:color w:val="auto"/>
              </w:rPr>
            </w:pPr>
            <w:r>
              <w:rPr>
                <w:rFonts w:ascii="Arial" w:cs="Arial" w:eastAsia="Arial" w:hAnsi="Arial"/>
                <w:sz w:val="17"/>
                <w:szCs w:val="17"/>
                <w:color w:val="auto"/>
              </w:rPr>
              <w:t>23.3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ind w:right="134"/>
              <w:spacing w:after="0"/>
              <w:rPr>
                <w:sz w:val="20"/>
                <w:szCs w:val="20"/>
                <w:color w:val="auto"/>
              </w:rPr>
            </w:pPr>
            <w:r>
              <w:rPr>
                <w:rFonts w:ascii="Arial" w:cs="Arial" w:eastAsia="Arial" w:hAnsi="Arial"/>
                <w:sz w:val="17"/>
                <w:szCs w:val="17"/>
                <w:color w:val="auto"/>
              </w:rPr>
              <w:t>15.5</w:t>
            </w:r>
          </w:p>
        </w:tc>
        <w:tc>
          <w:tcPr>
            <w:tcW w:w="1240" w:type="dxa"/>
            <w:vAlign w:val="bottom"/>
          </w:tcPr>
          <w:p>
            <w:pPr>
              <w:ind w:left="840"/>
              <w:spacing w:after="0"/>
              <w:rPr>
                <w:sz w:val="20"/>
                <w:szCs w:val="20"/>
                <w:color w:val="auto"/>
              </w:rPr>
            </w:pPr>
            <w:r>
              <w:rPr>
                <w:rFonts w:ascii="Arial" w:cs="Arial" w:eastAsia="Arial" w:hAnsi="Arial"/>
                <w:sz w:val="17"/>
                <w:szCs w:val="17"/>
                <w:color w:val="auto"/>
              </w:rPr>
              <w:t>67</w:t>
            </w:r>
          </w:p>
        </w:tc>
      </w:tr>
      <w:tr>
        <w:trPr>
          <w:trHeight w:val="220"/>
        </w:trPr>
        <w:tc>
          <w:tcPr>
            <w:tcW w:w="5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assets</w:t>
            </w: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363.7</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520.9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(157.2)</w:t>
            </w:r>
          </w:p>
        </w:tc>
        <w:tc>
          <w:tcPr>
            <w:tcW w:w="124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(30)</w:t>
            </w:r>
          </w:p>
        </w:tc>
      </w:tr>
      <w:tr>
        <w:trPr>
          <w:trHeight w:val="213"/>
        </w:trPr>
        <w:tc>
          <w:tcPr>
            <w:tcW w:w="5320" w:type="dxa"/>
            <w:vAlign w:val="bottom"/>
          </w:tcPr>
          <w:p>
            <w:pPr>
              <w:ind w:left="140"/>
              <w:spacing w:after="0"/>
              <w:rPr>
                <w:sz w:val="20"/>
                <w:szCs w:val="20"/>
                <w:color w:val="auto"/>
              </w:rPr>
            </w:pPr>
            <w:r>
              <w:rPr>
                <w:rFonts w:ascii="Arial" w:cs="Arial" w:eastAsia="Arial" w:hAnsi="Arial"/>
                <w:sz w:val="17"/>
                <w:szCs w:val="17"/>
                <w:color w:val="auto"/>
              </w:rPr>
              <w:t>Total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12,107.7</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12,147.1</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(39.4)</w:t>
            </w:r>
          </w:p>
        </w:tc>
        <w:tc>
          <w:tcPr>
            <w:tcW w:w="1240" w:type="dxa"/>
            <w:vAlign w:val="bottom"/>
          </w:tcPr>
          <w:p>
            <w:pPr>
              <w:ind w:left="840"/>
              <w:spacing w:after="0"/>
              <w:rPr>
                <w:sz w:val="20"/>
                <w:szCs w:val="20"/>
                <w:color w:val="auto"/>
              </w:rPr>
            </w:pPr>
            <w:r>
              <w:rPr>
                <w:rFonts w:ascii="Arial" w:cs="Arial" w:eastAsia="Arial" w:hAnsi="Arial"/>
                <w:sz w:val="17"/>
                <w:szCs w:val="17"/>
                <w:color w:val="auto"/>
              </w:rPr>
              <w:t>— %</w:t>
            </w:r>
          </w:p>
        </w:tc>
      </w:tr>
      <w:tr>
        <w:trPr>
          <w:trHeight w:val="20"/>
        </w:trPr>
        <w:tc>
          <w:tcPr>
            <w:tcW w:w="53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r>
      <w:tr>
        <w:trPr>
          <w:trHeight w:val="121"/>
        </w:trPr>
        <w:tc>
          <w:tcPr>
            <w:tcW w:w="53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r>
      <w:tr>
        <w:trPr>
          <w:trHeight w:val="220"/>
        </w:trPr>
        <w:tc>
          <w:tcPr>
            <w:tcW w:w="5320" w:type="dxa"/>
            <w:vAlign w:val="bottom"/>
          </w:tcPr>
          <w:p>
            <w:pPr>
              <w:ind w:left="20"/>
              <w:spacing w:after="0"/>
              <w:rPr>
                <w:sz w:val="20"/>
                <w:szCs w:val="20"/>
                <w:color w:val="auto"/>
              </w:rPr>
            </w:pPr>
            <w:r>
              <w:rPr>
                <w:rFonts w:ascii="Arial" w:cs="Arial" w:eastAsia="Arial" w:hAnsi="Arial"/>
                <w:sz w:val="17"/>
                <w:szCs w:val="17"/>
                <w:color w:val="auto"/>
              </w:rPr>
              <w:t>Total Assets by Segment</w:t>
            </w: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0"/>
        </w:trPr>
        <w:tc>
          <w:tcPr>
            <w:tcW w:w="53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Servicing</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11,053.6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10,999.2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54.4</w:t>
            </w:r>
          </w:p>
        </w:tc>
        <w:tc>
          <w:tcPr>
            <w:tcW w:w="1240" w:type="dxa"/>
            <w:vAlign w:val="bottom"/>
            <w:shd w:val="clear" w:color="auto" w:fill="CCEEFF"/>
          </w:tcPr>
          <w:p>
            <w:pPr>
              <w:ind w:left="840"/>
              <w:spacing w:after="0"/>
              <w:rPr>
                <w:sz w:val="20"/>
                <w:szCs w:val="20"/>
                <w:color w:val="auto"/>
              </w:rPr>
            </w:pPr>
            <w:r>
              <w:rPr>
                <w:rFonts w:ascii="Arial" w:cs="Arial" w:eastAsia="Arial" w:hAnsi="Arial"/>
                <w:sz w:val="17"/>
                <w:szCs w:val="17"/>
                <w:color w:val="auto"/>
              </w:rPr>
              <w:t>— %</w:t>
            </w:r>
          </w:p>
        </w:tc>
      </w:tr>
      <w:tr>
        <w:trPr>
          <w:trHeight w:val="220"/>
        </w:trPr>
        <w:tc>
          <w:tcPr>
            <w:tcW w:w="5320" w:type="dxa"/>
            <w:vAlign w:val="bottom"/>
          </w:tcPr>
          <w:p>
            <w:pPr>
              <w:ind w:left="140"/>
              <w:spacing w:after="0"/>
              <w:rPr>
                <w:sz w:val="20"/>
                <w:szCs w:val="20"/>
                <w:color w:val="auto"/>
              </w:rPr>
            </w:pPr>
            <w:r>
              <w:rPr>
                <w:rFonts w:ascii="Arial" w:cs="Arial" w:eastAsia="Arial" w:hAnsi="Arial"/>
                <w:sz w:val="17"/>
                <w:szCs w:val="17"/>
                <w:color w:val="auto"/>
              </w:rPr>
              <w:t>Originations</w:t>
            </w:r>
          </w:p>
        </w:tc>
        <w:tc>
          <w:tcPr>
            <w:tcW w:w="180" w:type="dxa"/>
            <w:vAlign w:val="bottom"/>
          </w:tcPr>
          <w:p>
            <w:pPr>
              <w:spacing w:after="0"/>
              <w:rPr>
                <w:sz w:val="19"/>
                <w:szCs w:val="19"/>
                <w:color w:val="auto"/>
              </w:rPr>
            </w:pPr>
          </w:p>
        </w:tc>
        <w:tc>
          <w:tcPr>
            <w:tcW w:w="1320" w:type="dxa"/>
            <w:vAlign w:val="bottom"/>
          </w:tcPr>
          <w:p>
            <w:pPr>
              <w:jc w:val="right"/>
              <w:ind w:right="134"/>
              <w:spacing w:after="0"/>
              <w:rPr>
                <w:sz w:val="20"/>
                <w:szCs w:val="20"/>
                <w:color w:val="auto"/>
              </w:rPr>
            </w:pPr>
            <w:r>
              <w:rPr>
                <w:rFonts w:ascii="Arial" w:cs="Arial" w:eastAsia="Arial" w:hAnsi="Arial"/>
                <w:sz w:val="17"/>
                <w:szCs w:val="17"/>
                <w:color w:val="auto"/>
              </w:rPr>
              <w:t>694.1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jc w:val="right"/>
              <w:ind w:right="134"/>
              <w:spacing w:after="0"/>
              <w:rPr>
                <w:sz w:val="20"/>
                <w:szCs w:val="20"/>
                <w:color w:val="auto"/>
              </w:rPr>
            </w:pPr>
            <w:r>
              <w:rPr>
                <w:rFonts w:ascii="Arial" w:cs="Arial" w:eastAsia="Arial" w:hAnsi="Arial"/>
                <w:sz w:val="17"/>
                <w:szCs w:val="17"/>
                <w:color w:val="auto"/>
              </w:rPr>
              <w:t>823.5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ind w:right="134"/>
              <w:spacing w:after="0"/>
              <w:rPr>
                <w:sz w:val="20"/>
                <w:szCs w:val="20"/>
                <w:color w:val="auto"/>
              </w:rPr>
            </w:pPr>
            <w:r>
              <w:rPr>
                <w:rFonts w:ascii="Arial" w:cs="Arial" w:eastAsia="Arial" w:hAnsi="Arial"/>
                <w:sz w:val="17"/>
                <w:szCs w:val="17"/>
                <w:color w:val="auto"/>
              </w:rPr>
              <w:t>(129.4)</w:t>
            </w:r>
          </w:p>
        </w:tc>
        <w:tc>
          <w:tcPr>
            <w:tcW w:w="1240" w:type="dxa"/>
            <w:vAlign w:val="bottom"/>
          </w:tcPr>
          <w:p>
            <w:pPr>
              <w:jc w:val="right"/>
              <w:ind w:right="94"/>
              <w:spacing w:after="0"/>
              <w:rPr>
                <w:sz w:val="20"/>
                <w:szCs w:val="20"/>
                <w:color w:val="auto"/>
              </w:rPr>
            </w:pPr>
            <w:r>
              <w:rPr>
                <w:rFonts w:ascii="Arial" w:cs="Arial" w:eastAsia="Arial" w:hAnsi="Arial"/>
                <w:sz w:val="17"/>
                <w:szCs w:val="17"/>
                <w:color w:val="auto"/>
              </w:rPr>
              <w:t>(16)</w:t>
            </w:r>
          </w:p>
        </w:tc>
      </w:tr>
      <w:tr>
        <w:trPr>
          <w:trHeight w:val="220"/>
        </w:trPr>
        <w:tc>
          <w:tcPr>
            <w:tcW w:w="53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Corporate Items and Other</w:t>
            </w: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360.0</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324.4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35.6</w:t>
            </w:r>
          </w:p>
        </w:tc>
        <w:tc>
          <w:tcPr>
            <w:tcW w:w="1240" w:type="dxa"/>
            <w:vAlign w:val="bottom"/>
            <w:shd w:val="clear" w:color="auto" w:fill="CCEEFF"/>
          </w:tcPr>
          <w:p>
            <w:pPr>
              <w:ind w:left="860"/>
              <w:spacing w:after="0"/>
              <w:rPr>
                <w:sz w:val="20"/>
                <w:szCs w:val="20"/>
                <w:color w:val="auto"/>
              </w:rPr>
            </w:pPr>
            <w:r>
              <w:rPr>
                <w:rFonts w:ascii="Arial" w:cs="Arial" w:eastAsia="Arial" w:hAnsi="Arial"/>
                <w:sz w:val="17"/>
                <w:szCs w:val="17"/>
                <w:color w:val="auto"/>
              </w:rPr>
              <w:t>11</w:t>
            </w:r>
          </w:p>
        </w:tc>
      </w:tr>
      <w:tr>
        <w:trPr>
          <w:trHeight w:val="213"/>
        </w:trPr>
        <w:tc>
          <w:tcPr>
            <w:tcW w:w="53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12,107.7</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12,147.1</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(39.4)</w:t>
            </w:r>
          </w:p>
        </w:tc>
        <w:tc>
          <w:tcPr>
            <w:tcW w:w="1240" w:type="dxa"/>
            <w:vAlign w:val="bottom"/>
          </w:tcPr>
          <w:p>
            <w:pPr>
              <w:ind w:left="840"/>
              <w:spacing w:after="0"/>
              <w:rPr>
                <w:sz w:val="20"/>
                <w:szCs w:val="20"/>
                <w:color w:val="auto"/>
              </w:rPr>
            </w:pPr>
            <w:r>
              <w:rPr>
                <w:rFonts w:ascii="Arial" w:cs="Arial" w:eastAsia="Arial" w:hAnsi="Arial"/>
                <w:sz w:val="17"/>
                <w:szCs w:val="17"/>
                <w:color w:val="auto"/>
              </w:rPr>
              <w:t>— %</w:t>
            </w:r>
          </w:p>
        </w:tc>
      </w:tr>
      <w:tr>
        <w:trPr>
          <w:trHeight w:val="20"/>
        </w:trPr>
        <w:tc>
          <w:tcPr>
            <w:tcW w:w="53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r>
      <w:tr>
        <w:trPr>
          <w:trHeight w:val="121"/>
        </w:trPr>
        <w:tc>
          <w:tcPr>
            <w:tcW w:w="53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r>
      <w:tr>
        <w:trPr>
          <w:trHeight w:val="220"/>
        </w:trPr>
        <w:tc>
          <w:tcPr>
            <w:tcW w:w="5320" w:type="dxa"/>
            <w:vAlign w:val="bottom"/>
          </w:tcPr>
          <w:p>
            <w:pPr>
              <w:ind w:left="20"/>
              <w:spacing w:after="0"/>
              <w:rPr>
                <w:sz w:val="20"/>
                <w:szCs w:val="20"/>
                <w:color w:val="auto"/>
              </w:rPr>
            </w:pPr>
            <w:r>
              <w:rPr>
                <w:rFonts w:ascii="Arial" w:cs="Arial" w:eastAsia="Arial" w:hAnsi="Arial"/>
                <w:sz w:val="17"/>
                <w:szCs w:val="17"/>
                <w:color w:val="auto"/>
              </w:rPr>
              <w:t>HMBS-related borrowings, at fair value</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tcPr>
          <w:p>
            <w:pPr>
              <w:jc w:val="right"/>
              <w:ind w:right="134"/>
              <w:spacing w:after="0"/>
              <w:rPr>
                <w:sz w:val="20"/>
                <w:szCs w:val="20"/>
                <w:color w:val="auto"/>
              </w:rPr>
            </w:pPr>
            <w:r>
              <w:rPr>
                <w:rFonts w:ascii="Arial" w:cs="Arial" w:eastAsia="Arial" w:hAnsi="Arial"/>
                <w:sz w:val="17"/>
                <w:szCs w:val="17"/>
                <w:color w:val="auto"/>
              </w:rPr>
              <w:t>7,155.3</w:t>
            </w:r>
          </w:p>
        </w:tc>
        <w:tc>
          <w:tcPr>
            <w:tcW w:w="100" w:type="dxa"/>
            <w:vAlign w:val="bottom"/>
          </w:tcPr>
          <w:p>
            <w:pPr>
              <w:spacing w:after="0"/>
              <w:rPr>
                <w:sz w:val="19"/>
                <w:szCs w:val="19"/>
                <w:color w:val="auto"/>
              </w:rPr>
            </w:pPr>
          </w:p>
        </w:tc>
        <w:tc>
          <w:tcPr>
            <w:tcW w:w="400" w:type="dxa"/>
            <w:vAlign w:val="bottom"/>
          </w:tcPr>
          <w:p>
            <w:pPr>
              <w:jc w:val="right"/>
              <w:ind w:right="194"/>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134"/>
              <w:spacing w:after="0"/>
              <w:rPr>
                <w:sz w:val="20"/>
                <w:szCs w:val="20"/>
                <w:color w:val="auto"/>
              </w:rPr>
            </w:pPr>
            <w:r>
              <w:rPr>
                <w:rFonts w:ascii="Arial" w:cs="Arial" w:eastAsia="Arial" w:hAnsi="Arial"/>
                <w:sz w:val="17"/>
                <w:szCs w:val="17"/>
                <w:color w:val="auto"/>
              </w:rPr>
              <w:t>6,885.0</w:t>
            </w:r>
          </w:p>
        </w:tc>
        <w:tc>
          <w:tcPr>
            <w:tcW w:w="10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ind w:right="134"/>
              <w:spacing w:after="0"/>
              <w:rPr>
                <w:sz w:val="20"/>
                <w:szCs w:val="20"/>
                <w:color w:val="auto"/>
              </w:rPr>
            </w:pPr>
            <w:r>
              <w:rPr>
                <w:rFonts w:ascii="Arial" w:cs="Arial" w:eastAsia="Arial" w:hAnsi="Arial"/>
                <w:sz w:val="17"/>
                <w:szCs w:val="17"/>
                <w:color w:val="auto"/>
              </w:rPr>
              <w:t>270.2</w:t>
            </w:r>
          </w:p>
        </w:tc>
        <w:tc>
          <w:tcPr>
            <w:tcW w:w="1240" w:type="dxa"/>
            <w:vAlign w:val="bottom"/>
          </w:tcPr>
          <w:p>
            <w:pPr>
              <w:ind w:left="940"/>
              <w:spacing w:after="0"/>
              <w:rPr>
                <w:sz w:val="20"/>
                <w:szCs w:val="20"/>
                <w:color w:val="auto"/>
              </w:rPr>
            </w:pPr>
            <w:r>
              <w:rPr>
                <w:rFonts w:ascii="Arial" w:cs="Arial" w:eastAsia="Arial" w:hAnsi="Arial"/>
                <w:sz w:val="17"/>
                <w:szCs w:val="17"/>
                <w:color w:val="auto"/>
                <w:w w:val="95"/>
              </w:rPr>
              <w:t>4 %</w:t>
            </w:r>
          </w:p>
        </w:tc>
      </w:tr>
      <w:tr>
        <w:trPr>
          <w:trHeight w:val="220"/>
        </w:trPr>
        <w:tc>
          <w:tcPr>
            <w:tcW w:w="5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financing liabilities, at fair value</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913.6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805.0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108.7</w:t>
            </w:r>
          </w:p>
        </w:tc>
        <w:tc>
          <w:tcPr>
            <w:tcW w:w="1240" w:type="dxa"/>
            <w:vAlign w:val="bottom"/>
            <w:shd w:val="clear" w:color="auto" w:fill="CCEEFF"/>
          </w:tcPr>
          <w:p>
            <w:pPr>
              <w:ind w:left="840"/>
              <w:spacing w:after="0"/>
              <w:rPr>
                <w:sz w:val="20"/>
                <w:szCs w:val="20"/>
                <w:color w:val="auto"/>
              </w:rPr>
            </w:pPr>
            <w:r>
              <w:rPr>
                <w:rFonts w:ascii="Arial" w:cs="Arial" w:eastAsia="Arial" w:hAnsi="Arial"/>
                <w:sz w:val="17"/>
                <w:szCs w:val="17"/>
                <w:color w:val="auto"/>
              </w:rPr>
              <w:t>13</w:t>
            </w:r>
          </w:p>
        </w:tc>
      </w:tr>
      <w:tr>
        <w:trPr>
          <w:trHeight w:val="220"/>
        </w:trPr>
        <w:tc>
          <w:tcPr>
            <w:tcW w:w="5320" w:type="dxa"/>
            <w:vAlign w:val="bottom"/>
          </w:tcPr>
          <w:p>
            <w:pPr>
              <w:ind w:left="20"/>
              <w:spacing w:after="0"/>
              <w:rPr>
                <w:sz w:val="20"/>
                <w:szCs w:val="20"/>
                <w:color w:val="auto"/>
              </w:rPr>
            </w:pPr>
            <w:r>
              <w:rPr>
                <w:rFonts w:ascii="Arial" w:cs="Arial" w:eastAsia="Arial" w:hAnsi="Arial"/>
                <w:sz w:val="17"/>
                <w:szCs w:val="17"/>
                <w:color w:val="auto"/>
              </w:rPr>
              <w:t>Advance match funded liabilities</w:t>
            </w:r>
          </w:p>
        </w:tc>
        <w:tc>
          <w:tcPr>
            <w:tcW w:w="180" w:type="dxa"/>
            <w:vAlign w:val="bottom"/>
          </w:tcPr>
          <w:p>
            <w:pPr>
              <w:spacing w:after="0"/>
              <w:rPr>
                <w:sz w:val="19"/>
                <w:szCs w:val="19"/>
                <w:color w:val="auto"/>
              </w:rPr>
            </w:pPr>
          </w:p>
        </w:tc>
        <w:tc>
          <w:tcPr>
            <w:tcW w:w="1320" w:type="dxa"/>
            <w:vAlign w:val="bottom"/>
          </w:tcPr>
          <w:p>
            <w:pPr>
              <w:jc w:val="right"/>
              <w:ind w:right="134"/>
              <w:spacing w:after="0"/>
              <w:rPr>
                <w:sz w:val="20"/>
                <w:szCs w:val="20"/>
                <w:color w:val="auto"/>
              </w:rPr>
            </w:pPr>
            <w:r>
              <w:rPr>
                <w:rFonts w:ascii="Arial" w:cs="Arial" w:eastAsia="Arial" w:hAnsi="Arial"/>
                <w:sz w:val="17"/>
                <w:szCs w:val="17"/>
                <w:color w:val="auto"/>
              </w:rPr>
              <w:t>477.0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jc w:val="right"/>
              <w:ind w:right="134"/>
              <w:spacing w:after="0"/>
              <w:rPr>
                <w:sz w:val="20"/>
                <w:szCs w:val="20"/>
                <w:color w:val="auto"/>
              </w:rPr>
            </w:pPr>
            <w:r>
              <w:rPr>
                <w:rFonts w:ascii="Arial" w:cs="Arial" w:eastAsia="Arial" w:hAnsi="Arial"/>
                <w:sz w:val="17"/>
                <w:szCs w:val="17"/>
                <w:color w:val="auto"/>
              </w:rPr>
              <w:t>512.3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ind w:right="134"/>
              <w:spacing w:after="0"/>
              <w:rPr>
                <w:sz w:val="20"/>
                <w:szCs w:val="20"/>
                <w:color w:val="auto"/>
              </w:rPr>
            </w:pPr>
            <w:r>
              <w:rPr>
                <w:rFonts w:ascii="Arial" w:cs="Arial" w:eastAsia="Arial" w:hAnsi="Arial"/>
                <w:sz w:val="17"/>
                <w:szCs w:val="17"/>
                <w:color w:val="auto"/>
              </w:rPr>
              <w:t>(35.3)</w:t>
            </w:r>
          </w:p>
        </w:tc>
        <w:tc>
          <w:tcPr>
            <w:tcW w:w="1240" w:type="dxa"/>
            <w:vAlign w:val="bottom"/>
          </w:tcPr>
          <w:p>
            <w:pPr>
              <w:jc w:val="right"/>
              <w:ind w:right="94"/>
              <w:spacing w:after="0"/>
              <w:rPr>
                <w:sz w:val="20"/>
                <w:szCs w:val="20"/>
                <w:color w:val="auto"/>
              </w:rPr>
            </w:pPr>
            <w:r>
              <w:rPr>
                <w:rFonts w:ascii="Arial" w:cs="Arial" w:eastAsia="Arial" w:hAnsi="Arial"/>
                <w:sz w:val="17"/>
                <w:szCs w:val="17"/>
                <w:color w:val="auto"/>
              </w:rPr>
              <w:t>(7)</w:t>
            </w:r>
          </w:p>
        </w:tc>
      </w:tr>
      <w:tr>
        <w:trPr>
          <w:trHeight w:val="220"/>
        </w:trPr>
        <w:tc>
          <w:tcPr>
            <w:tcW w:w="5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Mortgage loan warehouse facilities</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779.3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1,085.1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(305.8)</w:t>
            </w:r>
          </w:p>
        </w:tc>
        <w:tc>
          <w:tcPr>
            <w:tcW w:w="124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(28)</w:t>
            </w:r>
          </w:p>
        </w:tc>
      </w:tr>
      <w:tr>
        <w:trPr>
          <w:trHeight w:val="220"/>
        </w:trPr>
        <w:tc>
          <w:tcPr>
            <w:tcW w:w="5320" w:type="dxa"/>
            <w:vAlign w:val="bottom"/>
          </w:tcPr>
          <w:p>
            <w:pPr>
              <w:ind w:left="20"/>
              <w:spacing w:after="0"/>
              <w:rPr>
                <w:sz w:val="20"/>
                <w:szCs w:val="20"/>
                <w:color w:val="auto"/>
              </w:rPr>
            </w:pPr>
            <w:r>
              <w:rPr>
                <w:rFonts w:ascii="Arial" w:cs="Arial" w:eastAsia="Arial" w:hAnsi="Arial"/>
                <w:sz w:val="17"/>
                <w:szCs w:val="17"/>
                <w:color w:val="auto"/>
              </w:rPr>
              <w:t>MSR financing facilities, net</w:t>
            </w:r>
          </w:p>
        </w:tc>
        <w:tc>
          <w:tcPr>
            <w:tcW w:w="180" w:type="dxa"/>
            <w:vAlign w:val="bottom"/>
          </w:tcPr>
          <w:p>
            <w:pPr>
              <w:spacing w:after="0"/>
              <w:rPr>
                <w:sz w:val="19"/>
                <w:szCs w:val="19"/>
                <w:color w:val="auto"/>
              </w:rPr>
            </w:pPr>
          </w:p>
        </w:tc>
        <w:tc>
          <w:tcPr>
            <w:tcW w:w="1320" w:type="dxa"/>
            <w:vAlign w:val="bottom"/>
          </w:tcPr>
          <w:p>
            <w:pPr>
              <w:jc w:val="right"/>
              <w:ind w:right="134"/>
              <w:spacing w:after="0"/>
              <w:rPr>
                <w:sz w:val="20"/>
                <w:szCs w:val="20"/>
                <w:color w:val="auto"/>
              </w:rPr>
            </w:pPr>
            <w:r>
              <w:rPr>
                <w:rFonts w:ascii="Arial" w:cs="Arial" w:eastAsia="Arial" w:hAnsi="Arial"/>
                <w:sz w:val="17"/>
                <w:szCs w:val="17"/>
                <w:color w:val="auto"/>
              </w:rPr>
              <w:t>987.7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jc w:val="right"/>
              <w:ind w:right="134"/>
              <w:spacing w:after="0"/>
              <w:rPr>
                <w:sz w:val="20"/>
                <w:szCs w:val="20"/>
                <w:color w:val="auto"/>
              </w:rPr>
            </w:pPr>
            <w:r>
              <w:rPr>
                <w:rFonts w:ascii="Arial" w:cs="Arial" w:eastAsia="Arial" w:hAnsi="Arial"/>
                <w:sz w:val="17"/>
                <w:szCs w:val="17"/>
                <w:color w:val="auto"/>
              </w:rPr>
              <w:t>900.8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ind w:right="134"/>
              <w:spacing w:after="0"/>
              <w:rPr>
                <w:sz w:val="20"/>
                <w:szCs w:val="20"/>
                <w:color w:val="auto"/>
              </w:rPr>
            </w:pPr>
            <w:r>
              <w:rPr>
                <w:rFonts w:ascii="Arial" w:cs="Arial" w:eastAsia="Arial" w:hAnsi="Arial"/>
                <w:sz w:val="17"/>
                <w:szCs w:val="17"/>
                <w:color w:val="auto"/>
              </w:rPr>
              <w:t>87.0</w:t>
            </w:r>
          </w:p>
        </w:tc>
        <w:tc>
          <w:tcPr>
            <w:tcW w:w="1240" w:type="dxa"/>
            <w:vAlign w:val="bottom"/>
          </w:tcPr>
          <w:p>
            <w:pPr>
              <w:ind w:left="840"/>
              <w:spacing w:after="0"/>
              <w:rPr>
                <w:sz w:val="20"/>
                <w:szCs w:val="20"/>
                <w:color w:val="auto"/>
              </w:rPr>
            </w:pPr>
            <w:r>
              <w:rPr>
                <w:rFonts w:ascii="Arial" w:cs="Arial" w:eastAsia="Arial" w:hAnsi="Arial"/>
                <w:sz w:val="17"/>
                <w:szCs w:val="17"/>
                <w:color w:val="auto"/>
              </w:rPr>
              <w:t>10</w:t>
            </w:r>
          </w:p>
        </w:tc>
      </w:tr>
      <w:tr>
        <w:trPr>
          <w:trHeight w:val="220"/>
        </w:trPr>
        <w:tc>
          <w:tcPr>
            <w:tcW w:w="5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Senior notes, net</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594.9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614.8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(19.9)</w:t>
            </w:r>
          </w:p>
        </w:tc>
        <w:tc>
          <w:tcPr>
            <w:tcW w:w="124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(3)</w:t>
            </w:r>
          </w:p>
        </w:tc>
      </w:tr>
      <w:tr>
        <w:trPr>
          <w:trHeight w:val="220"/>
        </w:trPr>
        <w:tc>
          <w:tcPr>
            <w:tcW w:w="53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liabilities</w:t>
            </w: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656.0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867.5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(211.5)</w:t>
            </w:r>
          </w:p>
        </w:tc>
        <w:tc>
          <w:tcPr>
            <w:tcW w:w="1240" w:type="dxa"/>
            <w:vAlign w:val="bottom"/>
            <w:tcBorders>
              <w:bottom w:val="single" w:sz="8" w:color="CCEEFF"/>
            </w:tcBorders>
          </w:tcPr>
          <w:p>
            <w:pPr>
              <w:jc w:val="right"/>
              <w:ind w:right="94"/>
              <w:spacing w:after="0"/>
              <w:rPr>
                <w:sz w:val="20"/>
                <w:szCs w:val="20"/>
                <w:color w:val="auto"/>
              </w:rPr>
            </w:pPr>
            <w:r>
              <w:rPr>
                <w:rFonts w:ascii="Arial" w:cs="Arial" w:eastAsia="Arial" w:hAnsi="Arial"/>
                <w:sz w:val="17"/>
                <w:szCs w:val="17"/>
                <w:color w:val="auto"/>
              </w:rPr>
              <w:t>(24)</w:t>
            </w:r>
          </w:p>
        </w:tc>
      </w:tr>
      <w:tr>
        <w:trPr>
          <w:trHeight w:val="213"/>
        </w:trPr>
        <w:tc>
          <w:tcPr>
            <w:tcW w:w="53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Total liabilities</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11,563.8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11,670.4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(106.7)</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r>
      <w:tr>
        <w:trPr>
          <w:trHeight w:val="155"/>
        </w:trPr>
        <w:tc>
          <w:tcPr>
            <w:tcW w:w="5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220"/>
        </w:trPr>
        <w:tc>
          <w:tcPr>
            <w:tcW w:w="5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stockholders’ equity</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543.9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476.7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67.2</w:t>
            </w:r>
          </w:p>
        </w:tc>
        <w:tc>
          <w:tcPr>
            <w:tcW w:w="1240" w:type="dxa"/>
            <w:vAlign w:val="bottom"/>
            <w:shd w:val="clear" w:color="auto" w:fill="CCEEFF"/>
          </w:tcPr>
          <w:p>
            <w:pPr>
              <w:ind w:left="840"/>
              <w:spacing w:after="0"/>
              <w:rPr>
                <w:sz w:val="20"/>
                <w:szCs w:val="20"/>
                <w:color w:val="auto"/>
              </w:rPr>
            </w:pPr>
            <w:r>
              <w:rPr>
                <w:rFonts w:ascii="Arial" w:cs="Arial" w:eastAsia="Arial" w:hAnsi="Arial"/>
                <w:sz w:val="17"/>
                <w:szCs w:val="17"/>
                <w:color w:val="auto"/>
              </w:rPr>
              <w:t>14</w:t>
            </w:r>
          </w:p>
        </w:tc>
      </w:tr>
      <w:tr>
        <w:trPr>
          <w:trHeight w:val="155"/>
        </w:trPr>
        <w:tc>
          <w:tcPr>
            <w:tcW w:w="532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1240" w:type="dxa"/>
            <w:vAlign w:val="bottom"/>
            <w:tcBorders>
              <w:bottom w:val="single" w:sz="8" w:color="CCEEFF"/>
            </w:tcBorders>
          </w:tcPr>
          <w:p>
            <w:pPr>
              <w:spacing w:after="0"/>
              <w:rPr>
                <w:sz w:val="13"/>
                <w:szCs w:val="13"/>
                <w:color w:val="auto"/>
              </w:rPr>
            </w:pPr>
          </w:p>
        </w:tc>
      </w:tr>
      <w:tr>
        <w:trPr>
          <w:trHeight w:val="238"/>
        </w:trPr>
        <w:tc>
          <w:tcPr>
            <w:tcW w:w="53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Total liabilities and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12,107.7</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12,147.1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(39.4)</w:t>
            </w:r>
          </w:p>
        </w:tc>
        <w:tc>
          <w:tcPr>
            <w:tcW w:w="124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7"/>
                <w:szCs w:val="17"/>
                <w:color w:val="auto"/>
              </w:rPr>
              <w:t>— %</w:t>
            </w: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r>
      <w:tr>
        <w:trPr>
          <w:trHeight w:val="101"/>
        </w:trPr>
        <w:tc>
          <w:tcPr>
            <w:tcW w:w="5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40" w:type="dxa"/>
            <w:vAlign w:val="bottom"/>
          </w:tcPr>
          <w:p>
            <w:pPr>
              <w:spacing w:after="0"/>
              <w:rPr>
                <w:sz w:val="8"/>
                <w:szCs w:val="8"/>
                <w:color w:val="auto"/>
              </w:rPr>
            </w:pPr>
          </w:p>
        </w:tc>
      </w:tr>
      <w:tr>
        <w:trPr>
          <w:trHeight w:val="220"/>
        </w:trPr>
        <w:tc>
          <w:tcPr>
            <w:tcW w:w="5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Liabilities by Segment</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0"/>
        </w:trPr>
        <w:tc>
          <w:tcPr>
            <w:tcW w:w="5320" w:type="dxa"/>
            <w:vAlign w:val="bottom"/>
          </w:tcPr>
          <w:p>
            <w:pPr>
              <w:ind w:left="140"/>
              <w:spacing w:after="0"/>
              <w:rPr>
                <w:sz w:val="20"/>
                <w:szCs w:val="20"/>
                <w:color w:val="auto"/>
              </w:rPr>
            </w:pPr>
            <w:r>
              <w:rPr>
                <w:rFonts w:ascii="Arial" w:cs="Arial" w:eastAsia="Arial" w:hAnsi="Arial"/>
                <w:sz w:val="17"/>
                <w:szCs w:val="17"/>
                <w:color w:val="auto"/>
              </w:rPr>
              <w:t>Servicing</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tcPr>
          <w:p>
            <w:pPr>
              <w:jc w:val="right"/>
              <w:ind w:right="134"/>
              <w:spacing w:after="0"/>
              <w:rPr>
                <w:sz w:val="20"/>
                <w:szCs w:val="20"/>
                <w:color w:val="auto"/>
              </w:rPr>
            </w:pPr>
            <w:r>
              <w:rPr>
                <w:rFonts w:ascii="Arial" w:cs="Arial" w:eastAsia="Arial" w:hAnsi="Arial"/>
                <w:sz w:val="17"/>
                <w:szCs w:val="17"/>
                <w:color w:val="auto"/>
              </w:rPr>
              <w:t>10,534.2</w:t>
            </w:r>
          </w:p>
        </w:tc>
        <w:tc>
          <w:tcPr>
            <w:tcW w:w="100" w:type="dxa"/>
            <w:vAlign w:val="bottom"/>
          </w:tcPr>
          <w:p>
            <w:pPr>
              <w:spacing w:after="0"/>
              <w:rPr>
                <w:sz w:val="19"/>
                <w:szCs w:val="19"/>
                <w:color w:val="auto"/>
              </w:rPr>
            </w:pPr>
          </w:p>
        </w:tc>
        <w:tc>
          <w:tcPr>
            <w:tcW w:w="400" w:type="dxa"/>
            <w:vAlign w:val="bottom"/>
          </w:tcPr>
          <w:p>
            <w:pPr>
              <w:jc w:val="right"/>
              <w:ind w:right="194"/>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134"/>
              <w:spacing w:after="0"/>
              <w:rPr>
                <w:sz w:val="20"/>
                <w:szCs w:val="20"/>
                <w:color w:val="auto"/>
              </w:rPr>
            </w:pPr>
            <w:r>
              <w:rPr>
                <w:rFonts w:ascii="Arial" w:cs="Arial" w:eastAsia="Arial" w:hAnsi="Arial"/>
                <w:sz w:val="17"/>
                <w:szCs w:val="17"/>
                <w:color w:val="auto"/>
              </w:rPr>
              <w:t>10,474.5</w:t>
            </w:r>
          </w:p>
        </w:tc>
        <w:tc>
          <w:tcPr>
            <w:tcW w:w="10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ind w:right="134"/>
              <w:spacing w:after="0"/>
              <w:rPr>
                <w:sz w:val="20"/>
                <w:szCs w:val="20"/>
                <w:color w:val="auto"/>
              </w:rPr>
            </w:pPr>
            <w:r>
              <w:rPr>
                <w:rFonts w:ascii="Arial" w:cs="Arial" w:eastAsia="Arial" w:hAnsi="Arial"/>
                <w:sz w:val="17"/>
                <w:szCs w:val="17"/>
                <w:color w:val="auto"/>
              </w:rPr>
              <w:t>59.7</w:t>
            </w:r>
          </w:p>
        </w:tc>
        <w:tc>
          <w:tcPr>
            <w:tcW w:w="1240" w:type="dxa"/>
            <w:vAlign w:val="bottom"/>
          </w:tcPr>
          <w:p>
            <w:pPr>
              <w:ind w:left="940"/>
              <w:spacing w:after="0"/>
              <w:rPr>
                <w:sz w:val="20"/>
                <w:szCs w:val="20"/>
                <w:color w:val="auto"/>
              </w:rPr>
            </w:pPr>
            <w:r>
              <w:rPr>
                <w:rFonts w:ascii="Arial" w:cs="Arial" w:eastAsia="Arial" w:hAnsi="Arial"/>
                <w:sz w:val="17"/>
                <w:szCs w:val="17"/>
                <w:color w:val="auto"/>
                <w:w w:val="95"/>
              </w:rPr>
              <w:t>1 %</w:t>
            </w:r>
          </w:p>
        </w:tc>
      </w:tr>
      <w:tr>
        <w:trPr>
          <w:trHeight w:val="220"/>
        </w:trPr>
        <w:tc>
          <w:tcPr>
            <w:tcW w:w="53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Originations</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696.1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832.7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(136.6)</w:t>
            </w:r>
          </w:p>
        </w:tc>
        <w:tc>
          <w:tcPr>
            <w:tcW w:w="124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(16)</w:t>
            </w:r>
          </w:p>
        </w:tc>
      </w:tr>
      <w:tr>
        <w:trPr>
          <w:trHeight w:val="220"/>
        </w:trPr>
        <w:tc>
          <w:tcPr>
            <w:tcW w:w="532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Corporate Items and Other</w:t>
            </w: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333.5</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363.3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(29.7)</w:t>
            </w:r>
          </w:p>
        </w:tc>
        <w:tc>
          <w:tcPr>
            <w:tcW w:w="1240" w:type="dxa"/>
            <w:vAlign w:val="bottom"/>
            <w:tcBorders>
              <w:bottom w:val="single" w:sz="8" w:color="CCEEFF"/>
            </w:tcBorders>
          </w:tcPr>
          <w:p>
            <w:pPr>
              <w:jc w:val="right"/>
              <w:ind w:right="94"/>
              <w:spacing w:after="0"/>
              <w:rPr>
                <w:sz w:val="20"/>
                <w:szCs w:val="20"/>
                <w:color w:val="auto"/>
              </w:rPr>
            </w:pPr>
            <w:r>
              <w:rPr>
                <w:rFonts w:ascii="Arial" w:cs="Arial" w:eastAsia="Arial" w:hAnsi="Arial"/>
                <w:sz w:val="17"/>
                <w:szCs w:val="17"/>
                <w:color w:val="auto"/>
              </w:rPr>
              <w:t>(8)</w:t>
            </w:r>
          </w:p>
        </w:tc>
      </w:tr>
      <w:tr>
        <w:trPr>
          <w:trHeight w:val="238"/>
        </w:trPr>
        <w:tc>
          <w:tcPr>
            <w:tcW w:w="53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11,563.8</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11,670.4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(106.7)</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w:t>
            </w: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r>
      <w:tr>
        <w:trPr>
          <w:trHeight w:val="101"/>
        </w:trPr>
        <w:tc>
          <w:tcPr>
            <w:tcW w:w="5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40" w:type="dxa"/>
            <w:vAlign w:val="bottom"/>
          </w:tcPr>
          <w:p>
            <w:pPr>
              <w:spacing w:after="0"/>
              <w:rPr>
                <w:sz w:val="8"/>
                <w:szCs w:val="8"/>
                <w:color w:val="auto"/>
              </w:rPr>
            </w:pPr>
          </w:p>
        </w:tc>
      </w:tr>
      <w:tr>
        <w:trPr>
          <w:trHeight w:val="220"/>
        </w:trPr>
        <w:tc>
          <w:tcPr>
            <w:tcW w:w="5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Book value per share</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59.19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51.77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7.42</w:t>
            </w:r>
          </w:p>
        </w:tc>
        <w:tc>
          <w:tcPr>
            <w:tcW w:w="1240" w:type="dxa"/>
            <w:vAlign w:val="bottom"/>
            <w:shd w:val="clear" w:color="auto" w:fill="CCEEFF"/>
          </w:tcPr>
          <w:p>
            <w:pPr>
              <w:ind w:left="840"/>
              <w:spacing w:after="0"/>
              <w:rPr>
                <w:sz w:val="20"/>
                <w:szCs w:val="20"/>
                <w:color w:val="auto"/>
              </w:rPr>
            </w:pPr>
            <w:r>
              <w:rPr>
                <w:rFonts w:ascii="Arial" w:cs="Arial" w:eastAsia="Arial" w:hAnsi="Arial"/>
                <w:sz w:val="17"/>
                <w:szCs w:val="17"/>
                <w:color w:val="auto"/>
                <w:w w:val="97"/>
              </w:rPr>
              <w:t>14 %</w:t>
            </w:r>
          </w:p>
        </w:tc>
      </w:tr>
    </w:tbl>
    <w:p>
      <w:pPr>
        <w:spacing w:after="0" w:line="181" w:lineRule="exact"/>
        <w:rPr>
          <w:sz w:val="20"/>
          <w:szCs w:val="20"/>
          <w:color w:val="auto"/>
        </w:rPr>
      </w:pPr>
    </w:p>
    <w:p>
      <w:pPr>
        <w:ind w:right="140"/>
        <w:spacing w:after="0" w:line="277" w:lineRule="auto"/>
        <w:rPr>
          <w:sz w:val="20"/>
          <w:szCs w:val="20"/>
          <w:color w:val="auto"/>
        </w:rPr>
      </w:pPr>
      <w:r>
        <w:rPr>
          <w:rFonts w:ascii="Arial" w:cs="Arial" w:eastAsia="Arial" w:hAnsi="Arial"/>
          <w:sz w:val="16"/>
          <w:szCs w:val="16"/>
          <w:color w:val="auto"/>
        </w:rPr>
        <w:t>Total assets decreased $39.4 million, or 0.3%, between December 31, 2021 and June 30, 2022 due to a $241.1 million decline in our loans held for sale portfolio driven by lower forward loan production volumes, a $157.2 million decrease in other assets mostly attributable to the decrease in contingent repurchase rights related to delinquent loans that have been repurchased under the Ginnie Mae EBO program, and a $125.3 million decline in servicing advances, mainly due to seasonal reduction of escrow balances, increased recoveries on delinquent and default loans, and loan repurchases under the Ginnie Mae EBO program. These declines were offset by a $235.5 million increase in our MSR portfolio mostly attributed to fair value gains due to rising interest rates and additions through purchases and retained servicing on loan sales, partially offset by a sale of MSRs to an unrelated third party, and a $176.2 million increase in Loans held for investment, mostly driven by our reverse mortgage origination and bulk acquisition.</w:t>
      </w: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967" w:right="379" w:bottom="1440" w:gutter="0" w:footer="0" w:header="0"/>
        </w:sectPr>
      </w:pPr>
    </w:p>
    <w:bookmarkStart w:id="66" w:name="page67"/>
    <w:bookmarkEnd w:id="66"/>
    <w:p>
      <w:pPr>
        <w:ind w:right="20"/>
        <w:spacing w:after="0" w:line="298" w:lineRule="auto"/>
        <w:rPr>
          <w:sz w:val="20"/>
          <w:szCs w:val="20"/>
          <w:color w:val="auto"/>
        </w:rPr>
      </w:pPr>
      <w:r>
        <w:rPr>
          <w:rFonts w:ascii="Arial" w:cs="Arial" w:eastAsia="Arial" w:hAnsi="Arial"/>
          <w:sz w:val="15"/>
          <w:szCs w:val="15"/>
          <w:color w:val="auto"/>
        </w:rPr>
        <w:t>Total liabilities decreased by $106.7 million, or 1%, as compared to December 31, 2021, with similar effects as described above. Our borrowings under warehouse lines declined $305.8 million due to lower loan production volumes. Advance match funded liabilities decreased $35.3 million consistent with the decline in Servicing advances. Senior notes, net decreased $19.9 million due to our repurchase of $25.0 million PMC 7.875% Senior Secured Notes due March 2026 in the second quarter of 2022. Other liabilities declined $211.5 million mostly due to a decrease in the Ginnie Mae contingent repurchase rights of delinquent loans. Our HMBS-related borrowings increased by $270.2 million due to the continued growth of our reverse mortgage business and its securitization. The $108.7 million increase in Other financing liabilities is primarily due to additional transfers of MSRs to MAV in the six months ended June 30, 2022 which did not qualify for sale accounting and related fair value changes. Borrowings under our MSR financing facilities increased $87.0 million to fund the increase in our MSR portfolio.</w:t>
      </w:r>
    </w:p>
    <w:p>
      <w:pPr>
        <w:spacing w:after="0" w:line="51" w:lineRule="exact"/>
        <w:rPr>
          <w:sz w:val="20"/>
          <w:szCs w:val="20"/>
          <w:color w:val="auto"/>
        </w:rPr>
      </w:pPr>
    </w:p>
    <w:p>
      <w:pPr>
        <w:ind w:right="180"/>
        <w:spacing w:after="0" w:line="268" w:lineRule="auto"/>
        <w:rPr>
          <w:sz w:val="20"/>
          <w:szCs w:val="20"/>
          <w:color w:val="auto"/>
        </w:rPr>
      </w:pPr>
      <w:r>
        <w:rPr>
          <w:rFonts w:ascii="Arial" w:cs="Arial" w:eastAsia="Arial" w:hAnsi="Arial"/>
          <w:sz w:val="17"/>
          <w:szCs w:val="17"/>
          <w:color w:val="auto"/>
        </w:rPr>
        <w:t>Total equity increased $67.2 million during the six months ended June 30, 2022 mostly due to $68.4 million net income. Under a $50.0 million repurchase program approved in May 2022, we repurchased and retired shares of our common stock for a total $2.3 million during the six months ended June 30, 2022. See Note 15 – Stockholders’ Equity for additional information.</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Key Trends</w:t>
      </w:r>
    </w:p>
    <w:p>
      <w:pPr>
        <w:spacing w:after="0" w:line="121" w:lineRule="exact"/>
        <w:rPr>
          <w:sz w:val="20"/>
          <w:szCs w:val="20"/>
          <w:color w:val="auto"/>
        </w:rPr>
      </w:pPr>
    </w:p>
    <w:p>
      <w:pPr>
        <w:ind w:right="140"/>
        <w:spacing w:after="0" w:line="283" w:lineRule="auto"/>
        <w:rPr>
          <w:sz w:val="20"/>
          <w:szCs w:val="20"/>
          <w:color w:val="auto"/>
        </w:rPr>
      </w:pPr>
      <w:r>
        <w:rPr>
          <w:rFonts w:ascii="Arial" w:cs="Arial" w:eastAsia="Arial" w:hAnsi="Arial"/>
          <w:sz w:val="17"/>
          <w:szCs w:val="17"/>
          <w:color w:val="auto"/>
        </w:rPr>
        <w:t>The following discussion provides information regarding certain key drivers of our financial performance. Also refer to the Segment results of operations section for further detail, the description of our business environment, initiatives and risks.</w:t>
      </w:r>
    </w:p>
    <w:p>
      <w:pPr>
        <w:spacing w:after="0" w:line="56" w:lineRule="exact"/>
        <w:rPr>
          <w:sz w:val="20"/>
          <w:szCs w:val="20"/>
          <w:color w:val="auto"/>
        </w:rPr>
      </w:pPr>
    </w:p>
    <w:p>
      <w:pPr>
        <w:ind w:right="240"/>
        <w:spacing w:after="0" w:line="292" w:lineRule="auto"/>
        <w:rPr>
          <w:sz w:val="20"/>
          <w:szCs w:val="20"/>
          <w:color w:val="auto"/>
        </w:rPr>
      </w:pPr>
      <w:r>
        <w:rPr>
          <w:rFonts w:ascii="Arial" w:cs="Arial" w:eastAsia="Arial" w:hAnsi="Arial"/>
          <w:sz w:val="16"/>
          <w:szCs w:val="16"/>
          <w:i w:val="1"/>
          <w:iCs w:val="1"/>
          <w:color w:val="auto"/>
        </w:rPr>
        <w:t xml:space="preserve">Servicing and subservicing fee revenue </w:t>
      </w:r>
      <w:r>
        <w:rPr>
          <w:rFonts w:ascii="Arial" w:cs="Arial" w:eastAsia="Arial" w:hAnsi="Arial"/>
          <w:sz w:val="16"/>
          <w:szCs w:val="16"/>
          <w:color w:val="auto"/>
        </w:rPr>
        <w:t>- Our servicing fee revenue is a function of the volume being serviced - UPB for servicing fees and loan count for</w:t>
      </w:r>
      <w:r>
        <w:rPr>
          <w:rFonts w:ascii="Arial" w:cs="Arial" w:eastAsia="Arial" w:hAnsi="Arial"/>
          <w:sz w:val="16"/>
          <w:szCs w:val="16"/>
          <w:i w:val="1"/>
          <w:iCs w:val="1"/>
          <w:color w:val="auto"/>
        </w:rPr>
        <w:t xml:space="preserve"> </w:t>
      </w:r>
      <w:r>
        <w:rPr>
          <w:rFonts w:ascii="Arial" w:cs="Arial" w:eastAsia="Arial" w:hAnsi="Arial"/>
          <w:sz w:val="16"/>
          <w:szCs w:val="16"/>
          <w:color w:val="auto"/>
        </w:rPr>
        <w:t>subservicing fees. We expect we will continue to replenish and grow our servicing portfolio through our multi-channel Originations platform and through MAV for the remainder of 2022. In addition, we continuously evaluate the relative mix between servicing and subservicing volume.</w:t>
      </w:r>
    </w:p>
    <w:p>
      <w:pPr>
        <w:spacing w:after="0" w:line="52" w:lineRule="exact"/>
        <w:rPr>
          <w:sz w:val="20"/>
          <w:szCs w:val="20"/>
          <w:color w:val="auto"/>
        </w:rPr>
      </w:pPr>
    </w:p>
    <w:p>
      <w:pPr>
        <w:ind w:right="60"/>
        <w:spacing w:after="0" w:line="263" w:lineRule="auto"/>
        <w:rPr>
          <w:sz w:val="20"/>
          <w:szCs w:val="20"/>
          <w:color w:val="auto"/>
        </w:rPr>
      </w:pPr>
      <w:r>
        <w:rPr>
          <w:rFonts w:ascii="Arial" w:cs="Arial" w:eastAsia="Arial" w:hAnsi="Arial"/>
          <w:sz w:val="17"/>
          <w:szCs w:val="17"/>
          <w:i w:val="1"/>
          <w:iCs w:val="1"/>
          <w:color w:val="auto"/>
        </w:rPr>
        <w:t xml:space="preserve">Gain on sale of loans held for sale </w:t>
      </w:r>
      <w:r>
        <w:rPr>
          <w:rFonts w:ascii="Arial" w:cs="Arial" w:eastAsia="Arial" w:hAnsi="Arial"/>
          <w:sz w:val="17"/>
          <w:szCs w:val="17"/>
          <w:color w:val="auto"/>
        </w:rPr>
        <w:t>- Our gain on sale is driven by both volume and margin and is channel-sensitive, with Consumer Direct generating relatively</w:t>
      </w:r>
      <w:r>
        <w:rPr>
          <w:rFonts w:ascii="Arial" w:cs="Arial" w:eastAsia="Arial" w:hAnsi="Arial"/>
          <w:sz w:val="17"/>
          <w:szCs w:val="17"/>
          <w:i w:val="1"/>
          <w:iCs w:val="1"/>
          <w:color w:val="auto"/>
        </w:rPr>
        <w:t xml:space="preserve"> </w:t>
      </w:r>
      <w:r>
        <w:rPr>
          <w:rFonts w:ascii="Arial" w:cs="Arial" w:eastAsia="Arial" w:hAnsi="Arial"/>
          <w:sz w:val="17"/>
          <w:szCs w:val="17"/>
          <w:color w:val="auto"/>
        </w:rPr>
        <w:t>higher margins than Correspondent. We expect volume to continue to decline in our Consumer Direct channel due to significant interest rate increases, driving the industry to pivot from refinance to customer acquisitions. We expect lower margins due to heightened competition. We expect to continue to prudently grow our Correspondent volume at margins that are accretive to the business.</w:t>
      </w:r>
    </w:p>
    <w:p>
      <w:pPr>
        <w:spacing w:after="0" w:line="73" w:lineRule="exact"/>
        <w:rPr>
          <w:sz w:val="20"/>
          <w:szCs w:val="20"/>
          <w:color w:val="auto"/>
        </w:rPr>
      </w:pPr>
    </w:p>
    <w:p>
      <w:pPr>
        <w:ind w:right="20"/>
        <w:spacing w:after="0" w:line="261" w:lineRule="auto"/>
        <w:rPr>
          <w:sz w:val="20"/>
          <w:szCs w:val="20"/>
          <w:color w:val="auto"/>
        </w:rPr>
      </w:pPr>
      <w:r>
        <w:rPr>
          <w:rFonts w:ascii="Arial" w:cs="Arial" w:eastAsia="Arial" w:hAnsi="Arial"/>
          <w:sz w:val="17"/>
          <w:szCs w:val="17"/>
          <w:i w:val="1"/>
          <w:iCs w:val="1"/>
          <w:color w:val="auto"/>
        </w:rPr>
        <w:t xml:space="preserve">Reverse mortgage revenue, net </w:t>
      </w:r>
      <w:r>
        <w:rPr>
          <w:rFonts w:ascii="Arial" w:cs="Arial" w:eastAsia="Arial" w:hAnsi="Arial"/>
          <w:sz w:val="17"/>
          <w:szCs w:val="17"/>
          <w:color w:val="auto"/>
        </w:rPr>
        <w:t>- The reverse mortgage origination gain is driven by the same factors as gain on sale of loans held for sale, with smaller volumes in</w:t>
      </w:r>
      <w:r>
        <w:rPr>
          <w:rFonts w:ascii="Arial" w:cs="Arial" w:eastAsia="Arial" w:hAnsi="Arial"/>
          <w:sz w:val="17"/>
          <w:szCs w:val="17"/>
          <w:i w:val="1"/>
          <w:iCs w:val="1"/>
          <w:color w:val="auto"/>
        </w:rPr>
        <w:t xml:space="preserve"> </w:t>
      </w:r>
      <w:r>
        <w:rPr>
          <w:rFonts w:ascii="Arial" w:cs="Arial" w:eastAsia="Arial" w:hAnsi="Arial"/>
          <w:sz w:val="17"/>
          <w:szCs w:val="17"/>
          <w:color w:val="auto"/>
        </w:rPr>
        <w:t>the reverse mortgage market and generally larger margins. With our experience and brand in the marketplace, we expect to continue to maintain or prudently grow our volumes albeit with some channel mix changes. We expect increased volatility and a downward trend in our margins due to continued uncertain market interest rate and spread conditions. The fair value of the net reverse servicing asset is expected to continue to follow market conditions, and is part of our forward MSR hedging strategy.</w:t>
      </w:r>
    </w:p>
    <w:p>
      <w:pPr>
        <w:spacing w:after="0" w:line="74" w:lineRule="exact"/>
        <w:rPr>
          <w:sz w:val="20"/>
          <w:szCs w:val="20"/>
          <w:color w:val="auto"/>
        </w:rPr>
      </w:pPr>
    </w:p>
    <w:p>
      <w:pPr>
        <w:spacing w:after="0" w:line="277" w:lineRule="auto"/>
        <w:rPr>
          <w:sz w:val="20"/>
          <w:szCs w:val="20"/>
          <w:color w:val="auto"/>
        </w:rPr>
      </w:pPr>
      <w:r>
        <w:rPr>
          <w:rFonts w:ascii="Arial" w:cs="Arial" w:eastAsia="Arial" w:hAnsi="Arial"/>
          <w:sz w:val="16"/>
          <w:szCs w:val="16"/>
          <w:i w:val="1"/>
          <w:iCs w:val="1"/>
          <w:color w:val="auto"/>
        </w:rPr>
        <w:t xml:space="preserve">MSR valuation adjustments, net - </w:t>
      </w:r>
      <w:r>
        <w:rPr>
          <w:rFonts w:ascii="Arial" w:cs="Arial" w:eastAsia="Arial" w:hAnsi="Arial"/>
          <w:sz w:val="16"/>
          <w:szCs w:val="16"/>
          <w:color w:val="auto"/>
        </w:rPr>
        <w:t>Our net MSR fair value changes include multiple components. First, amortization of our investment is a function of the UPB,</w:t>
      </w:r>
      <w:r>
        <w:rPr>
          <w:rFonts w:ascii="Arial" w:cs="Arial" w:eastAsia="Arial" w:hAnsi="Arial"/>
          <w:sz w:val="16"/>
          <w:szCs w:val="16"/>
          <w:i w:val="1"/>
          <w:iCs w:val="1"/>
          <w:color w:val="auto"/>
        </w:rPr>
        <w:t xml:space="preserve"> </w:t>
      </w:r>
      <w:r>
        <w:rPr>
          <w:rFonts w:ascii="Arial" w:cs="Arial" w:eastAsia="Arial" w:hAnsi="Arial"/>
          <w:sz w:val="16"/>
          <w:szCs w:val="16"/>
          <w:color w:val="auto"/>
        </w:rPr>
        <w:t>capitalized value of the MSR relative to the UPB, and the level of scheduled payments and prepayments. We expect the MSR realization of cash flows to increase in 2022 as we have recently grown our MSR portfolio. Second, MSR fair value changes are driven by changes in interest rates and assumptions, such as forecasted prepayments. Third, the MSR fair value changes are partially offset by derivative fair value changes that economically hedge the MSR portfolio. We are exposed to increased interest rate volatility due to our interest rate sensitive GSE MSR portfolio. Our hedging strategy provides only partial hedge coverage and we would expect net MSR fair value losses if interest rates drop and conversely, net MSR fair value gains if interest rates rise. Refer to the sensitivity analysis in Item 3 - Quantitative and Qualitative Disclosures About Market Risk for further detail.</w:t>
      </w:r>
    </w:p>
    <w:p>
      <w:pPr>
        <w:spacing w:after="0" w:line="64" w:lineRule="exact"/>
        <w:rPr>
          <w:sz w:val="20"/>
          <w:szCs w:val="20"/>
          <w:color w:val="auto"/>
        </w:rPr>
      </w:pPr>
    </w:p>
    <w:p>
      <w:pPr>
        <w:spacing w:after="0" w:line="259" w:lineRule="auto"/>
        <w:rPr>
          <w:sz w:val="20"/>
          <w:szCs w:val="20"/>
          <w:color w:val="auto"/>
        </w:rPr>
      </w:pPr>
      <w:r>
        <w:rPr>
          <w:rFonts w:ascii="Arial" w:cs="Arial" w:eastAsia="Arial" w:hAnsi="Arial"/>
          <w:sz w:val="17"/>
          <w:szCs w:val="17"/>
          <w:i w:val="1"/>
          <w:iCs w:val="1"/>
          <w:color w:val="auto"/>
        </w:rPr>
        <w:t xml:space="preserve">Operating expenses </w:t>
      </w:r>
      <w:r>
        <w:rPr>
          <w:rFonts w:ascii="Arial" w:cs="Arial" w:eastAsia="Arial" w:hAnsi="Arial"/>
          <w:sz w:val="17"/>
          <w:szCs w:val="17"/>
          <w:color w:val="auto"/>
        </w:rPr>
        <w:t>- Compensation and benefits are a significant component of our cost-to-service and cost-to-originate and is directly correlated to headcount</w:t>
      </w:r>
      <w:r>
        <w:rPr>
          <w:rFonts w:ascii="Arial" w:cs="Arial" w:eastAsia="Arial" w:hAnsi="Arial"/>
          <w:sz w:val="17"/>
          <w:szCs w:val="17"/>
          <w:i w:val="1"/>
          <w:iCs w:val="1"/>
          <w:color w:val="auto"/>
        </w:rPr>
        <w:t xml:space="preserve"> </w:t>
      </w:r>
      <w:r>
        <w:rPr>
          <w:rFonts w:ascii="Arial" w:cs="Arial" w:eastAsia="Arial" w:hAnsi="Arial"/>
          <w:sz w:val="17"/>
          <w:szCs w:val="17"/>
          <w:color w:val="auto"/>
        </w:rPr>
        <w:t>levels. Headcount in Servicing is primarily driven by the number of loans or UPB being serviced and subserviced, and by the relative mix of performing, delinquent and defaulted loans. As servicing volume is expected to modestly increase (see above), we expect a modest increase in our workforce with partial offset from an increased relative share of performing loans. We expect to continue to right size and prudently manage our Originations headcount and operating expenses to align with funded volume. Other operating expenses are expected to correlate with volumes, with some productivity and efficiencies expected through our technology and continuous improvement initiatives.</w:t>
      </w:r>
    </w:p>
    <w:p>
      <w:pPr>
        <w:spacing w:after="0" w:line="78" w:lineRule="exact"/>
        <w:rPr>
          <w:sz w:val="20"/>
          <w:szCs w:val="20"/>
          <w:color w:val="auto"/>
        </w:rPr>
      </w:pPr>
    </w:p>
    <w:p>
      <w:pPr>
        <w:ind w:right="180"/>
        <w:spacing w:after="0" w:line="315" w:lineRule="auto"/>
        <w:rPr>
          <w:sz w:val="20"/>
          <w:szCs w:val="20"/>
          <w:color w:val="auto"/>
        </w:rPr>
      </w:pPr>
      <w:r>
        <w:rPr>
          <w:rFonts w:ascii="Arial" w:cs="Arial" w:eastAsia="Arial" w:hAnsi="Arial"/>
          <w:sz w:val="16"/>
          <w:szCs w:val="16"/>
          <w:i w:val="1"/>
          <w:iCs w:val="1"/>
          <w:color w:val="auto"/>
        </w:rPr>
        <w:t xml:space="preserve">Stockholders’ equity </w:t>
      </w:r>
      <w:r>
        <w:rPr>
          <w:rFonts w:ascii="Arial" w:cs="Arial" w:eastAsia="Arial" w:hAnsi="Arial"/>
          <w:sz w:val="16"/>
          <w:szCs w:val="16"/>
          <w:color w:val="auto"/>
        </w:rPr>
        <w:t>- With the above considerations and uncertainties, specifically in the third quarter of 2022, we expect our businesses to generate net income</w:t>
      </w:r>
      <w:r>
        <w:rPr>
          <w:rFonts w:ascii="Arial" w:cs="Arial" w:eastAsia="Arial" w:hAnsi="Arial"/>
          <w:sz w:val="16"/>
          <w:szCs w:val="16"/>
          <w:i w:val="1"/>
          <w:iCs w:val="1"/>
          <w:color w:val="auto"/>
        </w:rPr>
        <w:t xml:space="preserve"> </w:t>
      </w:r>
      <w:r>
        <w:rPr>
          <w:rFonts w:ascii="Arial" w:cs="Arial" w:eastAsia="Arial" w:hAnsi="Arial"/>
          <w:sz w:val="16"/>
          <w:szCs w:val="16"/>
          <w:color w:val="auto"/>
        </w:rPr>
        <w:t>and increase our equity, absent any significant adverse change in interest rates and if we continue to be successful in our business initiatives.</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7" w:right="339" w:bottom="1440" w:gutter="0" w:footer="0" w:header="0"/>
        </w:sectPr>
      </w:pPr>
    </w:p>
    <w:bookmarkStart w:id="67" w:name="page68"/>
    <w:bookmarkEnd w:id="67"/>
    <w:p>
      <w:pPr>
        <w:ind w:left="20"/>
        <w:spacing w:after="0"/>
        <w:rPr>
          <w:sz w:val="20"/>
          <w:szCs w:val="20"/>
          <w:color w:val="auto"/>
        </w:rPr>
      </w:pPr>
      <w:r>
        <w:rPr>
          <w:rFonts w:ascii="Arial" w:cs="Arial" w:eastAsia="Arial" w:hAnsi="Arial"/>
          <w:sz w:val="17"/>
          <w:szCs w:val="17"/>
          <w:b w:val="1"/>
          <w:bCs w:val="1"/>
          <w:color w:val="auto"/>
        </w:rPr>
        <w:t>SEGMENT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84455</wp:posOffset>
            </wp:positionV>
            <wp:extent cx="712152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94" w:lineRule="exact"/>
        <w:rPr>
          <w:sz w:val="20"/>
          <w:szCs w:val="20"/>
          <w:color w:val="auto"/>
        </w:rPr>
      </w:pPr>
    </w:p>
    <w:p>
      <w:pPr>
        <w:ind w:right="180"/>
        <w:spacing w:after="0" w:line="283" w:lineRule="auto"/>
        <w:rPr>
          <w:sz w:val="20"/>
          <w:szCs w:val="20"/>
          <w:color w:val="auto"/>
        </w:rPr>
      </w:pPr>
      <w:r>
        <w:rPr>
          <w:rFonts w:ascii="Arial" w:cs="Arial" w:eastAsia="Arial" w:hAnsi="Arial"/>
          <w:sz w:val="17"/>
          <w:szCs w:val="17"/>
          <w:color w:val="auto"/>
        </w:rPr>
        <w:t>Our activities are organized into two reportable business segments that reflect our primary lines of business - Servicing and Originations - as well as a Corporate Items and Other segment.</w:t>
      </w:r>
    </w:p>
    <w:p>
      <w:pPr>
        <w:spacing w:after="0" w:line="200" w:lineRule="exact"/>
        <w:rPr>
          <w:sz w:val="20"/>
          <w:szCs w:val="20"/>
          <w:color w:val="auto"/>
        </w:rPr>
      </w:pPr>
    </w:p>
    <w:p>
      <w:pPr>
        <w:spacing w:after="0" w:line="367"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SERVICING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84455</wp:posOffset>
            </wp:positionV>
            <wp:extent cx="712152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07" w:lineRule="exact"/>
        <w:rPr>
          <w:sz w:val="20"/>
          <w:szCs w:val="20"/>
          <w:color w:val="auto"/>
        </w:rPr>
      </w:pPr>
    </w:p>
    <w:p>
      <w:pPr>
        <w:ind w:right="60"/>
        <w:spacing w:after="0" w:line="261" w:lineRule="auto"/>
        <w:rPr>
          <w:sz w:val="20"/>
          <w:szCs w:val="20"/>
          <w:color w:val="auto"/>
        </w:rPr>
      </w:pPr>
      <w:r>
        <w:rPr>
          <w:rFonts w:ascii="Arial" w:cs="Arial" w:eastAsia="Arial" w:hAnsi="Arial"/>
          <w:sz w:val="17"/>
          <w:szCs w:val="17"/>
          <w:color w:val="auto"/>
        </w:rPr>
        <w:t>We earn contractual monthly servicing fees pursuant to servicing agreements, which are typically payable as a percentage of UPB, as well as ancillary fees, including late fees, modification incentive fees, REO referral commissions, float earnings and convenience or other loan collection fees, where permitted. We also earn fees under both subservicing and special servicing arrangements with banks and other institutions, including MAV, that own the MSRs. Subservicing and special servicing fees are earned either as a percentage of UPB or on a per-loan basis. Subservicing per-loan fees typically vary based on type of investor and on loan delinquency status.</w:t>
      </w:r>
    </w:p>
    <w:p>
      <w:pPr>
        <w:spacing w:after="0" w:line="74"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color w:val="auto"/>
        </w:rPr>
        <w:t>As of June 30, 2022, we serviced 1.4 million mortgage loans with an aggregate UPB of $288.3 billion. The average UPB of loans serviced during the second quarter of 2022 increased by 6% or $15.5 billion compared to the first quarter of 2022, mostly driven by the growth in our subservicing portfolio. Compared to the six months ended June 30, 2021, the average UPB of loans serviced during the six months ended June 30, 2022 increased by 44% or $85.5 billion mostly due to MSR acquisitions, subservicing additions and increased MSR originations, offset in part by portfolio runoff. We manage the size of our servicing portfolio with our Originations business and by selectively purchasing MSRs based on capital allocation and financial return targets.</w:t>
      </w:r>
    </w:p>
    <w:p>
      <w:pPr>
        <w:spacing w:after="0" w:line="60" w:lineRule="exact"/>
        <w:rPr>
          <w:sz w:val="20"/>
          <w:szCs w:val="20"/>
          <w:color w:val="auto"/>
        </w:rPr>
      </w:pPr>
    </w:p>
    <w:p>
      <w:pPr>
        <w:ind w:right="20"/>
        <w:spacing w:after="0" w:line="263" w:lineRule="auto"/>
        <w:rPr>
          <w:sz w:val="20"/>
          <w:szCs w:val="20"/>
          <w:color w:val="auto"/>
        </w:rPr>
      </w:pPr>
      <w:r>
        <w:rPr>
          <w:rFonts w:ascii="Arial" w:cs="Arial" w:eastAsia="Arial" w:hAnsi="Arial"/>
          <w:sz w:val="17"/>
          <w:szCs w:val="17"/>
          <w:color w:val="auto"/>
        </w:rPr>
        <w:t>In May 2021, PMC entered into a subservicing agreement with MAV for exclusive rights to service the mortgage loans underlying MSRs owned by MAV. MAV provides us with a source of additional subservicing volume, either with the MSRs that MAV purchases outright from third parties or with the MSRs that MAV purchases from PMC but the transactions do not achieve sale accounting. We are currently discussing with Oaktree an upsize of MAV capacity currently capped at $250 million of capital and other modifications of our different agreements.</w:t>
      </w:r>
    </w:p>
    <w:p>
      <w:pPr>
        <w:spacing w:after="0" w:line="73"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In addition, in October 2021, PMC acquired reverse mortgage subservicing contracts from MAM (RMS) and became its exclusive subservicer under a five-year subservicing agreement. PMC boarded approximately 40,000 and 19,000 additional reverse mortgage loans onto our servicing platform in the first quarter of 2022 and second quarter of 2022, respectively.</w:t>
      </w:r>
    </w:p>
    <w:p>
      <w:pPr>
        <w:spacing w:after="0" w:line="69"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NRZ remains our largest subservicing client, accounting for 18% and 28% of the UPB and loan count, respectively, in our servicing portfolio as of June 30, 2022. NRZ servicing fees retained by Ocwen represented approximately 11% of the total servicing and subservicing fees earned by Ocwen, net of servicing fees remitted to NRZ, for the second quarter of 2022 and 12% the first quarter of 2022. This compares to 11% and 19% for the six months ended June 30, 2022 and 2021, respectively. NRZ’s portfolio represents approximately 69% of all delinquent loans that Ocwen serviced, for which the cost to service and the associated risks are higher. Consistent with a subservicing relationship, NRZ is responsible for funding the advances we service for NRZ.</w:t>
      </w:r>
    </w:p>
    <w:p>
      <w:pPr>
        <w:spacing w:after="0" w:line="60" w:lineRule="exact"/>
        <w:rPr>
          <w:sz w:val="20"/>
          <w:szCs w:val="20"/>
          <w:color w:val="auto"/>
        </w:rPr>
      </w:pPr>
    </w:p>
    <w:p>
      <w:pPr>
        <w:ind w:right="80"/>
        <w:spacing w:after="0" w:line="278" w:lineRule="auto"/>
        <w:rPr>
          <w:sz w:val="20"/>
          <w:szCs w:val="20"/>
          <w:color w:val="auto"/>
        </w:rPr>
      </w:pPr>
      <w:r>
        <w:rPr>
          <w:rFonts w:ascii="Arial" w:cs="Arial" w:eastAsia="Arial" w:hAnsi="Arial"/>
          <w:sz w:val="16"/>
          <w:szCs w:val="16"/>
          <w:color w:val="auto"/>
        </w:rPr>
        <w:t>The financial performance of our servicing segment is impacted by the changes in fair value of the MSR portfolio due to changes in market interest rates, among other factors. Our MSR portfolio is carried at fair value, with changes in fair value recorded in earnings within MSR valuation adjustments, net. The fair value of our MSRs is typically correlated to changes in market interest rates; as interest rates decrease, the value of the servicing portfolio typically decreases as a result of higher anticipated prepayment speeds, and the reverse is true. The sensitivity of MSR fair value to interest rates is typically higher for higher credit quality loans, such as our Agency loans. Our Non-Agency portfolio is significantly seasoned, with an average loan age of approximately 17 years, exhibiting little response to movements in market interest rates. Our hedging strategy is designed to reduce the volatility of the MSR portfolio to interest rates.</w:t>
      </w:r>
    </w:p>
    <w:p>
      <w:pPr>
        <w:spacing w:after="0" w:line="65" w:lineRule="exact"/>
        <w:rPr>
          <w:sz w:val="20"/>
          <w:szCs w:val="20"/>
          <w:color w:val="auto"/>
        </w:rPr>
      </w:pPr>
    </w:p>
    <w:p>
      <w:pPr>
        <w:jc w:val="both"/>
        <w:ind w:right="60"/>
        <w:spacing w:after="0" w:line="293" w:lineRule="auto"/>
        <w:rPr>
          <w:sz w:val="20"/>
          <w:szCs w:val="20"/>
          <w:color w:val="auto"/>
        </w:rPr>
      </w:pPr>
      <w:r>
        <w:rPr>
          <w:rFonts w:ascii="Arial" w:cs="Arial" w:eastAsia="Arial" w:hAnsi="Arial"/>
          <w:sz w:val="15"/>
          <w:szCs w:val="15"/>
          <w:color w:val="auto"/>
        </w:rPr>
        <w:t>For those MSR sale transactions with NRZ and MAV that do not achieve sale accounting treatment, we present on a gross basis the transferred MSR as an asset at fair value and the corresponding liability amount as a pledged MSR liability at fair value on our balance sheet. The changes in fair value of the MSR are reflected as MSR valuation adjustments, net and the corresponding changes in fair value of the pledged MSR liability are reported within Pledged MSR liability expense.</w:t>
      </w:r>
    </w:p>
    <w:p>
      <w:pPr>
        <w:spacing w:after="0" w:line="1" w:lineRule="exact"/>
        <w:rPr>
          <w:sz w:val="20"/>
          <w:szCs w:val="20"/>
          <w:color w:val="auto"/>
        </w:rPr>
      </w:pPr>
    </w:p>
    <w:p>
      <w:pPr>
        <w:ind w:right="500"/>
        <w:spacing w:after="0" w:line="267" w:lineRule="auto"/>
        <w:rPr>
          <w:sz w:val="20"/>
          <w:szCs w:val="20"/>
          <w:color w:val="auto"/>
        </w:rPr>
      </w:pPr>
      <w:r>
        <w:rPr>
          <w:rFonts w:ascii="Arial" w:cs="Arial" w:eastAsia="Arial" w:hAnsi="Arial"/>
          <w:sz w:val="17"/>
          <w:szCs w:val="17"/>
          <w:color w:val="auto"/>
        </w:rPr>
        <w:t>Similarly, we present on a gross basis the total servicing fees collected on behalf of NRZ and MAV within Servicing and subservicing fees, net and the total servicing fee remittance to NRZ and MAV within Pledged MSR liability expense.</w:t>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color w:val="auto"/>
        </w:rPr>
        <w:t>As of June 30, 2022, we managed 17,757 loans under forbearance associated with borrowers impacted by the COVID-19 pandemic (or 1.3% of our total</w:t>
      </w:r>
    </w:p>
    <w:p>
      <w:pPr>
        <w:spacing w:after="0" w:line="3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portfolio), 4,277 of which related to our owned MSRs, or 0.7% of our owned MSR servicing portfolio (excluding NRZ and MAV)</w:t>
      </w:r>
      <w:r>
        <w:rPr>
          <w:rFonts w:ascii="Arial" w:cs="Arial" w:eastAsia="Arial" w:hAnsi="Arial"/>
          <w:sz w:val="20"/>
          <w:szCs w:val="20"/>
          <w:color w:val="008080"/>
        </w:rPr>
        <w:t>,</w:t>
      </w:r>
      <w:r>
        <w:rPr>
          <w:rFonts w:ascii="Arial" w:cs="Arial" w:eastAsia="Arial" w:hAnsi="Arial"/>
          <w:sz w:val="17"/>
          <w:szCs w:val="17"/>
          <w:color w:val="auto"/>
        </w:rPr>
        <w:t xml:space="preserve"> a reduction of 38% and 37%%, respectively, compared to December 31, 2021.</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349" w:right="339" w:bottom="1440" w:gutter="0" w:footer="0" w:header="0"/>
        </w:sectPr>
      </w:pPr>
    </w:p>
    <w:bookmarkStart w:id="68" w:name="page69"/>
    <w:bookmarkEnd w:id="68"/>
    <w:p>
      <w:pPr>
        <w:spacing w:after="0"/>
        <w:rPr>
          <w:sz w:val="20"/>
          <w:szCs w:val="20"/>
          <w:color w:val="auto"/>
        </w:rPr>
      </w:pPr>
      <w:r>
        <w:rPr>
          <w:rFonts w:ascii="Arial" w:cs="Arial" w:eastAsia="Arial" w:hAnsi="Arial"/>
          <w:sz w:val="17"/>
          <w:szCs w:val="17"/>
          <w:b w:val="1"/>
          <w:bCs w:val="1"/>
          <w:i w:val="1"/>
          <w:iCs w:val="1"/>
          <w:color w:val="auto"/>
        </w:rPr>
        <w:t>Loan Resolutions</w:t>
      </w:r>
    </w:p>
    <w:p>
      <w:pPr>
        <w:spacing w:after="0" w:line="115" w:lineRule="exact"/>
        <w:rPr>
          <w:sz w:val="20"/>
          <w:szCs w:val="20"/>
          <w:color w:val="auto"/>
        </w:rPr>
      </w:pPr>
    </w:p>
    <w:p>
      <w:pPr>
        <w:spacing w:after="0" w:line="296" w:lineRule="auto"/>
        <w:rPr>
          <w:sz w:val="20"/>
          <w:szCs w:val="20"/>
          <w:color w:val="auto"/>
        </w:rPr>
      </w:pPr>
      <w:r>
        <w:rPr>
          <w:rFonts w:ascii="Arial" w:cs="Arial" w:eastAsia="Arial" w:hAnsi="Arial"/>
          <w:sz w:val="15"/>
          <w:szCs w:val="15"/>
          <w:color w:val="auto"/>
        </w:rPr>
        <w:t>We have a strong track record of success as a leader in the servicing industry in foreclosure prevention and loss mitigation that helps homeowners stay in their homes and improves financial outcomes for mortgage loan investors. Reducing delinquencies also enables us to recover advances and recognize additional ancillary income, such as late fees, which we do not recognize on delinquent loans until they are brought current. Loan resolution activities address the pipeline of delinquent loans and generally lead to (i) modification of the loan terms, (ii) repayment plan alternatives, (iii) a discounted payoff of the loan (e.g., a “short sale”), or (iv) foreclosure or deed-in-lieu-of-foreclosure and sale of the resulting REO. Loan modifications must be made in accordance with the applicable servicing agreement as such agreements may require approvals or impose restrictions upon, or even forbid, loan modifications. To select an appropriate loan modification option for a borrower, we perform a structured analysis, using a proprietary model, of all options using information provided by the borrower as well as external data, including recent broker price opinions to value the mortgaged property. Our proprietary model includes, among other things, an assessment of re-default risk.</w:t>
      </w:r>
    </w:p>
    <w:p>
      <w:pPr>
        <w:spacing w:after="0" w:line="55" w:lineRule="exact"/>
        <w:rPr>
          <w:sz w:val="20"/>
          <w:szCs w:val="20"/>
          <w:color w:val="auto"/>
        </w:rPr>
      </w:pPr>
    </w:p>
    <w:p>
      <w:pPr>
        <w:jc w:val="both"/>
        <w:ind w:right="620"/>
        <w:spacing w:after="0" w:line="268" w:lineRule="auto"/>
        <w:rPr>
          <w:sz w:val="20"/>
          <w:szCs w:val="20"/>
          <w:color w:val="auto"/>
        </w:rPr>
      </w:pPr>
      <w:r>
        <w:rPr>
          <w:rFonts w:ascii="Arial" w:cs="Arial" w:eastAsia="Arial" w:hAnsi="Arial"/>
          <w:sz w:val="17"/>
          <w:szCs w:val="17"/>
          <w:color w:val="auto"/>
        </w:rPr>
        <w:t>Our future financial performance will be less impacted by loan resolutions because, under our NRZ agreements, NRZ receives all deferred servicing fees. Deferred servicing fees related to delinquent borrower payments were $137.2 million at June 30, 2022, of which $111.7 million were attributable to NRZ agreements.</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Advance Obligation</w:t>
      </w:r>
    </w:p>
    <w:p>
      <w:pPr>
        <w:spacing w:after="0" w:line="115" w:lineRule="exact"/>
        <w:rPr>
          <w:sz w:val="20"/>
          <w:szCs w:val="20"/>
          <w:color w:val="auto"/>
        </w:rPr>
      </w:pPr>
    </w:p>
    <w:p>
      <w:pPr>
        <w:ind w:right="100"/>
        <w:spacing w:after="0" w:line="259" w:lineRule="auto"/>
        <w:rPr>
          <w:sz w:val="20"/>
          <w:szCs w:val="20"/>
          <w:color w:val="auto"/>
        </w:rPr>
      </w:pPr>
      <w:r>
        <w:rPr>
          <w:rFonts w:ascii="Arial" w:cs="Arial" w:eastAsia="Arial" w:hAnsi="Arial"/>
          <w:sz w:val="17"/>
          <w:szCs w:val="17"/>
          <w:color w:val="auto"/>
        </w:rPr>
        <w:t>As a servicer, we are generally obligated to advance funds in the event borrowers are delinquent on their monthly mortgage related payments. We advance principal and interest (P&amp;I Advances), taxes and insurance (T&amp;I Advances) and legal fees, property valuation fees, property inspection fees, maintenance costs and preservation costs on properties that have been foreclosed (Corporate Advances). For certain loans in non-Agency securitization trusts, we have the ability to cease making P&amp;I advances and immediately recover advances previously made from the general collections of the respective trust if we determine that our P&amp;I advances cannot be recovered from the projected future cash flows. With T&amp;I and Corporate advances, we continue to advance if net future cash flows exceed projected future advances without regard to advances already made.</w:t>
      </w:r>
    </w:p>
    <w:p>
      <w:pPr>
        <w:spacing w:after="0" w:line="78" w:lineRule="exact"/>
        <w:rPr>
          <w:sz w:val="20"/>
          <w:szCs w:val="20"/>
          <w:color w:val="auto"/>
        </w:rPr>
      </w:pPr>
    </w:p>
    <w:p>
      <w:pPr>
        <w:ind w:right="40"/>
        <w:spacing w:after="0" w:line="261" w:lineRule="auto"/>
        <w:rPr>
          <w:sz w:val="20"/>
          <w:szCs w:val="20"/>
          <w:color w:val="auto"/>
        </w:rPr>
      </w:pPr>
      <w:r>
        <w:rPr>
          <w:rFonts w:ascii="Arial" w:cs="Arial" w:eastAsia="Arial" w:hAnsi="Arial"/>
          <w:sz w:val="17"/>
          <w:szCs w:val="17"/>
          <w:color w:val="auto"/>
        </w:rPr>
        <w:t>Most of our advances have the highest reimbursement priority (i.e., they are “top of the waterfall”) so that we are entitled to repayment from respective loan or REO liquidation proceeds before any interest or principal is paid on the bonds that were issued by the trust. In the majority of cases, advances in excess of respective loan or REO liquidation proceeds may be recovered from pool-level proceeds. The costs incurred in meeting these obligations consist principally of the interest expense incurred in financing the servicing advances. Most subservicing agreements, including our agreements with NRZ, provide for prompt reimbursement of any advances from the owner of the servicing rights.</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Third-Party Servicer Ratings</w:t>
      </w:r>
    </w:p>
    <w:p>
      <w:pPr>
        <w:spacing w:after="0" w:line="115" w:lineRule="exact"/>
        <w:rPr>
          <w:sz w:val="20"/>
          <w:szCs w:val="20"/>
          <w:color w:val="auto"/>
        </w:rPr>
      </w:pPr>
    </w:p>
    <w:p>
      <w:pPr>
        <w:ind w:right="360"/>
        <w:spacing w:after="0" w:line="353" w:lineRule="auto"/>
        <w:rPr>
          <w:sz w:val="20"/>
          <w:szCs w:val="20"/>
          <w:color w:val="auto"/>
        </w:rPr>
      </w:pPr>
      <w:r>
        <w:rPr>
          <w:rFonts w:ascii="Arial" w:cs="Arial" w:eastAsia="Arial" w:hAnsi="Arial"/>
          <w:sz w:val="15"/>
          <w:szCs w:val="15"/>
          <w:color w:val="auto"/>
        </w:rPr>
        <w:t>Like other servicers, we are the subject of mortgage servicer ratings or rankings (collectively, ratings) issued and revised from time to time by rating agencies including Moody’s, S&amp;P and Fitch. Favorable ratings from these agencies are important to the conduct of our loan servicing and lending businesses.</w:t>
      </w: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967" w:right="35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219"/>
        </w:trPr>
        <w:tc>
          <w:tcPr>
            <w:tcW w:w="6440" w:type="dxa"/>
            <w:vAlign w:val="bottom"/>
            <w:gridSpan w:val="2"/>
          </w:tcPr>
          <w:p>
            <w:pPr>
              <w:spacing w:after="0"/>
              <w:rPr>
                <w:sz w:val="20"/>
                <w:szCs w:val="20"/>
                <w:color w:val="auto"/>
              </w:rPr>
            </w:pPr>
            <w:r>
              <w:rPr>
                <w:rFonts w:ascii="Arial" w:cs="Arial" w:eastAsia="Arial" w:hAnsi="Arial"/>
                <w:sz w:val="17"/>
                <w:szCs w:val="17"/>
                <w:color w:val="auto"/>
              </w:rPr>
              <w:t>The following table summarizes our key servicer ratings:</w:t>
            </w: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439"/>
        </w:trPr>
        <w:tc>
          <w:tcPr>
            <w:tcW w:w="20" w:type="dxa"/>
            <w:vAlign w:val="bottom"/>
          </w:tcPr>
          <w:p>
            <w:pPr>
              <w:spacing w:after="0"/>
              <w:rPr>
                <w:sz w:val="24"/>
                <w:szCs w:val="24"/>
                <w:color w:val="auto"/>
              </w:rPr>
            </w:pPr>
          </w:p>
        </w:tc>
        <w:tc>
          <w:tcPr>
            <w:tcW w:w="6420" w:type="dxa"/>
            <w:vAlign w:val="bottom"/>
          </w:tcPr>
          <w:p>
            <w:pPr>
              <w:spacing w:after="0"/>
              <w:rPr>
                <w:sz w:val="24"/>
                <w:szCs w:val="24"/>
                <w:color w:val="auto"/>
              </w:rPr>
            </w:pPr>
          </w:p>
        </w:tc>
        <w:tc>
          <w:tcPr>
            <w:tcW w:w="4780" w:type="dxa"/>
            <w:vAlign w:val="bottom"/>
            <w:tcBorders>
              <w:bottom w:val="single" w:sz="8" w:color="auto"/>
            </w:tcBorders>
            <w:gridSpan w:val="5"/>
          </w:tcPr>
          <w:p>
            <w:pPr>
              <w:jc w:val="center"/>
              <w:spacing w:after="0"/>
              <w:rPr>
                <w:sz w:val="20"/>
                <w:szCs w:val="20"/>
                <w:color w:val="auto"/>
              </w:rPr>
            </w:pPr>
            <w:r>
              <w:rPr>
                <w:rFonts w:ascii="Arial" w:cs="Arial" w:eastAsia="Arial" w:hAnsi="Arial"/>
                <w:sz w:val="17"/>
                <w:szCs w:val="17"/>
                <w:b w:val="1"/>
                <w:bCs w:val="1"/>
                <w:color w:val="auto"/>
                <w:w w:val="97"/>
              </w:rPr>
              <w:t>PHH Mortgage Corporation (PMC)</w:t>
            </w:r>
          </w:p>
        </w:tc>
      </w:tr>
      <w:tr>
        <w:trPr>
          <w:trHeight w:val="213"/>
        </w:trPr>
        <w:tc>
          <w:tcPr>
            <w:tcW w:w="20" w:type="dxa"/>
            <w:vAlign w:val="bottom"/>
          </w:tcPr>
          <w:p>
            <w:pPr>
              <w:spacing w:after="0"/>
              <w:rPr>
                <w:sz w:val="18"/>
                <w:szCs w:val="18"/>
                <w:color w:val="auto"/>
              </w:rPr>
            </w:pPr>
          </w:p>
        </w:tc>
        <w:tc>
          <w:tcPr>
            <w:tcW w:w="6420" w:type="dxa"/>
            <w:vAlign w:val="bottom"/>
          </w:tcPr>
          <w:p>
            <w:pPr>
              <w:spacing w:after="0"/>
              <w:rPr>
                <w:sz w:val="18"/>
                <w:szCs w:val="18"/>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92"/>
              </w:rPr>
              <w:t>Moody’s</w:t>
            </w:r>
          </w:p>
        </w:tc>
        <w:tc>
          <w:tcPr>
            <w:tcW w:w="164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97"/>
              </w:rPr>
              <w:t>S&amp;P</w:t>
            </w:r>
          </w:p>
        </w:tc>
        <w:tc>
          <w:tcPr>
            <w:tcW w:w="1520" w:type="dxa"/>
            <w:vAlign w:val="bottom"/>
          </w:tcPr>
          <w:p>
            <w:pPr>
              <w:jc w:val="center"/>
              <w:spacing w:after="0"/>
              <w:rPr>
                <w:sz w:val="20"/>
                <w:szCs w:val="20"/>
                <w:color w:val="auto"/>
              </w:rPr>
            </w:pPr>
            <w:r>
              <w:rPr>
                <w:rFonts w:ascii="Arial" w:cs="Arial" w:eastAsia="Arial" w:hAnsi="Arial"/>
                <w:sz w:val="17"/>
                <w:szCs w:val="17"/>
                <w:b w:val="1"/>
                <w:bCs w:val="1"/>
                <w:color w:val="auto"/>
                <w:w w:val="93"/>
              </w:rPr>
              <w:t>Fitch</w:t>
            </w:r>
          </w:p>
        </w:tc>
      </w:tr>
      <w:tr>
        <w:trPr>
          <w:trHeight w:val="200"/>
        </w:trPr>
        <w:tc>
          <w:tcPr>
            <w:tcW w:w="20" w:type="dxa"/>
            <w:vAlign w:val="bottom"/>
          </w:tcPr>
          <w:p>
            <w:pPr>
              <w:spacing w:after="0"/>
              <w:rPr>
                <w:sz w:val="17"/>
                <w:szCs w:val="17"/>
                <w:color w:val="auto"/>
              </w:rPr>
            </w:pPr>
          </w:p>
        </w:tc>
        <w:tc>
          <w:tcPr>
            <w:tcW w:w="6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Forward</w:t>
            </w:r>
          </w:p>
        </w:tc>
        <w:tc>
          <w:tcPr>
            <w:tcW w:w="15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r>
      <w:tr>
        <w:trPr>
          <w:trHeight w:val="220"/>
        </w:trPr>
        <w:tc>
          <w:tcPr>
            <w:tcW w:w="20" w:type="dxa"/>
            <w:vAlign w:val="bottom"/>
          </w:tcPr>
          <w:p>
            <w:pPr>
              <w:spacing w:after="0"/>
              <w:rPr>
                <w:sz w:val="19"/>
                <w:szCs w:val="19"/>
                <w:color w:val="auto"/>
              </w:rPr>
            </w:pPr>
          </w:p>
        </w:tc>
        <w:tc>
          <w:tcPr>
            <w:tcW w:w="6420" w:type="dxa"/>
            <w:vAlign w:val="bottom"/>
          </w:tcPr>
          <w:p>
            <w:pPr>
              <w:ind w:left="120"/>
              <w:spacing w:after="0"/>
              <w:rPr>
                <w:sz w:val="20"/>
                <w:szCs w:val="20"/>
                <w:color w:val="auto"/>
              </w:rPr>
            </w:pPr>
            <w:r>
              <w:rPr>
                <w:rFonts w:ascii="Arial" w:cs="Arial" w:eastAsia="Arial" w:hAnsi="Arial"/>
                <w:sz w:val="17"/>
                <w:szCs w:val="17"/>
                <w:color w:val="auto"/>
              </w:rPr>
              <w:t>Residential Prime Servicer</w:t>
            </w:r>
          </w:p>
        </w:tc>
        <w:tc>
          <w:tcPr>
            <w:tcW w:w="1620" w:type="dxa"/>
            <w:vAlign w:val="bottom"/>
            <w:gridSpan w:val="2"/>
          </w:tcPr>
          <w:p>
            <w:pPr>
              <w:jc w:val="center"/>
              <w:ind w:right="100"/>
              <w:spacing w:after="0"/>
              <w:rPr>
                <w:sz w:val="20"/>
                <w:szCs w:val="20"/>
                <w:color w:val="auto"/>
              </w:rPr>
            </w:pPr>
            <w:r>
              <w:rPr>
                <w:rFonts w:ascii="Arial" w:cs="Arial" w:eastAsia="Arial" w:hAnsi="Arial"/>
                <w:sz w:val="17"/>
                <w:szCs w:val="17"/>
                <w:color w:val="auto"/>
                <w:w w:val="93"/>
              </w:rPr>
              <w:t>SQ3</w:t>
            </w:r>
          </w:p>
        </w:tc>
        <w:tc>
          <w:tcPr>
            <w:tcW w:w="1640" w:type="dxa"/>
            <w:vAlign w:val="bottom"/>
            <w:gridSpan w:val="2"/>
          </w:tcPr>
          <w:p>
            <w:pPr>
              <w:jc w:val="center"/>
              <w:ind w:right="100"/>
              <w:spacing w:after="0"/>
              <w:rPr>
                <w:sz w:val="20"/>
                <w:szCs w:val="20"/>
                <w:color w:val="auto"/>
              </w:rPr>
            </w:pPr>
            <w:r>
              <w:rPr>
                <w:rFonts w:ascii="Arial" w:cs="Arial" w:eastAsia="Arial" w:hAnsi="Arial"/>
                <w:sz w:val="17"/>
                <w:szCs w:val="17"/>
                <w:color w:val="auto"/>
                <w:w w:val="91"/>
              </w:rPr>
              <w:t>Average</w:t>
            </w:r>
          </w:p>
        </w:tc>
        <w:tc>
          <w:tcPr>
            <w:tcW w:w="1520" w:type="dxa"/>
            <w:vAlign w:val="bottom"/>
          </w:tcPr>
          <w:p>
            <w:pPr>
              <w:jc w:val="center"/>
              <w:spacing w:after="0"/>
              <w:rPr>
                <w:sz w:val="20"/>
                <w:szCs w:val="20"/>
                <w:color w:val="auto"/>
              </w:rPr>
            </w:pPr>
            <w:r>
              <w:rPr>
                <w:rFonts w:ascii="Arial" w:cs="Arial" w:eastAsia="Arial" w:hAnsi="Arial"/>
                <w:sz w:val="17"/>
                <w:szCs w:val="17"/>
                <w:color w:val="auto"/>
                <w:w w:val="88"/>
              </w:rPr>
              <w:t>RPS3+</w:t>
            </w:r>
          </w:p>
        </w:tc>
      </w:tr>
      <w:tr>
        <w:trPr>
          <w:trHeight w:val="220"/>
        </w:trPr>
        <w:tc>
          <w:tcPr>
            <w:tcW w:w="20" w:type="dxa"/>
            <w:vAlign w:val="bottom"/>
          </w:tcPr>
          <w:p>
            <w:pPr>
              <w:spacing w:after="0"/>
              <w:rPr>
                <w:sz w:val="19"/>
                <w:szCs w:val="19"/>
                <w:color w:val="auto"/>
              </w:rPr>
            </w:pPr>
          </w:p>
        </w:tc>
        <w:tc>
          <w:tcPr>
            <w:tcW w:w="64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Residential Subprime Servicer</w:t>
            </w:r>
          </w:p>
        </w:tc>
        <w:tc>
          <w:tcPr>
            <w:tcW w:w="1620" w:type="dxa"/>
            <w:vAlign w:val="bottom"/>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93"/>
              </w:rPr>
              <w:t>SQ3</w:t>
            </w:r>
          </w:p>
        </w:tc>
        <w:tc>
          <w:tcPr>
            <w:tcW w:w="1640" w:type="dxa"/>
            <w:vAlign w:val="bottom"/>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91"/>
              </w:rPr>
              <w:t>Average</w:t>
            </w:r>
          </w:p>
        </w:tc>
        <w:tc>
          <w:tcPr>
            <w:tcW w:w="15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8"/>
              </w:rPr>
              <w:t>RPS3+</w:t>
            </w:r>
          </w:p>
        </w:tc>
      </w:tr>
      <w:tr>
        <w:trPr>
          <w:trHeight w:val="220"/>
        </w:trPr>
        <w:tc>
          <w:tcPr>
            <w:tcW w:w="20" w:type="dxa"/>
            <w:vAlign w:val="bottom"/>
          </w:tcPr>
          <w:p>
            <w:pPr>
              <w:spacing w:after="0"/>
              <w:rPr>
                <w:sz w:val="19"/>
                <w:szCs w:val="19"/>
                <w:color w:val="auto"/>
              </w:rPr>
            </w:pPr>
          </w:p>
        </w:tc>
        <w:tc>
          <w:tcPr>
            <w:tcW w:w="6420" w:type="dxa"/>
            <w:vAlign w:val="bottom"/>
          </w:tcPr>
          <w:p>
            <w:pPr>
              <w:ind w:left="120"/>
              <w:spacing w:after="0"/>
              <w:rPr>
                <w:sz w:val="20"/>
                <w:szCs w:val="20"/>
                <w:color w:val="auto"/>
              </w:rPr>
            </w:pPr>
            <w:r>
              <w:rPr>
                <w:rFonts w:ascii="Arial" w:cs="Arial" w:eastAsia="Arial" w:hAnsi="Arial"/>
                <w:sz w:val="17"/>
                <w:szCs w:val="17"/>
                <w:color w:val="auto"/>
              </w:rPr>
              <w:t>Residential Special Servicer</w:t>
            </w:r>
          </w:p>
        </w:tc>
        <w:tc>
          <w:tcPr>
            <w:tcW w:w="1620" w:type="dxa"/>
            <w:vAlign w:val="bottom"/>
            <w:gridSpan w:val="2"/>
          </w:tcPr>
          <w:p>
            <w:pPr>
              <w:jc w:val="center"/>
              <w:ind w:right="100"/>
              <w:spacing w:after="0"/>
              <w:rPr>
                <w:sz w:val="20"/>
                <w:szCs w:val="20"/>
                <w:color w:val="auto"/>
              </w:rPr>
            </w:pPr>
            <w:r>
              <w:rPr>
                <w:rFonts w:ascii="Arial" w:cs="Arial" w:eastAsia="Arial" w:hAnsi="Arial"/>
                <w:sz w:val="17"/>
                <w:szCs w:val="17"/>
                <w:color w:val="auto"/>
                <w:w w:val="93"/>
              </w:rPr>
              <w:t>SQ3</w:t>
            </w:r>
          </w:p>
        </w:tc>
        <w:tc>
          <w:tcPr>
            <w:tcW w:w="1640" w:type="dxa"/>
            <w:vAlign w:val="bottom"/>
            <w:gridSpan w:val="2"/>
          </w:tcPr>
          <w:p>
            <w:pPr>
              <w:jc w:val="center"/>
              <w:ind w:right="100"/>
              <w:spacing w:after="0"/>
              <w:rPr>
                <w:sz w:val="20"/>
                <w:szCs w:val="20"/>
                <w:color w:val="auto"/>
              </w:rPr>
            </w:pPr>
            <w:r>
              <w:rPr>
                <w:rFonts w:ascii="Arial" w:cs="Arial" w:eastAsia="Arial" w:hAnsi="Arial"/>
                <w:sz w:val="17"/>
                <w:szCs w:val="17"/>
                <w:color w:val="auto"/>
                <w:w w:val="91"/>
              </w:rPr>
              <w:t>Average</w:t>
            </w:r>
          </w:p>
        </w:tc>
        <w:tc>
          <w:tcPr>
            <w:tcW w:w="1520" w:type="dxa"/>
            <w:vAlign w:val="bottom"/>
          </w:tcPr>
          <w:p>
            <w:pPr>
              <w:jc w:val="center"/>
              <w:spacing w:after="0"/>
              <w:rPr>
                <w:sz w:val="20"/>
                <w:szCs w:val="20"/>
                <w:color w:val="auto"/>
              </w:rPr>
            </w:pPr>
            <w:r>
              <w:rPr>
                <w:rFonts w:ascii="Arial" w:cs="Arial" w:eastAsia="Arial" w:hAnsi="Arial"/>
                <w:sz w:val="17"/>
                <w:szCs w:val="17"/>
                <w:color w:val="auto"/>
                <w:w w:val="89"/>
              </w:rPr>
              <w:t>RSS3</w:t>
            </w:r>
          </w:p>
        </w:tc>
      </w:tr>
      <w:tr>
        <w:trPr>
          <w:trHeight w:val="220"/>
        </w:trPr>
        <w:tc>
          <w:tcPr>
            <w:tcW w:w="20" w:type="dxa"/>
            <w:vAlign w:val="bottom"/>
          </w:tcPr>
          <w:p>
            <w:pPr>
              <w:spacing w:after="0"/>
              <w:rPr>
                <w:sz w:val="19"/>
                <w:szCs w:val="19"/>
                <w:color w:val="auto"/>
              </w:rPr>
            </w:pPr>
          </w:p>
        </w:tc>
        <w:tc>
          <w:tcPr>
            <w:tcW w:w="64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Residential Second/Subordinate Lien Servicer</w:t>
            </w:r>
          </w:p>
        </w:tc>
        <w:tc>
          <w:tcPr>
            <w:tcW w:w="1620" w:type="dxa"/>
            <w:vAlign w:val="bottom"/>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93"/>
              </w:rPr>
              <w:t>SQ3</w:t>
            </w:r>
          </w:p>
        </w:tc>
        <w:tc>
          <w:tcPr>
            <w:tcW w:w="1640" w:type="dxa"/>
            <w:vAlign w:val="bottom"/>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91"/>
              </w:rPr>
              <w:t>Average</w:t>
            </w:r>
          </w:p>
        </w:tc>
        <w:tc>
          <w:tcPr>
            <w:tcW w:w="15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RPS3</w:t>
            </w:r>
          </w:p>
        </w:tc>
      </w:tr>
      <w:tr>
        <w:trPr>
          <w:trHeight w:val="220"/>
        </w:trPr>
        <w:tc>
          <w:tcPr>
            <w:tcW w:w="20" w:type="dxa"/>
            <w:vAlign w:val="bottom"/>
          </w:tcPr>
          <w:p>
            <w:pPr>
              <w:spacing w:after="0"/>
              <w:rPr>
                <w:sz w:val="19"/>
                <w:szCs w:val="19"/>
                <w:color w:val="auto"/>
              </w:rPr>
            </w:pPr>
          </w:p>
        </w:tc>
        <w:tc>
          <w:tcPr>
            <w:tcW w:w="6420" w:type="dxa"/>
            <w:vAlign w:val="bottom"/>
          </w:tcPr>
          <w:p>
            <w:pPr>
              <w:ind w:left="120"/>
              <w:spacing w:after="0"/>
              <w:rPr>
                <w:sz w:val="20"/>
                <w:szCs w:val="20"/>
                <w:color w:val="auto"/>
              </w:rPr>
            </w:pPr>
            <w:r>
              <w:rPr>
                <w:rFonts w:ascii="Arial" w:cs="Arial" w:eastAsia="Arial" w:hAnsi="Arial"/>
                <w:sz w:val="17"/>
                <w:szCs w:val="17"/>
                <w:color w:val="auto"/>
              </w:rPr>
              <w:t>Residential Home Equity Servicer</w:t>
            </w:r>
          </w:p>
        </w:tc>
        <w:tc>
          <w:tcPr>
            <w:tcW w:w="1620" w:type="dxa"/>
            <w:vAlign w:val="bottom"/>
            <w:gridSpan w:val="2"/>
          </w:tcPr>
          <w:p>
            <w:pPr>
              <w:jc w:val="center"/>
              <w:ind w:right="100"/>
              <w:spacing w:after="0"/>
              <w:rPr>
                <w:sz w:val="20"/>
                <w:szCs w:val="20"/>
                <w:color w:val="auto"/>
              </w:rPr>
            </w:pPr>
            <w:r>
              <w:rPr>
                <w:rFonts w:ascii="Arial" w:cs="Arial" w:eastAsia="Arial" w:hAnsi="Arial"/>
                <w:sz w:val="17"/>
                <w:szCs w:val="17"/>
                <w:color w:val="auto"/>
                <w:w w:val="93"/>
              </w:rPr>
              <w:t>—</w:t>
            </w:r>
          </w:p>
        </w:tc>
        <w:tc>
          <w:tcPr>
            <w:tcW w:w="1640" w:type="dxa"/>
            <w:vAlign w:val="bottom"/>
            <w:gridSpan w:val="2"/>
          </w:tcPr>
          <w:p>
            <w:pPr>
              <w:jc w:val="center"/>
              <w:ind w:right="100"/>
              <w:spacing w:after="0"/>
              <w:rPr>
                <w:sz w:val="20"/>
                <w:szCs w:val="20"/>
                <w:color w:val="auto"/>
              </w:rPr>
            </w:pPr>
            <w:r>
              <w:rPr>
                <w:rFonts w:ascii="Arial" w:cs="Arial" w:eastAsia="Arial" w:hAnsi="Arial"/>
                <w:sz w:val="17"/>
                <w:szCs w:val="17"/>
                <w:color w:val="auto"/>
              </w:rPr>
              <w:t>—</w:t>
            </w:r>
          </w:p>
        </w:tc>
        <w:tc>
          <w:tcPr>
            <w:tcW w:w="1520" w:type="dxa"/>
            <w:vAlign w:val="bottom"/>
          </w:tcPr>
          <w:p>
            <w:pPr>
              <w:jc w:val="center"/>
              <w:spacing w:after="0"/>
              <w:rPr>
                <w:sz w:val="20"/>
                <w:szCs w:val="20"/>
                <w:color w:val="auto"/>
              </w:rPr>
            </w:pPr>
            <w:r>
              <w:rPr>
                <w:rFonts w:ascii="Arial" w:cs="Arial" w:eastAsia="Arial" w:hAnsi="Arial"/>
                <w:sz w:val="17"/>
                <w:szCs w:val="17"/>
                <w:color w:val="auto"/>
                <w:w w:val="89"/>
              </w:rPr>
              <w:t>RPS3</w:t>
            </w:r>
          </w:p>
        </w:tc>
      </w:tr>
      <w:tr>
        <w:trPr>
          <w:trHeight w:val="220"/>
        </w:trPr>
        <w:tc>
          <w:tcPr>
            <w:tcW w:w="20" w:type="dxa"/>
            <w:vAlign w:val="bottom"/>
          </w:tcPr>
          <w:p>
            <w:pPr>
              <w:spacing w:after="0"/>
              <w:rPr>
                <w:sz w:val="19"/>
                <w:szCs w:val="19"/>
                <w:color w:val="auto"/>
              </w:rPr>
            </w:pPr>
          </w:p>
        </w:tc>
        <w:tc>
          <w:tcPr>
            <w:tcW w:w="64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Residential Alt-A Servicer</w:t>
            </w:r>
          </w:p>
        </w:tc>
        <w:tc>
          <w:tcPr>
            <w:tcW w:w="1620" w:type="dxa"/>
            <w:vAlign w:val="bottom"/>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93"/>
              </w:rPr>
              <w:t>—</w:t>
            </w:r>
          </w:p>
        </w:tc>
        <w:tc>
          <w:tcPr>
            <w:tcW w:w="1640" w:type="dxa"/>
            <w:vAlign w:val="bottom"/>
            <w:gridSpan w:val="2"/>
            <w:shd w:val="clear" w:color="auto" w:fill="CCEEFF"/>
          </w:tcPr>
          <w:p>
            <w:pPr>
              <w:jc w:val="center"/>
              <w:ind w:right="100"/>
              <w:spacing w:after="0"/>
              <w:rPr>
                <w:sz w:val="20"/>
                <w:szCs w:val="20"/>
                <w:color w:val="auto"/>
              </w:rPr>
            </w:pPr>
            <w:r>
              <w:rPr>
                <w:rFonts w:ascii="Arial" w:cs="Arial" w:eastAsia="Arial" w:hAnsi="Arial"/>
                <w:sz w:val="17"/>
                <w:szCs w:val="17"/>
                <w:color w:val="auto"/>
              </w:rPr>
              <w:t>—</w:t>
            </w:r>
          </w:p>
        </w:tc>
        <w:tc>
          <w:tcPr>
            <w:tcW w:w="15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RPS3</w:t>
            </w:r>
          </w:p>
        </w:tc>
      </w:tr>
      <w:tr>
        <w:trPr>
          <w:trHeight w:val="220"/>
        </w:trPr>
        <w:tc>
          <w:tcPr>
            <w:tcW w:w="20" w:type="dxa"/>
            <w:vAlign w:val="bottom"/>
          </w:tcPr>
          <w:p>
            <w:pPr>
              <w:spacing w:after="0"/>
              <w:rPr>
                <w:sz w:val="19"/>
                <w:szCs w:val="19"/>
                <w:color w:val="auto"/>
              </w:rPr>
            </w:pPr>
          </w:p>
        </w:tc>
        <w:tc>
          <w:tcPr>
            <w:tcW w:w="6420" w:type="dxa"/>
            <w:vAlign w:val="bottom"/>
          </w:tcPr>
          <w:p>
            <w:pPr>
              <w:ind w:left="120"/>
              <w:spacing w:after="0"/>
              <w:rPr>
                <w:sz w:val="20"/>
                <w:szCs w:val="20"/>
                <w:color w:val="auto"/>
              </w:rPr>
            </w:pPr>
            <w:r>
              <w:rPr>
                <w:rFonts w:ascii="Arial" w:cs="Arial" w:eastAsia="Arial" w:hAnsi="Arial"/>
                <w:sz w:val="17"/>
                <w:szCs w:val="17"/>
                <w:color w:val="auto"/>
              </w:rPr>
              <w:t>Master Servicer</w:t>
            </w:r>
          </w:p>
        </w:tc>
        <w:tc>
          <w:tcPr>
            <w:tcW w:w="1620" w:type="dxa"/>
            <w:vAlign w:val="bottom"/>
            <w:gridSpan w:val="2"/>
          </w:tcPr>
          <w:p>
            <w:pPr>
              <w:jc w:val="center"/>
              <w:ind w:right="100"/>
              <w:spacing w:after="0"/>
              <w:rPr>
                <w:sz w:val="20"/>
                <w:szCs w:val="20"/>
                <w:color w:val="auto"/>
              </w:rPr>
            </w:pPr>
            <w:r>
              <w:rPr>
                <w:rFonts w:ascii="Arial" w:cs="Arial" w:eastAsia="Arial" w:hAnsi="Arial"/>
                <w:sz w:val="17"/>
                <w:szCs w:val="17"/>
                <w:color w:val="auto"/>
                <w:w w:val="90"/>
              </w:rPr>
              <w:t>SQ3+</w:t>
            </w:r>
          </w:p>
        </w:tc>
        <w:tc>
          <w:tcPr>
            <w:tcW w:w="1640" w:type="dxa"/>
            <w:vAlign w:val="bottom"/>
            <w:gridSpan w:val="2"/>
          </w:tcPr>
          <w:p>
            <w:pPr>
              <w:jc w:val="center"/>
              <w:ind w:right="100"/>
              <w:spacing w:after="0"/>
              <w:rPr>
                <w:sz w:val="20"/>
                <w:szCs w:val="20"/>
                <w:color w:val="auto"/>
              </w:rPr>
            </w:pPr>
            <w:r>
              <w:rPr>
                <w:rFonts w:ascii="Arial" w:cs="Arial" w:eastAsia="Arial" w:hAnsi="Arial"/>
                <w:sz w:val="17"/>
                <w:szCs w:val="17"/>
                <w:color w:val="auto"/>
                <w:w w:val="91"/>
              </w:rPr>
              <w:t>Above Average</w:t>
            </w:r>
          </w:p>
        </w:tc>
        <w:tc>
          <w:tcPr>
            <w:tcW w:w="1520" w:type="dxa"/>
            <w:vAlign w:val="bottom"/>
          </w:tcPr>
          <w:p>
            <w:pPr>
              <w:jc w:val="center"/>
              <w:spacing w:after="0"/>
              <w:rPr>
                <w:sz w:val="20"/>
                <w:szCs w:val="20"/>
                <w:color w:val="auto"/>
              </w:rPr>
            </w:pPr>
            <w:r>
              <w:rPr>
                <w:rFonts w:ascii="Arial" w:cs="Arial" w:eastAsia="Arial" w:hAnsi="Arial"/>
                <w:sz w:val="17"/>
                <w:szCs w:val="17"/>
                <w:color w:val="auto"/>
                <w:w w:val="93"/>
              </w:rPr>
              <w:t>RMS3</w:t>
            </w:r>
          </w:p>
        </w:tc>
      </w:tr>
      <w:tr>
        <w:trPr>
          <w:trHeight w:val="220"/>
        </w:trPr>
        <w:tc>
          <w:tcPr>
            <w:tcW w:w="20" w:type="dxa"/>
            <w:vAlign w:val="bottom"/>
          </w:tcPr>
          <w:p>
            <w:pPr>
              <w:spacing w:after="0"/>
              <w:rPr>
                <w:sz w:val="19"/>
                <w:szCs w:val="19"/>
                <w:color w:val="auto"/>
              </w:rPr>
            </w:pPr>
          </w:p>
        </w:tc>
        <w:tc>
          <w:tcPr>
            <w:tcW w:w="64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Ratings Outlook</w:t>
            </w:r>
          </w:p>
        </w:tc>
        <w:tc>
          <w:tcPr>
            <w:tcW w:w="1620" w:type="dxa"/>
            <w:vAlign w:val="bottom"/>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98"/>
              </w:rPr>
              <w:t>N/A</w:t>
            </w:r>
          </w:p>
        </w:tc>
        <w:tc>
          <w:tcPr>
            <w:tcW w:w="1640" w:type="dxa"/>
            <w:vAlign w:val="bottom"/>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87"/>
              </w:rPr>
              <w:t>Stable</w:t>
            </w:r>
          </w:p>
        </w:tc>
        <w:tc>
          <w:tcPr>
            <w:tcW w:w="15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Positive / Stable</w:t>
            </w:r>
          </w:p>
        </w:tc>
      </w:tr>
      <w:tr>
        <w:trPr>
          <w:trHeight w:val="155"/>
        </w:trPr>
        <w:tc>
          <w:tcPr>
            <w:tcW w:w="20" w:type="dxa"/>
            <w:vAlign w:val="bottom"/>
          </w:tcPr>
          <w:p>
            <w:pPr>
              <w:spacing w:after="0"/>
              <w:rPr>
                <w:sz w:val="13"/>
                <w:szCs w:val="13"/>
                <w:color w:val="auto"/>
              </w:rPr>
            </w:pPr>
          </w:p>
        </w:tc>
        <w:tc>
          <w:tcPr>
            <w:tcW w:w="64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tcPr>
          <w:p>
            <w:pPr>
              <w:spacing w:after="0"/>
              <w:rPr>
                <w:sz w:val="13"/>
                <w:szCs w:val="13"/>
                <w:color w:val="auto"/>
              </w:rPr>
            </w:pPr>
          </w:p>
        </w:tc>
      </w:tr>
      <w:tr>
        <w:trPr>
          <w:trHeight w:val="220"/>
        </w:trPr>
        <w:tc>
          <w:tcPr>
            <w:tcW w:w="20" w:type="dxa"/>
            <w:vAlign w:val="bottom"/>
          </w:tcPr>
          <w:p>
            <w:pPr>
              <w:spacing w:after="0"/>
              <w:rPr>
                <w:sz w:val="19"/>
                <w:szCs w:val="19"/>
                <w:color w:val="auto"/>
              </w:rPr>
            </w:pPr>
          </w:p>
        </w:tc>
        <w:tc>
          <w:tcPr>
            <w:tcW w:w="64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Date of last action</w:t>
            </w:r>
          </w:p>
        </w:tc>
        <w:tc>
          <w:tcPr>
            <w:tcW w:w="1620" w:type="dxa"/>
            <w:vAlign w:val="bottom"/>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90"/>
              </w:rPr>
              <w:t>September 28, 2021</w:t>
            </w:r>
          </w:p>
        </w:tc>
        <w:tc>
          <w:tcPr>
            <w:tcW w:w="1640" w:type="dxa"/>
            <w:vAlign w:val="bottom"/>
            <w:gridSpan w:val="2"/>
            <w:shd w:val="clear" w:color="auto" w:fill="CCEEFF"/>
          </w:tcPr>
          <w:p>
            <w:pPr>
              <w:jc w:val="center"/>
              <w:ind w:right="120"/>
              <w:spacing w:after="0"/>
              <w:rPr>
                <w:sz w:val="20"/>
                <w:szCs w:val="20"/>
                <w:color w:val="auto"/>
              </w:rPr>
            </w:pPr>
            <w:r>
              <w:rPr>
                <w:rFonts w:ascii="Arial" w:cs="Arial" w:eastAsia="Arial" w:hAnsi="Arial"/>
                <w:sz w:val="17"/>
                <w:szCs w:val="17"/>
                <w:color w:val="auto"/>
                <w:w w:val="89"/>
              </w:rPr>
              <w:t>June 29, 2021</w:t>
            </w:r>
          </w:p>
        </w:tc>
        <w:tc>
          <w:tcPr>
            <w:tcW w:w="15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August 2, 2022</w:t>
            </w:r>
          </w:p>
        </w:tc>
      </w:tr>
      <w:tr>
        <w:trPr>
          <w:trHeight w:val="220"/>
        </w:trPr>
        <w:tc>
          <w:tcPr>
            <w:tcW w:w="20" w:type="dxa"/>
            <w:vAlign w:val="bottom"/>
          </w:tcPr>
          <w:p>
            <w:pPr>
              <w:spacing w:after="0"/>
              <w:rPr>
                <w:sz w:val="19"/>
                <w:szCs w:val="19"/>
                <w:color w:val="auto"/>
              </w:rPr>
            </w:pPr>
          </w:p>
        </w:tc>
        <w:tc>
          <w:tcPr>
            <w:tcW w:w="6420" w:type="dxa"/>
            <w:vAlign w:val="bottom"/>
          </w:tcPr>
          <w:p>
            <w:pPr>
              <w:ind w:left="20"/>
              <w:spacing w:after="0"/>
              <w:rPr>
                <w:sz w:val="20"/>
                <w:szCs w:val="20"/>
                <w:color w:val="auto"/>
              </w:rPr>
            </w:pPr>
            <w:r>
              <w:rPr>
                <w:rFonts w:ascii="Arial" w:cs="Arial" w:eastAsia="Arial" w:hAnsi="Arial"/>
                <w:sz w:val="17"/>
                <w:szCs w:val="17"/>
                <w:b w:val="1"/>
                <w:bCs w:val="1"/>
                <w:color w:val="auto"/>
              </w:rPr>
              <w:t>Reverse</w:t>
            </w: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20"/>
        </w:trPr>
        <w:tc>
          <w:tcPr>
            <w:tcW w:w="20" w:type="dxa"/>
            <w:vAlign w:val="bottom"/>
          </w:tcPr>
          <w:p>
            <w:pPr>
              <w:spacing w:after="0"/>
              <w:rPr>
                <w:sz w:val="19"/>
                <w:szCs w:val="19"/>
                <w:color w:val="auto"/>
              </w:rPr>
            </w:pPr>
          </w:p>
        </w:tc>
        <w:tc>
          <w:tcPr>
            <w:tcW w:w="64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Residential Reverse Servicer</w:t>
            </w:r>
          </w:p>
        </w:tc>
        <w:tc>
          <w:tcPr>
            <w:tcW w:w="1620" w:type="dxa"/>
            <w:vAlign w:val="bottom"/>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93"/>
              </w:rPr>
              <w:t>—</w:t>
            </w:r>
          </w:p>
        </w:tc>
        <w:tc>
          <w:tcPr>
            <w:tcW w:w="1640" w:type="dxa"/>
            <w:vAlign w:val="bottom"/>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91"/>
              </w:rPr>
              <w:t>Above Average</w:t>
            </w:r>
          </w:p>
        </w:tc>
        <w:tc>
          <w:tcPr>
            <w:tcW w:w="15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w:t>
            </w:r>
          </w:p>
        </w:tc>
      </w:tr>
      <w:tr>
        <w:trPr>
          <w:trHeight w:val="220"/>
        </w:trPr>
        <w:tc>
          <w:tcPr>
            <w:tcW w:w="20" w:type="dxa"/>
            <w:vAlign w:val="bottom"/>
          </w:tcPr>
          <w:p>
            <w:pPr>
              <w:spacing w:after="0"/>
              <w:rPr>
                <w:sz w:val="19"/>
                <w:szCs w:val="19"/>
                <w:color w:val="auto"/>
              </w:rPr>
            </w:pPr>
          </w:p>
        </w:tc>
        <w:tc>
          <w:tcPr>
            <w:tcW w:w="6420" w:type="dxa"/>
            <w:vAlign w:val="bottom"/>
          </w:tcPr>
          <w:p>
            <w:pPr>
              <w:ind w:left="120"/>
              <w:spacing w:after="0"/>
              <w:rPr>
                <w:sz w:val="20"/>
                <w:szCs w:val="20"/>
                <w:color w:val="auto"/>
              </w:rPr>
            </w:pPr>
            <w:r>
              <w:rPr>
                <w:rFonts w:ascii="Arial" w:cs="Arial" w:eastAsia="Arial" w:hAnsi="Arial"/>
                <w:sz w:val="17"/>
                <w:szCs w:val="17"/>
                <w:color w:val="auto"/>
              </w:rPr>
              <w:t>Ratings Outlook</w:t>
            </w:r>
          </w:p>
        </w:tc>
        <w:tc>
          <w:tcPr>
            <w:tcW w:w="1620" w:type="dxa"/>
            <w:vAlign w:val="bottom"/>
            <w:gridSpan w:val="2"/>
          </w:tcPr>
          <w:p>
            <w:pPr>
              <w:jc w:val="center"/>
              <w:ind w:right="100"/>
              <w:spacing w:after="0"/>
              <w:rPr>
                <w:sz w:val="20"/>
                <w:szCs w:val="20"/>
                <w:color w:val="auto"/>
              </w:rPr>
            </w:pPr>
            <w:r>
              <w:rPr>
                <w:rFonts w:ascii="Arial" w:cs="Arial" w:eastAsia="Arial" w:hAnsi="Arial"/>
                <w:sz w:val="17"/>
                <w:szCs w:val="17"/>
                <w:color w:val="auto"/>
                <w:w w:val="93"/>
              </w:rPr>
              <w:t>—</w:t>
            </w:r>
          </w:p>
        </w:tc>
        <w:tc>
          <w:tcPr>
            <w:tcW w:w="1640" w:type="dxa"/>
            <w:vAlign w:val="bottom"/>
            <w:gridSpan w:val="2"/>
          </w:tcPr>
          <w:p>
            <w:pPr>
              <w:jc w:val="center"/>
              <w:ind w:right="100"/>
              <w:spacing w:after="0"/>
              <w:rPr>
                <w:sz w:val="20"/>
                <w:szCs w:val="20"/>
                <w:color w:val="auto"/>
              </w:rPr>
            </w:pPr>
            <w:r>
              <w:rPr>
                <w:rFonts w:ascii="Arial" w:cs="Arial" w:eastAsia="Arial" w:hAnsi="Arial"/>
                <w:sz w:val="17"/>
                <w:szCs w:val="17"/>
                <w:color w:val="auto"/>
                <w:w w:val="87"/>
              </w:rPr>
              <w:t>Stable</w:t>
            </w:r>
          </w:p>
        </w:tc>
        <w:tc>
          <w:tcPr>
            <w:tcW w:w="1520" w:type="dxa"/>
            <w:vAlign w:val="bottom"/>
          </w:tcPr>
          <w:p>
            <w:pPr>
              <w:jc w:val="center"/>
              <w:spacing w:after="0"/>
              <w:rPr>
                <w:sz w:val="20"/>
                <w:szCs w:val="20"/>
                <w:color w:val="auto"/>
              </w:rPr>
            </w:pPr>
            <w:r>
              <w:rPr>
                <w:rFonts w:ascii="Arial" w:cs="Arial" w:eastAsia="Arial" w:hAnsi="Arial"/>
                <w:sz w:val="17"/>
                <w:szCs w:val="17"/>
                <w:color w:val="auto"/>
                <w:w w:val="93"/>
              </w:rPr>
              <w:t>—</w:t>
            </w:r>
          </w:p>
        </w:tc>
      </w:tr>
      <w:tr>
        <w:trPr>
          <w:trHeight w:val="220"/>
        </w:trPr>
        <w:tc>
          <w:tcPr>
            <w:tcW w:w="20" w:type="dxa"/>
            <w:vAlign w:val="bottom"/>
          </w:tcPr>
          <w:p>
            <w:pPr>
              <w:spacing w:after="0"/>
              <w:rPr>
                <w:sz w:val="19"/>
                <w:szCs w:val="19"/>
                <w:color w:val="auto"/>
              </w:rPr>
            </w:pPr>
          </w:p>
        </w:tc>
        <w:tc>
          <w:tcPr>
            <w:tcW w:w="64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Date of initial rating</w:t>
            </w:r>
          </w:p>
        </w:tc>
        <w:tc>
          <w:tcPr>
            <w:tcW w:w="1620" w:type="dxa"/>
            <w:vAlign w:val="bottom"/>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93"/>
              </w:rPr>
              <w:t>—</w:t>
            </w:r>
          </w:p>
        </w:tc>
        <w:tc>
          <w:tcPr>
            <w:tcW w:w="1640" w:type="dxa"/>
            <w:vAlign w:val="bottom"/>
            <w:gridSpan w:val="2"/>
            <w:shd w:val="clear" w:color="auto" w:fill="CCEEFF"/>
          </w:tcPr>
          <w:p>
            <w:pPr>
              <w:jc w:val="center"/>
              <w:ind w:right="120"/>
              <w:spacing w:after="0"/>
              <w:rPr>
                <w:sz w:val="20"/>
                <w:szCs w:val="20"/>
                <w:color w:val="auto"/>
              </w:rPr>
            </w:pPr>
            <w:r>
              <w:rPr>
                <w:rFonts w:ascii="Arial" w:cs="Arial" w:eastAsia="Arial" w:hAnsi="Arial"/>
                <w:sz w:val="17"/>
                <w:szCs w:val="17"/>
                <w:color w:val="auto"/>
                <w:w w:val="93"/>
              </w:rPr>
              <w:t>May 27, 2022</w:t>
            </w:r>
          </w:p>
        </w:tc>
        <w:tc>
          <w:tcPr>
            <w:tcW w:w="15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w:t>
            </w:r>
          </w:p>
        </w:tc>
      </w:tr>
    </w:tbl>
    <w:p>
      <w:pPr>
        <w:spacing w:after="0" w:line="168" w:lineRule="exact"/>
        <w:rPr>
          <w:sz w:val="20"/>
          <w:szCs w:val="20"/>
          <w:color w:val="auto"/>
        </w:rPr>
      </w:pPr>
    </w:p>
    <w:p>
      <w:pPr>
        <w:spacing w:after="0" w:line="293" w:lineRule="auto"/>
        <w:rPr>
          <w:sz w:val="20"/>
          <w:szCs w:val="20"/>
          <w:color w:val="auto"/>
        </w:rPr>
      </w:pPr>
      <w:r>
        <w:rPr>
          <w:rFonts w:ascii="Arial" w:cs="Arial" w:eastAsia="Arial" w:hAnsi="Arial"/>
          <w:sz w:val="15"/>
          <w:szCs w:val="15"/>
          <w:color w:val="auto"/>
        </w:rPr>
        <w:t>In addition to servicer ratings, each of the agencies will from time to time assign an outlook (or a ratings watch such as Moody’s review status) to the rating status of a mortgage servicer. A negative outlook is generally used to indicate that a rating “may be lowered,” while a positive outlook is generally used to indicate a rating “may be raised. On September 28, 2021, Moody’s upgraded the servicer quality (SQ) assessment for PMC as a master servicer of residential mortgage loans from SQ3 to SQ3+, reflecting solid reporting and remitting processes and proactive servicer oversight. On June 29, 2021, S&amp;P affirmed PMC’s servicer rating as Average, raising management and organization ranking to Above Average. In addition, S&amp;P raised PMC’s master servicer rating from Average to Above Average reflecting the industry experience of PMC’s management, multiple levels of internal controls to monitor operations, and resolution of regulatory actions, among other factors mentioned by S&amp;P. On August 2, 2022, Fitch affirmed and upgraded PMC’s servicer ratings and upgraded its outlook from Stable to Positive for prime and subprime products. The ratings for the other products remain the same and the related rating outlook remains Stable. The ratings reflect PMC’s strong post-pandemic performance, effective enterprise-wide risk environment and compliance management framework, competitive loan servicing performance metrics, and highly automated technology environment. The ratings also consider the financial condition of PMC’s parent, Ocwen Financial Corporation. The upgrades and positive outlook on PMC’s prime and subprime servicer ratings are reflective of the company’s continued portfolio growth, diversified sourcing strategies and improved performance with respect to these loan types, which represent 85% of the total servicing portfolio.</w:t>
      </w:r>
    </w:p>
    <w:p>
      <w:pPr>
        <w:spacing w:after="0" w:line="57" w:lineRule="exact"/>
        <w:rPr>
          <w:sz w:val="20"/>
          <w:szCs w:val="20"/>
          <w:color w:val="auto"/>
        </w:rPr>
      </w:pPr>
    </w:p>
    <w:p>
      <w:pPr>
        <w:ind w:right="160"/>
        <w:spacing w:after="0" w:line="296" w:lineRule="auto"/>
        <w:rPr>
          <w:sz w:val="20"/>
          <w:szCs w:val="20"/>
          <w:color w:val="auto"/>
        </w:rPr>
      </w:pPr>
      <w:r>
        <w:rPr>
          <w:rFonts w:ascii="Arial" w:cs="Arial" w:eastAsia="Arial" w:hAnsi="Arial"/>
          <w:sz w:val="15"/>
          <w:szCs w:val="15"/>
          <w:color w:val="auto"/>
        </w:rPr>
        <w:t>On May 27, 2022, S&amp;P assigned an Above Average ranking to PMC as a residential reverse mortgage loan servicer. The ranking outlook is Stable. This is the initial rating for PMC as a reverse mortgage loan servicer. S&amp;P’s ranking reflects i) PMC’s highly experienced management teams and staff with sound overall levels of turnover, ii) well-designed information technology infrastructure, cybersecurity controls, and business continuity and disaster recovery processes, iii) sound internal control environment, with multiple lines of defense and automated systems to support each function, iv) lack of material internal or external audit findings noted, based on provided reports, v) good focus on systems and workflow automation throughout loan administration processes, vi) robust default management function and claims processes, vii) scale as one of the largest reverse mortgage servicer’s in the country, with highly experienced management and staff and technology largely from prior established legacy reverse servicers; ix) and good overall reverse servicing performance metrics, except for the elevated home retention department management and staff turnover rates and call center metrics in the contact center operations.</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967" w:right="359" w:bottom="1440" w:gutter="0" w:footer="0" w:header="0"/>
        </w:sectPr>
      </w:pPr>
    </w:p>
    <w:bookmarkStart w:id="70" w:name="page71"/>
    <w:bookmarkEnd w:id="70"/>
    <w:p>
      <w:pPr>
        <w:ind w:right="840"/>
        <w:spacing w:after="0" w:line="283" w:lineRule="auto"/>
        <w:rPr>
          <w:sz w:val="20"/>
          <w:szCs w:val="20"/>
          <w:color w:val="auto"/>
        </w:rPr>
      </w:pPr>
      <w:r>
        <w:rPr>
          <w:rFonts w:ascii="Arial" w:cs="Arial" w:eastAsia="Arial" w:hAnsi="Arial"/>
          <w:sz w:val="17"/>
          <w:szCs w:val="17"/>
          <w:color w:val="auto"/>
        </w:rPr>
        <w:t>The following table presents selected results of operations of our Servicing segment. The amounts presented are before the elimination of balances and transactions with our other segments: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620" w:type="dxa"/>
            <w:vAlign w:val="bottom"/>
            <w:tcBorders>
              <w:bottom w:val="single" w:sz="8" w:color="auto"/>
            </w:tcBorders>
            <w:gridSpan w:val="4"/>
          </w:tcPr>
          <w:p>
            <w:pPr>
              <w:jc w:val="right"/>
              <w:ind w:right="574"/>
              <w:spacing w:after="0"/>
              <w:rPr>
                <w:sz w:val="20"/>
                <w:szCs w:val="20"/>
                <w:color w:val="auto"/>
              </w:rPr>
            </w:pPr>
            <w:r>
              <w:rPr>
                <w:rFonts w:ascii="Arial" w:cs="Arial" w:eastAsia="Arial" w:hAnsi="Arial"/>
                <w:sz w:val="17"/>
                <w:szCs w:val="17"/>
                <w:b w:val="1"/>
                <w:bCs w:val="1"/>
                <w:color w:val="auto"/>
              </w:rPr>
              <w:t>Three Months Ended</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640" w:type="dxa"/>
            <w:vAlign w:val="bottom"/>
            <w:tcBorders>
              <w:bottom w:val="single" w:sz="8" w:color="auto"/>
            </w:tcBorders>
            <w:gridSpan w:val="4"/>
          </w:tcPr>
          <w:p>
            <w:pPr>
              <w:jc w:val="right"/>
              <w:ind w:right="674"/>
              <w:spacing w:after="0"/>
              <w:rPr>
                <w:sz w:val="20"/>
                <w:szCs w:val="20"/>
                <w:color w:val="auto"/>
              </w:rPr>
            </w:pPr>
            <w:r>
              <w:rPr>
                <w:rFonts w:ascii="Arial" w:cs="Arial" w:eastAsia="Arial" w:hAnsi="Arial"/>
                <w:sz w:val="17"/>
                <w:szCs w:val="17"/>
                <w:b w:val="1"/>
                <w:bCs w:val="1"/>
                <w:color w:val="auto"/>
              </w:rPr>
              <w:t>Six Months Ended</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6"/>
        </w:trPr>
        <w:tc>
          <w:tcPr>
            <w:tcW w:w="3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ind w:left="140"/>
              <w:spacing w:after="0"/>
              <w:rPr>
                <w:sz w:val="20"/>
                <w:szCs w:val="20"/>
                <w:color w:val="auto"/>
              </w:rPr>
            </w:pPr>
            <w:r>
              <w:rPr>
                <w:rFonts w:ascii="Arial" w:cs="Arial" w:eastAsia="Arial" w:hAnsi="Arial"/>
                <w:sz w:val="17"/>
                <w:szCs w:val="17"/>
                <w:b w:val="1"/>
                <w:bCs w:val="1"/>
                <w:color w:val="auto"/>
              </w:rPr>
              <w:t>June 30,</w:t>
            </w:r>
          </w:p>
        </w:tc>
        <w:tc>
          <w:tcPr>
            <w:tcW w:w="220" w:type="dxa"/>
            <w:vAlign w:val="bottom"/>
          </w:tcPr>
          <w:p>
            <w:pPr>
              <w:spacing w:after="0"/>
              <w:rPr>
                <w:sz w:val="19"/>
                <w:szCs w:val="19"/>
                <w:color w:val="auto"/>
              </w:rPr>
            </w:pPr>
          </w:p>
        </w:tc>
        <w:tc>
          <w:tcPr>
            <w:tcW w:w="1180" w:type="dxa"/>
            <w:vAlign w:val="bottom"/>
          </w:tcPr>
          <w:p>
            <w:pPr>
              <w:jc w:val="right"/>
              <w:ind w:right="254"/>
              <w:spacing w:after="0"/>
              <w:rPr>
                <w:sz w:val="20"/>
                <w:szCs w:val="20"/>
                <w:color w:val="auto"/>
              </w:rPr>
            </w:pPr>
            <w:r>
              <w:rPr>
                <w:rFonts w:ascii="Arial" w:cs="Arial" w:eastAsia="Arial" w:hAnsi="Arial"/>
                <w:sz w:val="17"/>
                <w:szCs w:val="17"/>
                <w:b w:val="1"/>
                <w:bCs w:val="1"/>
                <w:color w:val="auto"/>
              </w:rPr>
              <w:t>March 31</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gridSpan w:val="2"/>
          </w:tcPr>
          <w:p>
            <w:pPr>
              <w:ind w:left="140"/>
              <w:spacing w:after="0"/>
              <w:rPr>
                <w:sz w:val="20"/>
                <w:szCs w:val="20"/>
                <w:color w:val="auto"/>
              </w:rPr>
            </w:pPr>
            <w:r>
              <w:rPr>
                <w:rFonts w:ascii="Arial" w:cs="Arial" w:eastAsia="Arial" w:hAnsi="Arial"/>
                <w:sz w:val="17"/>
                <w:szCs w:val="17"/>
                <w:b w:val="1"/>
                <w:bCs w:val="1"/>
                <w:color w:val="auto"/>
              </w:rPr>
              <w:t>June 30,</w:t>
            </w:r>
          </w:p>
        </w:tc>
        <w:tc>
          <w:tcPr>
            <w:tcW w:w="240" w:type="dxa"/>
            <w:vAlign w:val="bottom"/>
          </w:tcPr>
          <w:p>
            <w:pPr>
              <w:spacing w:after="0"/>
              <w:rPr>
                <w:sz w:val="19"/>
                <w:szCs w:val="19"/>
                <w:color w:val="auto"/>
              </w:rPr>
            </w:pPr>
          </w:p>
        </w:tc>
        <w:tc>
          <w:tcPr>
            <w:tcW w:w="1140" w:type="dxa"/>
            <w:vAlign w:val="bottom"/>
          </w:tcPr>
          <w:p>
            <w:pPr>
              <w:jc w:val="right"/>
              <w:ind w:right="294"/>
              <w:spacing w:after="0"/>
              <w:rPr>
                <w:sz w:val="20"/>
                <w:szCs w:val="20"/>
                <w:color w:val="auto"/>
              </w:rPr>
            </w:pPr>
            <w:r>
              <w:rPr>
                <w:rFonts w:ascii="Arial" w:cs="Arial" w:eastAsia="Arial" w:hAnsi="Arial"/>
                <w:sz w:val="17"/>
                <w:szCs w:val="17"/>
                <w:b w:val="1"/>
                <w:bCs w:val="1"/>
                <w:color w:val="auto"/>
              </w:rPr>
              <w:t>June 30,</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45"/>
        </w:trPr>
        <w:tc>
          <w:tcPr>
            <w:tcW w:w="3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414"/>
              <w:spacing w:after="0"/>
              <w:rPr>
                <w:sz w:val="20"/>
                <w:szCs w:val="20"/>
                <w:color w:val="auto"/>
              </w:rPr>
            </w:pPr>
            <w:r>
              <w:rPr>
                <w:rFonts w:ascii="Arial" w:cs="Arial" w:eastAsia="Arial" w:hAnsi="Arial"/>
                <w:sz w:val="17"/>
                <w:szCs w:val="17"/>
                <w:b w:val="1"/>
                <w:bCs w:val="1"/>
                <w:color w:val="auto"/>
              </w:rPr>
              <w:t>2022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jc w:val="right"/>
              <w:ind w:right="434"/>
              <w:spacing w:after="0"/>
              <w:rPr>
                <w:sz w:val="20"/>
                <w:szCs w:val="20"/>
                <w:color w:val="auto"/>
              </w:rPr>
            </w:pPr>
            <w:r>
              <w:rPr>
                <w:rFonts w:ascii="Arial" w:cs="Arial" w:eastAsia="Arial" w:hAnsi="Arial"/>
                <w:sz w:val="17"/>
                <w:szCs w:val="17"/>
                <w:b w:val="1"/>
                <w:bCs w:val="1"/>
                <w:color w:val="auto"/>
              </w:rPr>
              <w:t>2022</w:t>
            </w:r>
          </w:p>
        </w:tc>
        <w:tc>
          <w:tcPr>
            <w:tcW w:w="100" w:type="dxa"/>
            <w:vAlign w:val="bottom"/>
          </w:tcPr>
          <w:p>
            <w:pPr>
              <w:spacing w:after="0"/>
              <w:rPr>
                <w:sz w:val="21"/>
                <w:szCs w:val="21"/>
                <w:color w:val="auto"/>
              </w:rPr>
            </w:pPr>
          </w:p>
        </w:tc>
        <w:tc>
          <w:tcPr>
            <w:tcW w:w="1340" w:type="dxa"/>
            <w:vAlign w:val="bottom"/>
            <w:gridSpan w:val="3"/>
          </w:tcPr>
          <w:p>
            <w:pPr>
              <w:jc w:val="right"/>
              <w:ind w:right="460"/>
              <w:spacing w:after="0"/>
              <w:rPr>
                <w:sz w:val="20"/>
                <w:szCs w:val="20"/>
                <w:color w:val="auto"/>
              </w:rPr>
            </w:pPr>
            <w:r>
              <w:rPr>
                <w:rFonts w:ascii="Arial" w:cs="Arial" w:eastAsia="Arial" w:hAnsi="Arial"/>
                <w:sz w:val="17"/>
                <w:szCs w:val="17"/>
                <w:b w:val="1"/>
                <w:bCs w:val="1"/>
                <w:color w:val="auto"/>
              </w:rPr>
              <w:t>% Change</w:t>
            </w:r>
          </w:p>
        </w:tc>
        <w:tc>
          <w:tcPr>
            <w:tcW w:w="1140" w:type="dxa"/>
            <w:vAlign w:val="bottom"/>
          </w:tcPr>
          <w:p>
            <w:pPr>
              <w:jc w:val="right"/>
              <w:ind w:right="434"/>
              <w:spacing w:after="0"/>
              <w:rPr>
                <w:sz w:val="20"/>
                <w:szCs w:val="20"/>
                <w:color w:val="auto"/>
              </w:rPr>
            </w:pPr>
            <w:r>
              <w:rPr>
                <w:rFonts w:ascii="Arial" w:cs="Arial" w:eastAsia="Arial" w:hAnsi="Arial"/>
                <w:sz w:val="17"/>
                <w:szCs w:val="17"/>
                <w:b w:val="1"/>
                <w:bCs w:val="1"/>
                <w:color w:val="auto"/>
              </w:rPr>
              <w:t>2022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434"/>
              <w:spacing w:after="0"/>
              <w:rPr>
                <w:sz w:val="20"/>
                <w:szCs w:val="20"/>
                <w:color w:val="auto"/>
              </w:rPr>
            </w:pPr>
            <w:r>
              <w:rPr>
                <w:rFonts w:ascii="Arial" w:cs="Arial" w:eastAsia="Arial" w:hAnsi="Arial"/>
                <w:sz w:val="17"/>
                <w:szCs w:val="17"/>
                <w:b w:val="1"/>
                <w:bCs w:val="1"/>
                <w:color w:val="auto"/>
              </w:rPr>
              <w:t>2021</w:t>
            </w:r>
          </w:p>
        </w:tc>
        <w:tc>
          <w:tcPr>
            <w:tcW w:w="10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7"/>
                <w:szCs w:val="17"/>
                <w:b w:val="1"/>
                <w:bCs w:val="1"/>
                <w:color w:val="auto"/>
              </w:rPr>
              <w:t>% Change</w:t>
            </w:r>
          </w:p>
        </w:tc>
      </w:tr>
      <w:tr>
        <w:trPr>
          <w:trHeight w:val="200"/>
        </w:trPr>
        <w:tc>
          <w:tcPr>
            <w:tcW w:w="3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Revenue</w:t>
            </w:r>
          </w:p>
        </w:tc>
        <w:tc>
          <w:tcPr>
            <w:tcW w:w="2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r>
      <w:tr>
        <w:trPr>
          <w:trHeight w:val="220"/>
        </w:trPr>
        <w:tc>
          <w:tcPr>
            <w:tcW w:w="3200" w:type="dxa"/>
            <w:vAlign w:val="bottom"/>
          </w:tcPr>
          <w:p>
            <w:pPr>
              <w:ind w:left="140"/>
              <w:spacing w:after="0"/>
              <w:rPr>
                <w:sz w:val="20"/>
                <w:szCs w:val="20"/>
                <w:color w:val="auto"/>
              </w:rPr>
            </w:pPr>
            <w:r>
              <w:rPr>
                <w:rFonts w:ascii="Arial" w:cs="Arial" w:eastAsia="Arial" w:hAnsi="Arial"/>
                <w:sz w:val="17"/>
                <w:szCs w:val="17"/>
                <w:color w:val="auto"/>
              </w:rPr>
              <w:t>Servicing and subservicing fees</w:t>
            </w: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ind w:right="134"/>
              <w:spacing w:after="0"/>
              <w:rPr>
                <w:sz w:val="20"/>
                <w:szCs w:val="20"/>
                <w:color w:val="auto"/>
              </w:rPr>
            </w:pPr>
            <w:r>
              <w:rPr>
                <w:rFonts w:ascii="Arial" w:cs="Arial" w:eastAsia="Arial" w:hAnsi="Arial"/>
                <w:sz w:val="17"/>
                <w:szCs w:val="17"/>
                <w:color w:val="auto"/>
              </w:rPr>
              <w:t>214.5</w:t>
            </w:r>
          </w:p>
        </w:tc>
        <w:tc>
          <w:tcPr>
            <w:tcW w:w="100" w:type="dxa"/>
            <w:vAlign w:val="bottom"/>
          </w:tcPr>
          <w:p>
            <w:pPr>
              <w:spacing w:after="0"/>
              <w:rPr>
                <w:sz w:val="19"/>
                <w:szCs w:val="19"/>
                <w:color w:val="auto"/>
              </w:rPr>
            </w:pPr>
          </w:p>
        </w:tc>
        <w:tc>
          <w:tcPr>
            <w:tcW w:w="22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1180" w:type="dxa"/>
            <w:vAlign w:val="bottom"/>
          </w:tcPr>
          <w:p>
            <w:pPr>
              <w:jc w:val="right"/>
              <w:ind w:right="154"/>
              <w:spacing w:after="0"/>
              <w:rPr>
                <w:sz w:val="20"/>
                <w:szCs w:val="20"/>
                <w:color w:val="auto"/>
              </w:rPr>
            </w:pPr>
            <w:r>
              <w:rPr>
                <w:rFonts w:ascii="Arial" w:cs="Arial" w:eastAsia="Arial" w:hAnsi="Arial"/>
                <w:sz w:val="17"/>
                <w:szCs w:val="17"/>
                <w:color w:val="auto"/>
              </w:rPr>
              <w:t>212.2</w:t>
            </w: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1 %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ind w:right="134"/>
              <w:spacing w:after="0"/>
              <w:rPr>
                <w:sz w:val="20"/>
                <w:szCs w:val="20"/>
                <w:color w:val="auto"/>
              </w:rPr>
            </w:pPr>
            <w:r>
              <w:rPr>
                <w:rFonts w:ascii="Arial" w:cs="Arial" w:eastAsia="Arial" w:hAnsi="Arial"/>
                <w:sz w:val="17"/>
                <w:szCs w:val="17"/>
                <w:color w:val="auto"/>
              </w:rPr>
              <w:t>426.7</w:t>
            </w:r>
          </w:p>
        </w:tc>
        <w:tc>
          <w:tcPr>
            <w:tcW w:w="12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ind w:right="134"/>
              <w:spacing w:after="0"/>
              <w:rPr>
                <w:sz w:val="20"/>
                <w:szCs w:val="20"/>
                <w:color w:val="auto"/>
              </w:rPr>
            </w:pPr>
            <w:r>
              <w:rPr>
                <w:rFonts w:ascii="Arial" w:cs="Arial" w:eastAsia="Arial" w:hAnsi="Arial"/>
                <w:sz w:val="17"/>
                <w:szCs w:val="17"/>
                <w:color w:val="auto"/>
              </w:rPr>
              <w:t>351.5</w:t>
            </w: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21 %</w:t>
            </w:r>
          </w:p>
        </w:tc>
      </w:tr>
      <w:tr>
        <w:trPr>
          <w:trHeight w:val="220"/>
        </w:trPr>
        <w:tc>
          <w:tcPr>
            <w:tcW w:w="32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Gain (loss) on loans held for sale, net</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(11.5)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(2.7)</w:t>
            </w:r>
          </w:p>
        </w:tc>
        <w:tc>
          <w:tcPr>
            <w:tcW w:w="1080" w:type="dxa"/>
            <w:vAlign w:val="bottom"/>
            <w:gridSpan w:val="2"/>
            <w:shd w:val="clear" w:color="auto" w:fill="CCEEFF"/>
          </w:tcPr>
          <w:p>
            <w:pPr>
              <w:jc w:val="right"/>
              <w:ind w:right="114"/>
              <w:spacing w:after="0"/>
              <w:rPr>
                <w:sz w:val="20"/>
                <w:szCs w:val="20"/>
                <w:color w:val="auto"/>
              </w:rPr>
            </w:pPr>
            <w:r>
              <w:rPr>
                <w:rFonts w:ascii="Arial" w:cs="Arial" w:eastAsia="Arial" w:hAnsi="Arial"/>
                <w:sz w:val="17"/>
                <w:szCs w:val="17"/>
                <w:color w:val="auto"/>
              </w:rPr>
              <w:t>325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(14.2)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7.7</w:t>
            </w:r>
          </w:p>
        </w:tc>
        <w:tc>
          <w:tcPr>
            <w:tcW w:w="110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(285)</w:t>
            </w:r>
          </w:p>
        </w:tc>
      </w:tr>
      <w:tr>
        <w:trPr>
          <w:trHeight w:val="220"/>
        </w:trPr>
        <w:tc>
          <w:tcPr>
            <w:tcW w:w="3200" w:type="dxa"/>
            <w:vAlign w:val="bottom"/>
          </w:tcPr>
          <w:p>
            <w:pPr>
              <w:ind w:left="140"/>
              <w:spacing w:after="0"/>
              <w:rPr>
                <w:sz w:val="20"/>
                <w:szCs w:val="20"/>
                <w:color w:val="auto"/>
              </w:rPr>
            </w:pPr>
            <w:r>
              <w:rPr>
                <w:rFonts w:ascii="Arial" w:cs="Arial" w:eastAsia="Arial" w:hAnsi="Arial"/>
                <w:sz w:val="17"/>
                <w:szCs w:val="17"/>
                <w:color w:val="auto"/>
              </w:rPr>
              <w:t>Reverse mortgage revenue, net</w:t>
            </w:r>
          </w:p>
        </w:tc>
        <w:tc>
          <w:tcPr>
            <w:tcW w:w="240" w:type="dxa"/>
            <w:vAlign w:val="bottom"/>
          </w:tcPr>
          <w:p>
            <w:pPr>
              <w:spacing w:after="0"/>
              <w:rPr>
                <w:sz w:val="19"/>
                <w:szCs w:val="19"/>
                <w:color w:val="auto"/>
              </w:rPr>
            </w:pPr>
          </w:p>
        </w:tc>
        <w:tc>
          <w:tcPr>
            <w:tcW w:w="1120" w:type="dxa"/>
            <w:vAlign w:val="bottom"/>
          </w:tcPr>
          <w:p>
            <w:pPr>
              <w:jc w:val="right"/>
              <w:ind w:right="134"/>
              <w:spacing w:after="0"/>
              <w:rPr>
                <w:sz w:val="20"/>
                <w:szCs w:val="20"/>
                <w:color w:val="auto"/>
              </w:rPr>
            </w:pPr>
            <w:r>
              <w:rPr>
                <w:rFonts w:ascii="Arial" w:cs="Arial" w:eastAsia="Arial" w:hAnsi="Arial"/>
                <w:sz w:val="17"/>
                <w:szCs w:val="17"/>
                <w:color w:val="auto"/>
              </w:rPr>
              <w:t>(19.0)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ind w:right="154"/>
              <w:spacing w:after="0"/>
              <w:rPr>
                <w:sz w:val="20"/>
                <w:szCs w:val="20"/>
                <w:color w:val="auto"/>
              </w:rPr>
            </w:pPr>
            <w:r>
              <w:rPr>
                <w:rFonts w:ascii="Arial" w:cs="Arial" w:eastAsia="Arial" w:hAnsi="Arial"/>
                <w:sz w:val="17"/>
                <w:szCs w:val="17"/>
                <w:color w:val="auto"/>
              </w:rPr>
              <w:t>(11.9)</w:t>
            </w:r>
          </w:p>
        </w:tc>
        <w:tc>
          <w:tcPr>
            <w:tcW w:w="1080" w:type="dxa"/>
            <w:vAlign w:val="bottom"/>
            <w:gridSpan w:val="2"/>
          </w:tcPr>
          <w:p>
            <w:pPr>
              <w:jc w:val="right"/>
              <w:ind w:right="114"/>
              <w:spacing w:after="0"/>
              <w:rPr>
                <w:sz w:val="20"/>
                <w:szCs w:val="20"/>
                <w:color w:val="auto"/>
              </w:rPr>
            </w:pPr>
            <w:r>
              <w:rPr>
                <w:rFonts w:ascii="Arial" w:cs="Arial" w:eastAsia="Arial" w:hAnsi="Arial"/>
                <w:sz w:val="17"/>
                <w:szCs w:val="17"/>
                <w:color w:val="auto"/>
              </w:rPr>
              <w:t>61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ind w:right="134"/>
              <w:spacing w:after="0"/>
              <w:rPr>
                <w:sz w:val="20"/>
                <w:szCs w:val="20"/>
                <w:color w:val="auto"/>
              </w:rPr>
            </w:pPr>
            <w:r>
              <w:rPr>
                <w:rFonts w:ascii="Arial" w:cs="Arial" w:eastAsia="Arial" w:hAnsi="Arial"/>
                <w:sz w:val="17"/>
                <w:szCs w:val="17"/>
                <w:color w:val="auto"/>
              </w:rPr>
              <w:t>(30.9)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ind w:right="134"/>
              <w:spacing w:after="0"/>
              <w:rPr>
                <w:sz w:val="20"/>
                <w:szCs w:val="20"/>
                <w:color w:val="auto"/>
              </w:rPr>
            </w:pPr>
            <w:r>
              <w:rPr>
                <w:rFonts w:ascii="Arial" w:cs="Arial" w:eastAsia="Arial" w:hAnsi="Arial"/>
                <w:sz w:val="17"/>
                <w:szCs w:val="17"/>
                <w:color w:val="auto"/>
              </w:rPr>
              <w:t>12.5</w:t>
            </w:r>
          </w:p>
        </w:tc>
        <w:tc>
          <w:tcPr>
            <w:tcW w:w="1100" w:type="dxa"/>
            <w:vAlign w:val="bottom"/>
            <w:gridSpan w:val="2"/>
          </w:tcPr>
          <w:p>
            <w:pPr>
              <w:jc w:val="right"/>
              <w:ind w:right="74"/>
              <w:spacing w:after="0"/>
              <w:rPr>
                <w:sz w:val="20"/>
                <w:szCs w:val="20"/>
                <w:color w:val="auto"/>
              </w:rPr>
            </w:pPr>
            <w:r>
              <w:rPr>
                <w:rFonts w:ascii="Arial" w:cs="Arial" w:eastAsia="Arial" w:hAnsi="Arial"/>
                <w:sz w:val="17"/>
                <w:szCs w:val="17"/>
                <w:color w:val="auto"/>
              </w:rPr>
              <w:t>(347)</w:t>
            </w:r>
          </w:p>
        </w:tc>
      </w:tr>
      <w:tr>
        <w:trPr>
          <w:trHeight w:val="220"/>
        </w:trPr>
        <w:tc>
          <w:tcPr>
            <w:tcW w:w="32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Other revenue, net</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0.4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rPr>
              <w:t>0.4</w:t>
            </w:r>
          </w:p>
        </w:tc>
        <w:tc>
          <w:tcPr>
            <w:tcW w:w="108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(11)</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0.8</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1.0</w:t>
            </w:r>
          </w:p>
        </w:tc>
        <w:tc>
          <w:tcPr>
            <w:tcW w:w="110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(24)</w:t>
            </w:r>
          </w:p>
        </w:tc>
      </w:tr>
      <w:tr>
        <w:trPr>
          <w:trHeight w:val="213"/>
        </w:trPr>
        <w:tc>
          <w:tcPr>
            <w:tcW w:w="320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Total revenue</w:t>
            </w: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184.4</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rPr>
              <w:t>198.0</w:t>
            </w:r>
          </w:p>
        </w:tc>
        <w:tc>
          <w:tcPr>
            <w:tcW w:w="1080" w:type="dxa"/>
            <w:vAlign w:val="bottom"/>
            <w:tcBorders>
              <w:bottom w:val="single" w:sz="8" w:color="CCEEFF"/>
            </w:tcBorders>
            <w:gridSpan w:val="2"/>
          </w:tcPr>
          <w:p>
            <w:pPr>
              <w:jc w:val="right"/>
              <w:ind w:right="74"/>
              <w:spacing w:after="0"/>
              <w:rPr>
                <w:sz w:val="20"/>
                <w:szCs w:val="20"/>
                <w:color w:val="auto"/>
              </w:rPr>
            </w:pPr>
            <w:r>
              <w:rPr>
                <w:rFonts w:ascii="Arial" w:cs="Arial" w:eastAsia="Arial" w:hAnsi="Arial"/>
                <w:sz w:val="17"/>
                <w:szCs w:val="17"/>
                <w:color w:val="auto"/>
              </w:rPr>
              <w:t>(7)</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382.4</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372.7</w:t>
            </w:r>
          </w:p>
        </w:tc>
        <w:tc>
          <w:tcPr>
            <w:tcW w:w="1100" w:type="dxa"/>
            <w:vAlign w:val="bottom"/>
            <w:tcBorders>
              <w:bottom w:val="single" w:sz="8" w:color="CCEEFF"/>
            </w:tcBorders>
            <w:gridSpan w:val="2"/>
          </w:tcPr>
          <w:p>
            <w:pPr>
              <w:jc w:val="right"/>
              <w:ind w:right="114"/>
              <w:spacing w:after="0"/>
              <w:rPr>
                <w:sz w:val="20"/>
                <w:szCs w:val="20"/>
                <w:color w:val="auto"/>
              </w:rPr>
            </w:pPr>
            <w:r>
              <w:rPr>
                <w:rFonts w:ascii="Arial" w:cs="Arial" w:eastAsia="Arial" w:hAnsi="Arial"/>
                <w:sz w:val="17"/>
                <w:szCs w:val="17"/>
                <w:color w:val="auto"/>
              </w:rPr>
              <w:t>3</w:t>
            </w:r>
          </w:p>
        </w:tc>
      </w:tr>
      <w:tr>
        <w:trPr>
          <w:trHeight w:val="200"/>
        </w:trPr>
        <w:tc>
          <w:tcPr>
            <w:tcW w:w="3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20"/>
        </w:trPr>
        <w:tc>
          <w:tcPr>
            <w:tcW w:w="3200" w:type="dxa"/>
            <w:vAlign w:val="bottom"/>
          </w:tcPr>
          <w:p>
            <w:pPr>
              <w:ind w:left="20"/>
              <w:spacing w:after="0"/>
              <w:rPr>
                <w:sz w:val="20"/>
                <w:szCs w:val="20"/>
                <w:color w:val="auto"/>
              </w:rPr>
            </w:pPr>
            <w:r>
              <w:rPr>
                <w:rFonts w:ascii="Arial" w:cs="Arial" w:eastAsia="Arial" w:hAnsi="Arial"/>
                <w:sz w:val="17"/>
                <w:szCs w:val="17"/>
                <w:b w:val="1"/>
                <w:bCs w:val="1"/>
                <w:color w:val="auto"/>
              </w:rPr>
              <w:t>MSR valuation adjustments, net</w:t>
            </w:r>
          </w:p>
        </w:tc>
        <w:tc>
          <w:tcPr>
            <w:tcW w:w="240" w:type="dxa"/>
            <w:vAlign w:val="bottom"/>
          </w:tcPr>
          <w:p>
            <w:pPr>
              <w:spacing w:after="0"/>
              <w:rPr>
                <w:sz w:val="19"/>
                <w:szCs w:val="19"/>
                <w:color w:val="auto"/>
              </w:rPr>
            </w:pPr>
          </w:p>
        </w:tc>
        <w:tc>
          <w:tcPr>
            <w:tcW w:w="1120" w:type="dxa"/>
            <w:vAlign w:val="bottom"/>
          </w:tcPr>
          <w:p>
            <w:pPr>
              <w:jc w:val="right"/>
              <w:ind w:right="134"/>
              <w:spacing w:after="0"/>
              <w:rPr>
                <w:sz w:val="20"/>
                <w:szCs w:val="20"/>
                <w:color w:val="auto"/>
              </w:rPr>
            </w:pPr>
            <w:r>
              <w:rPr>
                <w:rFonts w:ascii="Arial" w:cs="Arial" w:eastAsia="Arial" w:hAnsi="Arial"/>
                <w:sz w:val="17"/>
                <w:szCs w:val="17"/>
                <w:color w:val="auto"/>
              </w:rPr>
              <w:t>30.4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ind w:right="154"/>
              <w:spacing w:after="0"/>
              <w:rPr>
                <w:sz w:val="20"/>
                <w:szCs w:val="20"/>
                <w:color w:val="auto"/>
              </w:rPr>
            </w:pPr>
            <w:r>
              <w:rPr>
                <w:rFonts w:ascii="Arial" w:cs="Arial" w:eastAsia="Arial" w:hAnsi="Arial"/>
                <w:sz w:val="17"/>
                <w:szCs w:val="17"/>
                <w:color w:val="auto"/>
              </w:rPr>
              <w:t>48.3</w:t>
            </w:r>
          </w:p>
        </w:tc>
        <w:tc>
          <w:tcPr>
            <w:tcW w:w="1080" w:type="dxa"/>
            <w:vAlign w:val="bottom"/>
            <w:gridSpan w:val="2"/>
          </w:tcPr>
          <w:p>
            <w:pPr>
              <w:jc w:val="right"/>
              <w:ind w:right="74"/>
              <w:spacing w:after="0"/>
              <w:rPr>
                <w:sz w:val="20"/>
                <w:szCs w:val="20"/>
                <w:color w:val="auto"/>
              </w:rPr>
            </w:pPr>
            <w:r>
              <w:rPr>
                <w:rFonts w:ascii="Arial" w:cs="Arial" w:eastAsia="Arial" w:hAnsi="Arial"/>
                <w:sz w:val="17"/>
                <w:szCs w:val="17"/>
                <w:color w:val="auto"/>
              </w:rPr>
              <w:t>(37)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ind w:right="134"/>
              <w:spacing w:after="0"/>
              <w:rPr>
                <w:sz w:val="20"/>
                <w:szCs w:val="20"/>
                <w:color w:val="auto"/>
              </w:rPr>
            </w:pPr>
            <w:r>
              <w:rPr>
                <w:rFonts w:ascii="Arial" w:cs="Arial" w:eastAsia="Arial" w:hAnsi="Arial"/>
                <w:sz w:val="17"/>
                <w:szCs w:val="17"/>
                <w:color w:val="auto"/>
              </w:rPr>
              <w:t>78.7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ind w:right="134"/>
              <w:spacing w:after="0"/>
              <w:rPr>
                <w:sz w:val="20"/>
                <w:szCs w:val="20"/>
                <w:color w:val="auto"/>
              </w:rPr>
            </w:pPr>
            <w:r>
              <w:rPr>
                <w:rFonts w:ascii="Arial" w:cs="Arial" w:eastAsia="Arial" w:hAnsi="Arial"/>
                <w:sz w:val="17"/>
                <w:szCs w:val="17"/>
                <w:color w:val="auto"/>
              </w:rPr>
              <w:t>(92.6)</w:t>
            </w:r>
          </w:p>
        </w:tc>
        <w:tc>
          <w:tcPr>
            <w:tcW w:w="1100" w:type="dxa"/>
            <w:vAlign w:val="bottom"/>
            <w:gridSpan w:val="2"/>
          </w:tcPr>
          <w:p>
            <w:pPr>
              <w:jc w:val="right"/>
              <w:ind w:right="74"/>
              <w:spacing w:after="0"/>
              <w:rPr>
                <w:sz w:val="20"/>
                <w:szCs w:val="20"/>
                <w:color w:val="auto"/>
              </w:rPr>
            </w:pPr>
            <w:r>
              <w:rPr>
                <w:rFonts w:ascii="Arial" w:cs="Arial" w:eastAsia="Arial" w:hAnsi="Arial"/>
                <w:sz w:val="17"/>
                <w:szCs w:val="17"/>
                <w:color w:val="auto"/>
              </w:rPr>
              <w:t>(185)</w:t>
            </w:r>
          </w:p>
        </w:tc>
      </w:tr>
      <w:tr>
        <w:trPr>
          <w:trHeight w:val="155"/>
        </w:trPr>
        <w:tc>
          <w:tcPr>
            <w:tcW w:w="32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r>
      <w:tr>
        <w:trPr>
          <w:trHeight w:val="220"/>
        </w:trPr>
        <w:tc>
          <w:tcPr>
            <w:tcW w:w="3200" w:type="dxa"/>
            <w:vAlign w:val="bottom"/>
          </w:tcPr>
          <w:p>
            <w:pPr>
              <w:ind w:left="20"/>
              <w:spacing w:after="0"/>
              <w:rPr>
                <w:sz w:val="20"/>
                <w:szCs w:val="20"/>
                <w:color w:val="auto"/>
              </w:rPr>
            </w:pPr>
            <w:r>
              <w:rPr>
                <w:rFonts w:ascii="Arial" w:cs="Arial" w:eastAsia="Arial" w:hAnsi="Arial"/>
                <w:sz w:val="17"/>
                <w:szCs w:val="17"/>
                <w:b w:val="1"/>
                <w:bCs w:val="1"/>
                <w:color w:val="auto"/>
              </w:rPr>
              <w:t>Operating expenses</w:t>
            </w: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0"/>
        </w:trPr>
        <w:tc>
          <w:tcPr>
            <w:tcW w:w="32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Compensation and benefits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34.9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29.0</w:t>
            </w:r>
          </w:p>
        </w:tc>
        <w:tc>
          <w:tcPr>
            <w:tcW w:w="1080" w:type="dxa"/>
            <w:vAlign w:val="bottom"/>
            <w:gridSpan w:val="2"/>
            <w:shd w:val="clear" w:color="auto" w:fill="CCEEFF"/>
          </w:tcPr>
          <w:p>
            <w:pPr>
              <w:jc w:val="right"/>
              <w:ind w:right="114"/>
              <w:spacing w:after="0"/>
              <w:rPr>
                <w:sz w:val="20"/>
                <w:szCs w:val="20"/>
                <w:color w:val="auto"/>
              </w:rPr>
            </w:pPr>
            <w:r>
              <w:rPr>
                <w:rFonts w:ascii="Arial" w:cs="Arial" w:eastAsia="Arial" w:hAnsi="Arial"/>
                <w:sz w:val="17"/>
                <w:szCs w:val="17"/>
                <w:color w:val="auto"/>
              </w:rPr>
              <w:t>20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64.0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51.2</w:t>
            </w:r>
          </w:p>
        </w:tc>
        <w:tc>
          <w:tcPr>
            <w:tcW w:w="1100" w:type="dxa"/>
            <w:vAlign w:val="bottom"/>
            <w:gridSpan w:val="2"/>
            <w:shd w:val="clear" w:color="auto" w:fill="CCEEFF"/>
          </w:tcPr>
          <w:p>
            <w:pPr>
              <w:jc w:val="right"/>
              <w:ind w:right="114"/>
              <w:spacing w:after="0"/>
              <w:rPr>
                <w:sz w:val="20"/>
                <w:szCs w:val="20"/>
                <w:color w:val="auto"/>
              </w:rPr>
            </w:pPr>
            <w:r>
              <w:rPr>
                <w:rFonts w:ascii="Arial" w:cs="Arial" w:eastAsia="Arial" w:hAnsi="Arial"/>
                <w:sz w:val="17"/>
                <w:szCs w:val="17"/>
                <w:color w:val="auto"/>
              </w:rPr>
              <w:t>25</w:t>
            </w:r>
          </w:p>
        </w:tc>
      </w:tr>
      <w:tr>
        <w:trPr>
          <w:trHeight w:val="220"/>
        </w:trPr>
        <w:tc>
          <w:tcPr>
            <w:tcW w:w="3200" w:type="dxa"/>
            <w:vAlign w:val="bottom"/>
          </w:tcPr>
          <w:p>
            <w:pPr>
              <w:ind w:left="140"/>
              <w:spacing w:after="0"/>
              <w:rPr>
                <w:sz w:val="20"/>
                <w:szCs w:val="20"/>
                <w:color w:val="auto"/>
              </w:rPr>
            </w:pPr>
            <w:r>
              <w:rPr>
                <w:rFonts w:ascii="Arial" w:cs="Arial" w:eastAsia="Arial" w:hAnsi="Arial"/>
                <w:sz w:val="17"/>
                <w:szCs w:val="17"/>
                <w:color w:val="auto"/>
              </w:rPr>
              <w:t>Servicing expense</w:t>
            </w:r>
          </w:p>
        </w:tc>
        <w:tc>
          <w:tcPr>
            <w:tcW w:w="240" w:type="dxa"/>
            <w:vAlign w:val="bottom"/>
          </w:tcPr>
          <w:p>
            <w:pPr>
              <w:spacing w:after="0"/>
              <w:rPr>
                <w:sz w:val="19"/>
                <w:szCs w:val="19"/>
                <w:color w:val="auto"/>
              </w:rPr>
            </w:pPr>
          </w:p>
        </w:tc>
        <w:tc>
          <w:tcPr>
            <w:tcW w:w="1120" w:type="dxa"/>
            <w:vAlign w:val="bottom"/>
          </w:tcPr>
          <w:p>
            <w:pPr>
              <w:jc w:val="right"/>
              <w:ind w:right="134"/>
              <w:spacing w:after="0"/>
              <w:rPr>
                <w:sz w:val="20"/>
                <w:szCs w:val="20"/>
                <w:color w:val="auto"/>
              </w:rPr>
            </w:pPr>
            <w:r>
              <w:rPr>
                <w:rFonts w:ascii="Arial" w:cs="Arial" w:eastAsia="Arial" w:hAnsi="Arial"/>
                <w:sz w:val="17"/>
                <w:szCs w:val="17"/>
                <w:color w:val="auto"/>
              </w:rPr>
              <w:t>15.6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ind w:right="154"/>
              <w:spacing w:after="0"/>
              <w:rPr>
                <w:sz w:val="20"/>
                <w:szCs w:val="20"/>
                <w:color w:val="auto"/>
              </w:rPr>
            </w:pPr>
            <w:r>
              <w:rPr>
                <w:rFonts w:ascii="Arial" w:cs="Arial" w:eastAsia="Arial" w:hAnsi="Arial"/>
                <w:sz w:val="17"/>
                <w:szCs w:val="17"/>
                <w:color w:val="auto"/>
              </w:rPr>
              <w:t>10.8</w:t>
            </w:r>
          </w:p>
        </w:tc>
        <w:tc>
          <w:tcPr>
            <w:tcW w:w="1080" w:type="dxa"/>
            <w:vAlign w:val="bottom"/>
            <w:gridSpan w:val="2"/>
          </w:tcPr>
          <w:p>
            <w:pPr>
              <w:jc w:val="right"/>
              <w:ind w:right="114"/>
              <w:spacing w:after="0"/>
              <w:rPr>
                <w:sz w:val="20"/>
                <w:szCs w:val="20"/>
                <w:color w:val="auto"/>
              </w:rPr>
            </w:pPr>
            <w:r>
              <w:rPr>
                <w:rFonts w:ascii="Arial" w:cs="Arial" w:eastAsia="Arial" w:hAnsi="Arial"/>
                <w:sz w:val="17"/>
                <w:szCs w:val="17"/>
                <w:color w:val="auto"/>
              </w:rPr>
              <w:t>45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ind w:right="134"/>
              <w:spacing w:after="0"/>
              <w:rPr>
                <w:sz w:val="20"/>
                <w:szCs w:val="20"/>
                <w:color w:val="auto"/>
              </w:rPr>
            </w:pPr>
            <w:r>
              <w:rPr>
                <w:rFonts w:ascii="Arial" w:cs="Arial" w:eastAsia="Arial" w:hAnsi="Arial"/>
                <w:sz w:val="17"/>
                <w:szCs w:val="17"/>
                <w:color w:val="auto"/>
              </w:rPr>
              <w:t>26.4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ind w:right="134"/>
              <w:spacing w:after="0"/>
              <w:rPr>
                <w:sz w:val="20"/>
                <w:szCs w:val="20"/>
                <w:color w:val="auto"/>
              </w:rPr>
            </w:pPr>
            <w:r>
              <w:rPr>
                <w:rFonts w:ascii="Arial" w:cs="Arial" w:eastAsia="Arial" w:hAnsi="Arial"/>
                <w:sz w:val="17"/>
                <w:szCs w:val="17"/>
                <w:color w:val="auto"/>
              </w:rPr>
              <w:t>47.5</w:t>
            </w:r>
          </w:p>
        </w:tc>
        <w:tc>
          <w:tcPr>
            <w:tcW w:w="1100" w:type="dxa"/>
            <w:vAlign w:val="bottom"/>
            <w:gridSpan w:val="2"/>
          </w:tcPr>
          <w:p>
            <w:pPr>
              <w:jc w:val="right"/>
              <w:ind w:right="74"/>
              <w:spacing w:after="0"/>
              <w:rPr>
                <w:sz w:val="20"/>
                <w:szCs w:val="20"/>
                <w:color w:val="auto"/>
              </w:rPr>
            </w:pPr>
            <w:r>
              <w:rPr>
                <w:rFonts w:ascii="Arial" w:cs="Arial" w:eastAsia="Arial" w:hAnsi="Arial"/>
                <w:sz w:val="17"/>
                <w:szCs w:val="17"/>
                <w:color w:val="auto"/>
              </w:rPr>
              <w:t>(44)</w:t>
            </w:r>
          </w:p>
        </w:tc>
      </w:tr>
      <w:tr>
        <w:trPr>
          <w:trHeight w:val="220"/>
        </w:trPr>
        <w:tc>
          <w:tcPr>
            <w:tcW w:w="32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Occupancy and equipment</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7.7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7.9</w:t>
            </w:r>
          </w:p>
        </w:tc>
        <w:tc>
          <w:tcPr>
            <w:tcW w:w="108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15.6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12.1</w:t>
            </w:r>
          </w:p>
        </w:tc>
        <w:tc>
          <w:tcPr>
            <w:tcW w:w="1100" w:type="dxa"/>
            <w:vAlign w:val="bottom"/>
            <w:gridSpan w:val="2"/>
            <w:shd w:val="clear" w:color="auto" w:fill="CCEEFF"/>
          </w:tcPr>
          <w:p>
            <w:pPr>
              <w:jc w:val="right"/>
              <w:ind w:right="114"/>
              <w:spacing w:after="0"/>
              <w:rPr>
                <w:sz w:val="20"/>
                <w:szCs w:val="20"/>
                <w:color w:val="auto"/>
              </w:rPr>
            </w:pPr>
            <w:r>
              <w:rPr>
                <w:rFonts w:ascii="Arial" w:cs="Arial" w:eastAsia="Arial" w:hAnsi="Arial"/>
                <w:sz w:val="17"/>
                <w:szCs w:val="17"/>
                <w:color w:val="auto"/>
              </w:rPr>
              <w:t>29</w:t>
            </w:r>
          </w:p>
        </w:tc>
      </w:tr>
      <w:tr>
        <w:trPr>
          <w:trHeight w:val="220"/>
        </w:trPr>
        <w:tc>
          <w:tcPr>
            <w:tcW w:w="3200" w:type="dxa"/>
            <w:vAlign w:val="bottom"/>
          </w:tcPr>
          <w:p>
            <w:pPr>
              <w:ind w:left="140"/>
              <w:spacing w:after="0"/>
              <w:rPr>
                <w:sz w:val="20"/>
                <w:szCs w:val="20"/>
                <w:color w:val="auto"/>
              </w:rPr>
            </w:pPr>
            <w:r>
              <w:rPr>
                <w:rFonts w:ascii="Arial" w:cs="Arial" w:eastAsia="Arial" w:hAnsi="Arial"/>
                <w:sz w:val="17"/>
                <w:szCs w:val="17"/>
                <w:color w:val="auto"/>
              </w:rPr>
              <w:t>Professional services</w:t>
            </w:r>
          </w:p>
        </w:tc>
        <w:tc>
          <w:tcPr>
            <w:tcW w:w="240" w:type="dxa"/>
            <w:vAlign w:val="bottom"/>
          </w:tcPr>
          <w:p>
            <w:pPr>
              <w:spacing w:after="0"/>
              <w:rPr>
                <w:sz w:val="19"/>
                <w:szCs w:val="19"/>
                <w:color w:val="auto"/>
              </w:rPr>
            </w:pPr>
          </w:p>
        </w:tc>
        <w:tc>
          <w:tcPr>
            <w:tcW w:w="1120" w:type="dxa"/>
            <w:vAlign w:val="bottom"/>
          </w:tcPr>
          <w:p>
            <w:pPr>
              <w:jc w:val="right"/>
              <w:ind w:right="134"/>
              <w:spacing w:after="0"/>
              <w:rPr>
                <w:sz w:val="20"/>
                <w:szCs w:val="20"/>
                <w:color w:val="auto"/>
              </w:rPr>
            </w:pPr>
            <w:r>
              <w:rPr>
                <w:rFonts w:ascii="Arial" w:cs="Arial" w:eastAsia="Arial" w:hAnsi="Arial"/>
                <w:sz w:val="17"/>
                <w:szCs w:val="17"/>
                <w:color w:val="auto"/>
              </w:rPr>
              <w:t>3.4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ind w:right="154"/>
              <w:spacing w:after="0"/>
              <w:rPr>
                <w:sz w:val="20"/>
                <w:szCs w:val="20"/>
                <w:color w:val="auto"/>
              </w:rPr>
            </w:pPr>
            <w:r>
              <w:rPr>
                <w:rFonts w:ascii="Arial" w:cs="Arial" w:eastAsia="Arial" w:hAnsi="Arial"/>
                <w:sz w:val="17"/>
                <w:szCs w:val="17"/>
                <w:color w:val="auto"/>
              </w:rPr>
              <w:t>6.8</w:t>
            </w:r>
          </w:p>
        </w:tc>
        <w:tc>
          <w:tcPr>
            <w:tcW w:w="1080" w:type="dxa"/>
            <w:vAlign w:val="bottom"/>
            <w:gridSpan w:val="2"/>
          </w:tcPr>
          <w:p>
            <w:pPr>
              <w:jc w:val="right"/>
              <w:ind w:right="74"/>
              <w:spacing w:after="0"/>
              <w:rPr>
                <w:sz w:val="20"/>
                <w:szCs w:val="20"/>
                <w:color w:val="auto"/>
              </w:rPr>
            </w:pPr>
            <w:r>
              <w:rPr>
                <w:rFonts w:ascii="Arial" w:cs="Arial" w:eastAsia="Arial" w:hAnsi="Arial"/>
                <w:sz w:val="17"/>
                <w:szCs w:val="17"/>
                <w:color w:val="auto"/>
              </w:rPr>
              <w:t>(50)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ind w:right="134"/>
              <w:spacing w:after="0"/>
              <w:rPr>
                <w:sz w:val="20"/>
                <w:szCs w:val="20"/>
                <w:color w:val="auto"/>
              </w:rPr>
            </w:pPr>
            <w:r>
              <w:rPr>
                <w:rFonts w:ascii="Arial" w:cs="Arial" w:eastAsia="Arial" w:hAnsi="Arial"/>
                <w:sz w:val="17"/>
                <w:szCs w:val="17"/>
                <w:color w:val="auto"/>
              </w:rPr>
              <w:t>10.3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ind w:right="134"/>
              <w:spacing w:after="0"/>
              <w:rPr>
                <w:sz w:val="20"/>
                <w:szCs w:val="20"/>
                <w:color w:val="auto"/>
              </w:rPr>
            </w:pPr>
            <w:r>
              <w:rPr>
                <w:rFonts w:ascii="Arial" w:cs="Arial" w:eastAsia="Arial" w:hAnsi="Arial"/>
                <w:sz w:val="17"/>
                <w:szCs w:val="17"/>
                <w:color w:val="auto"/>
              </w:rPr>
              <w:t>17.5</w:t>
            </w:r>
          </w:p>
        </w:tc>
        <w:tc>
          <w:tcPr>
            <w:tcW w:w="1100" w:type="dxa"/>
            <w:vAlign w:val="bottom"/>
            <w:gridSpan w:val="2"/>
          </w:tcPr>
          <w:p>
            <w:pPr>
              <w:jc w:val="right"/>
              <w:ind w:right="74"/>
              <w:spacing w:after="0"/>
              <w:rPr>
                <w:sz w:val="20"/>
                <w:szCs w:val="20"/>
                <w:color w:val="auto"/>
              </w:rPr>
            </w:pPr>
            <w:r>
              <w:rPr>
                <w:rFonts w:ascii="Arial" w:cs="Arial" w:eastAsia="Arial" w:hAnsi="Arial"/>
                <w:sz w:val="17"/>
                <w:szCs w:val="17"/>
                <w:color w:val="auto"/>
              </w:rPr>
              <w:t>(41)</w:t>
            </w:r>
          </w:p>
        </w:tc>
      </w:tr>
      <w:tr>
        <w:trPr>
          <w:trHeight w:val="220"/>
        </w:trPr>
        <w:tc>
          <w:tcPr>
            <w:tcW w:w="32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Technology and communications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6.6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6.6</w:t>
            </w:r>
          </w:p>
        </w:tc>
        <w:tc>
          <w:tcPr>
            <w:tcW w:w="10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ind w:right="560"/>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13.1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11.2</w:t>
            </w:r>
          </w:p>
        </w:tc>
        <w:tc>
          <w:tcPr>
            <w:tcW w:w="1100" w:type="dxa"/>
            <w:vAlign w:val="bottom"/>
            <w:gridSpan w:val="2"/>
            <w:shd w:val="clear" w:color="auto" w:fill="CCEEFF"/>
          </w:tcPr>
          <w:p>
            <w:pPr>
              <w:jc w:val="right"/>
              <w:ind w:right="114"/>
              <w:spacing w:after="0"/>
              <w:rPr>
                <w:sz w:val="20"/>
                <w:szCs w:val="20"/>
                <w:color w:val="auto"/>
              </w:rPr>
            </w:pPr>
            <w:r>
              <w:rPr>
                <w:rFonts w:ascii="Arial" w:cs="Arial" w:eastAsia="Arial" w:hAnsi="Arial"/>
                <w:sz w:val="17"/>
                <w:szCs w:val="17"/>
                <w:color w:val="auto"/>
              </w:rPr>
              <w:t>18</w:t>
            </w:r>
          </w:p>
        </w:tc>
      </w:tr>
      <w:tr>
        <w:trPr>
          <w:trHeight w:val="220"/>
        </w:trPr>
        <w:tc>
          <w:tcPr>
            <w:tcW w:w="3200" w:type="dxa"/>
            <w:vAlign w:val="bottom"/>
          </w:tcPr>
          <w:p>
            <w:pPr>
              <w:ind w:left="140"/>
              <w:spacing w:after="0"/>
              <w:rPr>
                <w:sz w:val="20"/>
                <w:szCs w:val="20"/>
                <w:color w:val="auto"/>
              </w:rPr>
            </w:pPr>
            <w:r>
              <w:rPr>
                <w:rFonts w:ascii="Arial" w:cs="Arial" w:eastAsia="Arial" w:hAnsi="Arial"/>
                <w:sz w:val="17"/>
                <w:szCs w:val="17"/>
                <w:color w:val="auto"/>
              </w:rPr>
              <w:t>Corporate overhead allocations</w:t>
            </w:r>
          </w:p>
        </w:tc>
        <w:tc>
          <w:tcPr>
            <w:tcW w:w="240" w:type="dxa"/>
            <w:vAlign w:val="bottom"/>
          </w:tcPr>
          <w:p>
            <w:pPr>
              <w:spacing w:after="0"/>
              <w:rPr>
                <w:sz w:val="19"/>
                <w:szCs w:val="19"/>
                <w:color w:val="auto"/>
              </w:rPr>
            </w:pPr>
          </w:p>
        </w:tc>
        <w:tc>
          <w:tcPr>
            <w:tcW w:w="1120" w:type="dxa"/>
            <w:vAlign w:val="bottom"/>
          </w:tcPr>
          <w:p>
            <w:pPr>
              <w:jc w:val="right"/>
              <w:ind w:right="134"/>
              <w:spacing w:after="0"/>
              <w:rPr>
                <w:sz w:val="20"/>
                <w:szCs w:val="20"/>
                <w:color w:val="auto"/>
              </w:rPr>
            </w:pPr>
            <w:r>
              <w:rPr>
                <w:rFonts w:ascii="Arial" w:cs="Arial" w:eastAsia="Arial" w:hAnsi="Arial"/>
                <w:sz w:val="17"/>
                <w:szCs w:val="17"/>
                <w:color w:val="auto"/>
              </w:rPr>
              <w:t>11.7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ind w:right="154"/>
              <w:spacing w:after="0"/>
              <w:rPr>
                <w:sz w:val="20"/>
                <w:szCs w:val="20"/>
                <w:color w:val="auto"/>
              </w:rPr>
            </w:pPr>
            <w:r>
              <w:rPr>
                <w:rFonts w:ascii="Arial" w:cs="Arial" w:eastAsia="Arial" w:hAnsi="Arial"/>
                <w:sz w:val="17"/>
                <w:szCs w:val="17"/>
                <w:color w:val="auto"/>
              </w:rPr>
              <w:t>11.1</w:t>
            </w:r>
          </w:p>
        </w:tc>
        <w:tc>
          <w:tcPr>
            <w:tcW w:w="1080" w:type="dxa"/>
            <w:vAlign w:val="bottom"/>
            <w:gridSpan w:val="2"/>
          </w:tcPr>
          <w:p>
            <w:pPr>
              <w:jc w:val="right"/>
              <w:ind w:right="114"/>
              <w:spacing w:after="0"/>
              <w:rPr>
                <w:sz w:val="20"/>
                <w:szCs w:val="20"/>
                <w:color w:val="auto"/>
              </w:rPr>
            </w:pPr>
            <w:r>
              <w:rPr>
                <w:rFonts w:ascii="Arial" w:cs="Arial" w:eastAsia="Arial" w:hAnsi="Arial"/>
                <w:sz w:val="17"/>
                <w:szCs w:val="17"/>
                <w:color w:val="auto"/>
              </w:rPr>
              <w:t>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ind w:right="134"/>
              <w:spacing w:after="0"/>
              <w:rPr>
                <w:sz w:val="20"/>
                <w:szCs w:val="20"/>
                <w:color w:val="auto"/>
              </w:rPr>
            </w:pPr>
            <w:r>
              <w:rPr>
                <w:rFonts w:ascii="Arial" w:cs="Arial" w:eastAsia="Arial" w:hAnsi="Arial"/>
                <w:sz w:val="17"/>
                <w:szCs w:val="17"/>
                <w:color w:val="auto"/>
              </w:rPr>
              <w:t>22.8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ind w:right="134"/>
              <w:spacing w:after="0"/>
              <w:rPr>
                <w:sz w:val="20"/>
                <w:szCs w:val="20"/>
                <w:color w:val="auto"/>
              </w:rPr>
            </w:pPr>
            <w:r>
              <w:rPr>
                <w:rFonts w:ascii="Arial" w:cs="Arial" w:eastAsia="Arial" w:hAnsi="Arial"/>
                <w:sz w:val="17"/>
                <w:szCs w:val="17"/>
                <w:color w:val="auto"/>
              </w:rPr>
              <w:t>24.6</w:t>
            </w:r>
          </w:p>
        </w:tc>
        <w:tc>
          <w:tcPr>
            <w:tcW w:w="1100" w:type="dxa"/>
            <w:vAlign w:val="bottom"/>
            <w:gridSpan w:val="2"/>
          </w:tcPr>
          <w:p>
            <w:pPr>
              <w:jc w:val="right"/>
              <w:ind w:right="74"/>
              <w:spacing w:after="0"/>
              <w:rPr>
                <w:sz w:val="20"/>
                <w:szCs w:val="20"/>
                <w:color w:val="auto"/>
              </w:rPr>
            </w:pPr>
            <w:r>
              <w:rPr>
                <w:rFonts w:ascii="Arial" w:cs="Arial" w:eastAsia="Arial" w:hAnsi="Arial"/>
                <w:sz w:val="17"/>
                <w:szCs w:val="17"/>
                <w:color w:val="auto"/>
              </w:rPr>
              <w:t>(7)</w:t>
            </w:r>
          </w:p>
        </w:tc>
      </w:tr>
      <w:tr>
        <w:trPr>
          <w:trHeight w:val="220"/>
        </w:trPr>
        <w:tc>
          <w:tcPr>
            <w:tcW w:w="32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Other expenses</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2.6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rPr>
              <w:t>2.0</w:t>
            </w:r>
          </w:p>
        </w:tc>
        <w:tc>
          <w:tcPr>
            <w:tcW w:w="1080" w:type="dxa"/>
            <w:vAlign w:val="bottom"/>
            <w:gridSpan w:val="2"/>
            <w:shd w:val="clear" w:color="auto" w:fill="CCEEFF"/>
          </w:tcPr>
          <w:p>
            <w:pPr>
              <w:jc w:val="right"/>
              <w:ind w:right="114"/>
              <w:spacing w:after="0"/>
              <w:rPr>
                <w:sz w:val="20"/>
                <w:szCs w:val="20"/>
                <w:color w:val="auto"/>
              </w:rPr>
            </w:pPr>
            <w:r>
              <w:rPr>
                <w:rFonts w:ascii="Arial" w:cs="Arial" w:eastAsia="Arial" w:hAnsi="Arial"/>
                <w:sz w:val="17"/>
                <w:szCs w:val="17"/>
                <w:color w:val="auto"/>
              </w:rPr>
              <w:t>27</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4.6</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2.4</w:t>
            </w:r>
          </w:p>
        </w:tc>
        <w:tc>
          <w:tcPr>
            <w:tcW w:w="1100" w:type="dxa"/>
            <w:vAlign w:val="bottom"/>
            <w:gridSpan w:val="2"/>
            <w:shd w:val="clear" w:color="auto" w:fill="CCEEFF"/>
          </w:tcPr>
          <w:p>
            <w:pPr>
              <w:jc w:val="right"/>
              <w:ind w:right="114"/>
              <w:spacing w:after="0"/>
              <w:rPr>
                <w:sz w:val="20"/>
                <w:szCs w:val="20"/>
                <w:color w:val="auto"/>
              </w:rPr>
            </w:pPr>
            <w:r>
              <w:rPr>
                <w:rFonts w:ascii="Arial" w:cs="Arial" w:eastAsia="Arial" w:hAnsi="Arial"/>
                <w:sz w:val="17"/>
                <w:szCs w:val="17"/>
                <w:color w:val="auto"/>
              </w:rPr>
              <w:t>91</w:t>
            </w:r>
          </w:p>
        </w:tc>
      </w:tr>
      <w:tr>
        <w:trPr>
          <w:trHeight w:val="213"/>
        </w:trPr>
        <w:tc>
          <w:tcPr>
            <w:tcW w:w="320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Total operating expenses</w:t>
            </w: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82.5</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rPr>
              <w:t>74.2</w:t>
            </w:r>
          </w:p>
        </w:tc>
        <w:tc>
          <w:tcPr>
            <w:tcW w:w="1080" w:type="dxa"/>
            <w:vAlign w:val="bottom"/>
            <w:tcBorders>
              <w:bottom w:val="single" w:sz="8" w:color="CCEEFF"/>
            </w:tcBorders>
            <w:gridSpan w:val="2"/>
          </w:tcPr>
          <w:p>
            <w:pPr>
              <w:jc w:val="right"/>
              <w:ind w:right="114"/>
              <w:spacing w:after="0"/>
              <w:rPr>
                <w:sz w:val="20"/>
                <w:szCs w:val="20"/>
                <w:color w:val="auto"/>
              </w:rPr>
            </w:pPr>
            <w:r>
              <w:rPr>
                <w:rFonts w:ascii="Arial" w:cs="Arial" w:eastAsia="Arial" w:hAnsi="Arial"/>
                <w:sz w:val="17"/>
                <w:szCs w:val="17"/>
                <w:color w:val="auto"/>
              </w:rPr>
              <w:t>11</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156.8</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166.4</w:t>
            </w:r>
          </w:p>
        </w:tc>
        <w:tc>
          <w:tcPr>
            <w:tcW w:w="1100" w:type="dxa"/>
            <w:vAlign w:val="bottom"/>
            <w:tcBorders>
              <w:bottom w:val="single" w:sz="8" w:color="CCEEFF"/>
            </w:tcBorders>
            <w:gridSpan w:val="2"/>
          </w:tcPr>
          <w:p>
            <w:pPr>
              <w:jc w:val="right"/>
              <w:ind w:right="74"/>
              <w:spacing w:after="0"/>
              <w:rPr>
                <w:sz w:val="20"/>
                <w:szCs w:val="20"/>
                <w:color w:val="auto"/>
              </w:rPr>
            </w:pPr>
            <w:r>
              <w:rPr>
                <w:rFonts w:ascii="Arial" w:cs="Arial" w:eastAsia="Arial" w:hAnsi="Arial"/>
                <w:sz w:val="17"/>
                <w:szCs w:val="17"/>
                <w:color w:val="auto"/>
              </w:rPr>
              <w:t>(6)</w:t>
            </w:r>
          </w:p>
        </w:tc>
      </w:tr>
      <w:tr>
        <w:trPr>
          <w:trHeight w:val="135"/>
        </w:trPr>
        <w:tc>
          <w:tcPr>
            <w:tcW w:w="3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r>
      <w:tr>
        <w:trPr>
          <w:trHeight w:val="220"/>
        </w:trPr>
        <w:tc>
          <w:tcPr>
            <w:tcW w:w="3200" w:type="dxa"/>
            <w:vAlign w:val="bottom"/>
          </w:tcPr>
          <w:p>
            <w:pPr>
              <w:ind w:left="20"/>
              <w:spacing w:after="0"/>
              <w:rPr>
                <w:sz w:val="20"/>
                <w:szCs w:val="20"/>
                <w:color w:val="auto"/>
              </w:rPr>
            </w:pPr>
            <w:r>
              <w:rPr>
                <w:rFonts w:ascii="Arial" w:cs="Arial" w:eastAsia="Arial" w:hAnsi="Arial"/>
                <w:sz w:val="17"/>
                <w:szCs w:val="17"/>
                <w:b w:val="1"/>
                <w:bCs w:val="1"/>
                <w:color w:val="auto"/>
              </w:rPr>
              <w:t>Other income (expense)</w:t>
            </w: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0"/>
        </w:trPr>
        <w:tc>
          <w:tcPr>
            <w:tcW w:w="32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Interest income</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3.0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4.1</w:t>
            </w:r>
          </w:p>
        </w:tc>
        <w:tc>
          <w:tcPr>
            <w:tcW w:w="108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(26)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7.1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2.5</w:t>
            </w:r>
          </w:p>
        </w:tc>
        <w:tc>
          <w:tcPr>
            <w:tcW w:w="1100" w:type="dxa"/>
            <w:vAlign w:val="bottom"/>
            <w:gridSpan w:val="2"/>
            <w:shd w:val="clear" w:color="auto" w:fill="CCEEFF"/>
          </w:tcPr>
          <w:p>
            <w:pPr>
              <w:jc w:val="right"/>
              <w:ind w:right="114"/>
              <w:spacing w:after="0"/>
              <w:rPr>
                <w:sz w:val="20"/>
                <w:szCs w:val="20"/>
                <w:color w:val="auto"/>
              </w:rPr>
            </w:pPr>
            <w:r>
              <w:rPr>
                <w:rFonts w:ascii="Arial" w:cs="Arial" w:eastAsia="Arial" w:hAnsi="Arial"/>
                <w:sz w:val="17"/>
                <w:szCs w:val="17"/>
                <w:color w:val="auto"/>
              </w:rPr>
              <w:t>183</w:t>
            </w:r>
          </w:p>
        </w:tc>
      </w:tr>
      <w:tr>
        <w:trPr>
          <w:trHeight w:val="220"/>
        </w:trPr>
        <w:tc>
          <w:tcPr>
            <w:tcW w:w="3200" w:type="dxa"/>
            <w:vAlign w:val="bottom"/>
          </w:tcPr>
          <w:p>
            <w:pPr>
              <w:ind w:left="140"/>
              <w:spacing w:after="0"/>
              <w:rPr>
                <w:sz w:val="20"/>
                <w:szCs w:val="20"/>
                <w:color w:val="auto"/>
              </w:rPr>
            </w:pPr>
            <w:r>
              <w:rPr>
                <w:rFonts w:ascii="Arial" w:cs="Arial" w:eastAsia="Arial" w:hAnsi="Arial"/>
                <w:sz w:val="17"/>
                <w:szCs w:val="17"/>
                <w:color w:val="auto"/>
              </w:rPr>
              <w:t>Interest expense</w:t>
            </w:r>
          </w:p>
        </w:tc>
        <w:tc>
          <w:tcPr>
            <w:tcW w:w="240" w:type="dxa"/>
            <w:vAlign w:val="bottom"/>
          </w:tcPr>
          <w:p>
            <w:pPr>
              <w:spacing w:after="0"/>
              <w:rPr>
                <w:sz w:val="19"/>
                <w:szCs w:val="19"/>
                <w:color w:val="auto"/>
              </w:rPr>
            </w:pPr>
          </w:p>
        </w:tc>
        <w:tc>
          <w:tcPr>
            <w:tcW w:w="1120" w:type="dxa"/>
            <w:vAlign w:val="bottom"/>
          </w:tcPr>
          <w:p>
            <w:pPr>
              <w:jc w:val="right"/>
              <w:ind w:right="134"/>
              <w:spacing w:after="0"/>
              <w:rPr>
                <w:sz w:val="20"/>
                <w:szCs w:val="20"/>
                <w:color w:val="auto"/>
              </w:rPr>
            </w:pPr>
            <w:r>
              <w:rPr>
                <w:rFonts w:ascii="Arial" w:cs="Arial" w:eastAsia="Arial" w:hAnsi="Arial"/>
                <w:sz w:val="17"/>
                <w:szCs w:val="17"/>
                <w:color w:val="auto"/>
              </w:rPr>
              <w:t>(22.3)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ind w:right="154"/>
              <w:spacing w:after="0"/>
              <w:rPr>
                <w:sz w:val="20"/>
                <w:szCs w:val="20"/>
                <w:color w:val="auto"/>
              </w:rPr>
            </w:pPr>
            <w:r>
              <w:rPr>
                <w:rFonts w:ascii="Arial" w:cs="Arial" w:eastAsia="Arial" w:hAnsi="Arial"/>
                <w:sz w:val="17"/>
                <w:szCs w:val="17"/>
                <w:color w:val="auto"/>
              </w:rPr>
              <w:t>(23.1)</w:t>
            </w:r>
          </w:p>
        </w:tc>
        <w:tc>
          <w:tcPr>
            <w:tcW w:w="1080" w:type="dxa"/>
            <w:vAlign w:val="bottom"/>
            <w:gridSpan w:val="2"/>
          </w:tcPr>
          <w:p>
            <w:pPr>
              <w:jc w:val="right"/>
              <w:ind w:right="74"/>
              <w:spacing w:after="0"/>
              <w:rPr>
                <w:sz w:val="20"/>
                <w:szCs w:val="20"/>
                <w:color w:val="auto"/>
              </w:rPr>
            </w:pPr>
            <w:r>
              <w:rPr>
                <w:rFonts w:ascii="Arial" w:cs="Arial" w:eastAsia="Arial" w:hAnsi="Arial"/>
                <w:sz w:val="17"/>
                <w:szCs w:val="17"/>
                <w:color w:val="auto"/>
              </w:rPr>
              <w:t>(3)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ind w:right="134"/>
              <w:spacing w:after="0"/>
              <w:rPr>
                <w:sz w:val="20"/>
                <w:szCs w:val="20"/>
                <w:color w:val="auto"/>
              </w:rPr>
            </w:pPr>
            <w:r>
              <w:rPr>
                <w:rFonts w:ascii="Arial" w:cs="Arial" w:eastAsia="Arial" w:hAnsi="Arial"/>
                <w:sz w:val="17"/>
                <w:szCs w:val="17"/>
                <w:color w:val="auto"/>
              </w:rPr>
              <w:t>(45.4)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ind w:right="134"/>
              <w:spacing w:after="0"/>
              <w:rPr>
                <w:sz w:val="20"/>
                <w:szCs w:val="20"/>
                <w:color w:val="auto"/>
              </w:rPr>
            </w:pPr>
            <w:r>
              <w:rPr>
                <w:rFonts w:ascii="Arial" w:cs="Arial" w:eastAsia="Arial" w:hAnsi="Arial"/>
                <w:sz w:val="17"/>
                <w:szCs w:val="17"/>
                <w:color w:val="auto"/>
              </w:rPr>
              <w:t>(36.2)</w:t>
            </w:r>
          </w:p>
        </w:tc>
        <w:tc>
          <w:tcPr>
            <w:tcW w:w="1100" w:type="dxa"/>
            <w:vAlign w:val="bottom"/>
            <w:gridSpan w:val="2"/>
          </w:tcPr>
          <w:p>
            <w:pPr>
              <w:jc w:val="right"/>
              <w:ind w:right="114"/>
              <w:spacing w:after="0"/>
              <w:rPr>
                <w:sz w:val="20"/>
                <w:szCs w:val="20"/>
                <w:color w:val="auto"/>
              </w:rPr>
            </w:pPr>
            <w:r>
              <w:rPr>
                <w:rFonts w:ascii="Arial" w:cs="Arial" w:eastAsia="Arial" w:hAnsi="Arial"/>
                <w:sz w:val="17"/>
                <w:szCs w:val="17"/>
                <w:color w:val="auto"/>
              </w:rPr>
              <w:t>25</w:t>
            </w:r>
          </w:p>
        </w:tc>
      </w:tr>
      <w:tr>
        <w:trPr>
          <w:trHeight w:val="220"/>
        </w:trPr>
        <w:tc>
          <w:tcPr>
            <w:tcW w:w="32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Pledged MSR liability expense</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(74.1)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(86.9)</w:t>
            </w:r>
          </w:p>
        </w:tc>
        <w:tc>
          <w:tcPr>
            <w:tcW w:w="108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(15)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(161.0)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(77.7)</w:t>
            </w:r>
          </w:p>
        </w:tc>
        <w:tc>
          <w:tcPr>
            <w:tcW w:w="1100" w:type="dxa"/>
            <w:vAlign w:val="bottom"/>
            <w:gridSpan w:val="2"/>
            <w:shd w:val="clear" w:color="auto" w:fill="CCEEFF"/>
          </w:tcPr>
          <w:p>
            <w:pPr>
              <w:jc w:val="right"/>
              <w:ind w:right="114"/>
              <w:spacing w:after="0"/>
              <w:rPr>
                <w:sz w:val="20"/>
                <w:szCs w:val="20"/>
                <w:color w:val="auto"/>
              </w:rPr>
            </w:pPr>
            <w:r>
              <w:rPr>
                <w:rFonts w:ascii="Arial" w:cs="Arial" w:eastAsia="Arial" w:hAnsi="Arial"/>
                <w:sz w:val="17"/>
                <w:szCs w:val="17"/>
                <w:color w:val="auto"/>
              </w:rPr>
              <w:t>107</w:t>
            </w:r>
          </w:p>
        </w:tc>
      </w:tr>
      <w:tr>
        <w:trPr>
          <w:trHeight w:val="220"/>
        </w:trPr>
        <w:tc>
          <w:tcPr>
            <w:tcW w:w="3200" w:type="dxa"/>
            <w:vAlign w:val="bottom"/>
          </w:tcPr>
          <w:p>
            <w:pPr>
              <w:ind w:left="120"/>
              <w:spacing w:after="0"/>
              <w:rPr>
                <w:sz w:val="20"/>
                <w:szCs w:val="20"/>
                <w:color w:val="auto"/>
              </w:rPr>
            </w:pPr>
            <w:r>
              <w:rPr>
                <w:rFonts w:ascii="Arial" w:cs="Arial" w:eastAsia="Arial" w:hAnsi="Arial"/>
                <w:sz w:val="17"/>
                <w:szCs w:val="17"/>
                <w:color w:val="auto"/>
              </w:rPr>
              <w:t>Earnings of equity method investee</w:t>
            </w:r>
          </w:p>
        </w:tc>
        <w:tc>
          <w:tcPr>
            <w:tcW w:w="240" w:type="dxa"/>
            <w:vAlign w:val="bottom"/>
          </w:tcPr>
          <w:p>
            <w:pPr>
              <w:spacing w:after="0"/>
              <w:rPr>
                <w:sz w:val="19"/>
                <w:szCs w:val="19"/>
                <w:color w:val="auto"/>
              </w:rPr>
            </w:pPr>
          </w:p>
        </w:tc>
        <w:tc>
          <w:tcPr>
            <w:tcW w:w="1120" w:type="dxa"/>
            <w:vAlign w:val="bottom"/>
          </w:tcPr>
          <w:p>
            <w:pPr>
              <w:jc w:val="right"/>
              <w:ind w:right="134"/>
              <w:spacing w:after="0"/>
              <w:rPr>
                <w:sz w:val="20"/>
                <w:szCs w:val="20"/>
                <w:color w:val="auto"/>
              </w:rPr>
            </w:pPr>
            <w:r>
              <w:rPr>
                <w:rFonts w:ascii="Arial" w:cs="Arial" w:eastAsia="Arial" w:hAnsi="Arial"/>
                <w:sz w:val="17"/>
                <w:szCs w:val="17"/>
                <w:color w:val="auto"/>
              </w:rPr>
              <w:t>3.9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ind w:right="154"/>
              <w:spacing w:after="0"/>
              <w:rPr>
                <w:sz w:val="20"/>
                <w:szCs w:val="20"/>
                <w:color w:val="auto"/>
              </w:rPr>
            </w:pPr>
            <w:r>
              <w:rPr>
                <w:rFonts w:ascii="Arial" w:cs="Arial" w:eastAsia="Arial" w:hAnsi="Arial"/>
                <w:sz w:val="17"/>
                <w:szCs w:val="17"/>
                <w:color w:val="auto"/>
              </w:rPr>
              <w:t>12.0</w:t>
            </w:r>
          </w:p>
        </w:tc>
        <w:tc>
          <w:tcPr>
            <w:tcW w:w="1080" w:type="dxa"/>
            <w:vAlign w:val="bottom"/>
            <w:gridSpan w:val="2"/>
          </w:tcPr>
          <w:p>
            <w:pPr>
              <w:jc w:val="right"/>
              <w:ind w:right="74"/>
              <w:spacing w:after="0"/>
              <w:rPr>
                <w:sz w:val="20"/>
                <w:szCs w:val="20"/>
                <w:color w:val="auto"/>
              </w:rPr>
            </w:pPr>
            <w:r>
              <w:rPr>
                <w:rFonts w:ascii="Arial" w:cs="Arial" w:eastAsia="Arial" w:hAnsi="Arial"/>
                <w:sz w:val="17"/>
                <w:szCs w:val="17"/>
                <w:color w:val="auto"/>
              </w:rPr>
              <w:t>(67)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ind w:right="134"/>
              <w:spacing w:after="0"/>
              <w:rPr>
                <w:sz w:val="20"/>
                <w:szCs w:val="20"/>
                <w:color w:val="auto"/>
              </w:rPr>
            </w:pPr>
            <w:r>
              <w:rPr>
                <w:rFonts w:ascii="Arial" w:cs="Arial" w:eastAsia="Arial" w:hAnsi="Arial"/>
                <w:sz w:val="17"/>
                <w:szCs w:val="17"/>
                <w:color w:val="auto"/>
              </w:rPr>
              <w:t>15.9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ind w:right="134"/>
              <w:spacing w:after="0"/>
              <w:rPr>
                <w:sz w:val="20"/>
                <w:szCs w:val="20"/>
                <w:color w:val="auto"/>
              </w:rPr>
            </w:pPr>
            <w:r>
              <w:rPr>
                <w:rFonts w:ascii="Arial" w:cs="Arial" w:eastAsia="Arial" w:hAnsi="Arial"/>
                <w:sz w:val="17"/>
                <w:szCs w:val="17"/>
                <w:color w:val="auto"/>
              </w:rPr>
              <w:t>0.4</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n/m</w:t>
            </w:r>
          </w:p>
        </w:tc>
      </w:tr>
      <w:tr>
        <w:trPr>
          <w:trHeight w:val="220"/>
        </w:trPr>
        <w:tc>
          <w:tcPr>
            <w:tcW w:w="32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Other, net</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(4.3)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rPr>
              <w:t>0.7</w:t>
            </w:r>
          </w:p>
        </w:tc>
        <w:tc>
          <w:tcPr>
            <w:tcW w:w="108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(699)</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(3.6)</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3.3</w:t>
            </w:r>
          </w:p>
        </w:tc>
        <w:tc>
          <w:tcPr>
            <w:tcW w:w="110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(207)</w:t>
            </w:r>
          </w:p>
        </w:tc>
      </w:tr>
      <w:tr>
        <w:trPr>
          <w:trHeight w:val="213"/>
        </w:trPr>
        <w:tc>
          <w:tcPr>
            <w:tcW w:w="320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Total other income (expense), net</w:t>
            </w: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(93.7)</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rPr>
              <w:t>(93.3)</w:t>
            </w:r>
          </w:p>
        </w:tc>
        <w:tc>
          <w:tcPr>
            <w:tcW w:w="1080" w:type="dxa"/>
            <w:vAlign w:val="bottom"/>
            <w:tcBorders>
              <w:bottom w:val="single" w:sz="8" w:color="CCEEFF"/>
            </w:tcBorders>
            <w:gridSpan w:val="2"/>
          </w:tcPr>
          <w:p>
            <w:pPr>
              <w:jc w:val="right"/>
              <w:ind w:right="114"/>
              <w:spacing w:after="0"/>
              <w:rPr>
                <w:sz w:val="20"/>
                <w:szCs w:val="20"/>
                <w:color w:val="auto"/>
              </w:rPr>
            </w:pPr>
            <w:r>
              <w:rPr>
                <w:rFonts w:ascii="Arial" w:cs="Arial" w:eastAsia="Arial" w:hAnsi="Arial"/>
                <w:sz w:val="17"/>
                <w:szCs w:val="17"/>
                <w:color w:val="auto"/>
              </w:rPr>
              <w:t>1</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(187.0)</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(107.8)</w:t>
            </w:r>
          </w:p>
        </w:tc>
        <w:tc>
          <w:tcPr>
            <w:tcW w:w="1100" w:type="dxa"/>
            <w:vAlign w:val="bottom"/>
            <w:tcBorders>
              <w:bottom w:val="single" w:sz="8" w:color="CCEEFF"/>
            </w:tcBorders>
            <w:gridSpan w:val="2"/>
          </w:tcPr>
          <w:p>
            <w:pPr>
              <w:jc w:val="right"/>
              <w:ind w:right="114"/>
              <w:spacing w:after="0"/>
              <w:rPr>
                <w:sz w:val="20"/>
                <w:szCs w:val="20"/>
                <w:color w:val="auto"/>
              </w:rPr>
            </w:pPr>
            <w:r>
              <w:rPr>
                <w:rFonts w:ascii="Arial" w:cs="Arial" w:eastAsia="Arial" w:hAnsi="Arial"/>
                <w:sz w:val="17"/>
                <w:szCs w:val="17"/>
                <w:color w:val="auto"/>
              </w:rPr>
              <w:t>74</w:t>
            </w:r>
          </w:p>
        </w:tc>
      </w:tr>
      <w:tr>
        <w:trPr>
          <w:trHeight w:val="135"/>
        </w:trPr>
        <w:tc>
          <w:tcPr>
            <w:tcW w:w="320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1120" w:type="dxa"/>
            <w:vAlign w:val="bottom"/>
            <w:tcBorders>
              <w:bottom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1180" w:type="dxa"/>
            <w:vAlign w:val="bottom"/>
            <w:tcBorders>
              <w:bottom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1140" w:type="dxa"/>
            <w:vAlign w:val="bottom"/>
            <w:tcBorders>
              <w:bottom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1140" w:type="dxa"/>
            <w:vAlign w:val="bottom"/>
            <w:tcBorders>
              <w:bottom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r>
      <w:tr>
        <w:trPr>
          <w:trHeight w:val="213"/>
        </w:trPr>
        <w:tc>
          <w:tcPr>
            <w:tcW w:w="3200" w:type="dxa"/>
            <w:vAlign w:val="bottom"/>
          </w:tcPr>
          <w:p>
            <w:pPr>
              <w:ind w:left="20"/>
              <w:spacing w:after="0"/>
              <w:rPr>
                <w:sz w:val="20"/>
                <w:szCs w:val="20"/>
                <w:color w:val="auto"/>
              </w:rPr>
            </w:pPr>
            <w:r>
              <w:rPr>
                <w:rFonts w:ascii="Arial" w:cs="Arial" w:eastAsia="Arial" w:hAnsi="Arial"/>
                <w:sz w:val="17"/>
                <w:szCs w:val="17"/>
                <w:b w:val="1"/>
                <w:bCs w:val="1"/>
                <w:color w:val="auto"/>
              </w:rPr>
              <w:t>Income (loss) before income taxes</w:t>
            </w: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ind w:right="134"/>
              <w:spacing w:after="0"/>
              <w:rPr>
                <w:sz w:val="20"/>
                <w:szCs w:val="20"/>
                <w:color w:val="auto"/>
              </w:rPr>
            </w:pPr>
            <w:r>
              <w:rPr>
                <w:rFonts w:ascii="Arial" w:cs="Arial" w:eastAsia="Arial" w:hAnsi="Arial"/>
                <w:sz w:val="17"/>
                <w:szCs w:val="17"/>
                <w:color w:val="auto"/>
              </w:rPr>
              <w:t>38.6</w:t>
            </w:r>
          </w:p>
        </w:tc>
        <w:tc>
          <w:tcPr>
            <w:tcW w:w="100" w:type="dxa"/>
            <w:vAlign w:val="bottom"/>
          </w:tcPr>
          <w:p>
            <w:pPr>
              <w:spacing w:after="0"/>
              <w:rPr>
                <w:sz w:val="18"/>
                <w:szCs w:val="18"/>
                <w:color w:val="auto"/>
              </w:rPr>
            </w:pPr>
          </w:p>
        </w:tc>
        <w:tc>
          <w:tcPr>
            <w:tcW w:w="22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1180" w:type="dxa"/>
            <w:vAlign w:val="bottom"/>
          </w:tcPr>
          <w:p>
            <w:pPr>
              <w:jc w:val="right"/>
              <w:ind w:right="154"/>
              <w:spacing w:after="0"/>
              <w:rPr>
                <w:sz w:val="20"/>
                <w:szCs w:val="20"/>
                <w:color w:val="auto"/>
              </w:rPr>
            </w:pPr>
            <w:r>
              <w:rPr>
                <w:rFonts w:ascii="Arial" w:cs="Arial" w:eastAsia="Arial" w:hAnsi="Arial"/>
                <w:sz w:val="17"/>
                <w:szCs w:val="17"/>
                <w:color w:val="auto"/>
              </w:rPr>
              <w:t>78.8</w:t>
            </w:r>
          </w:p>
        </w:tc>
        <w:tc>
          <w:tcPr>
            <w:tcW w:w="1440" w:type="dxa"/>
            <w:vAlign w:val="bottom"/>
            <w:gridSpan w:val="4"/>
          </w:tcPr>
          <w:p>
            <w:pPr>
              <w:jc w:val="right"/>
              <w:ind w:right="140"/>
              <w:spacing w:after="0"/>
              <w:rPr>
                <w:sz w:val="20"/>
                <w:szCs w:val="20"/>
                <w:color w:val="auto"/>
              </w:rPr>
            </w:pPr>
            <w:r>
              <w:rPr>
                <w:rFonts w:ascii="Arial" w:cs="Arial" w:eastAsia="Arial" w:hAnsi="Arial"/>
                <w:sz w:val="17"/>
                <w:szCs w:val="17"/>
                <w:color w:val="auto"/>
              </w:rPr>
              <w:t>(51)%  $</w:t>
            </w:r>
          </w:p>
        </w:tc>
        <w:tc>
          <w:tcPr>
            <w:tcW w:w="1140" w:type="dxa"/>
            <w:vAlign w:val="bottom"/>
          </w:tcPr>
          <w:p>
            <w:pPr>
              <w:jc w:val="right"/>
              <w:ind w:right="134"/>
              <w:spacing w:after="0"/>
              <w:rPr>
                <w:sz w:val="20"/>
                <w:szCs w:val="20"/>
                <w:color w:val="auto"/>
              </w:rPr>
            </w:pPr>
            <w:r>
              <w:rPr>
                <w:rFonts w:ascii="Arial" w:cs="Arial" w:eastAsia="Arial" w:hAnsi="Arial"/>
                <w:sz w:val="17"/>
                <w:szCs w:val="17"/>
                <w:color w:val="auto"/>
              </w:rPr>
              <w:t>117.4</w:t>
            </w:r>
          </w:p>
        </w:tc>
        <w:tc>
          <w:tcPr>
            <w:tcW w:w="120" w:type="dxa"/>
            <w:vAlign w:val="bottom"/>
          </w:tcPr>
          <w:p>
            <w:pPr>
              <w:spacing w:after="0"/>
              <w:rPr>
                <w:sz w:val="18"/>
                <w:szCs w:val="18"/>
                <w:color w:val="auto"/>
              </w:rPr>
            </w:pP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ind w:right="134"/>
              <w:spacing w:after="0"/>
              <w:rPr>
                <w:sz w:val="20"/>
                <w:szCs w:val="20"/>
                <w:color w:val="auto"/>
              </w:rPr>
            </w:pPr>
            <w:r>
              <w:rPr>
                <w:rFonts w:ascii="Arial" w:cs="Arial" w:eastAsia="Arial" w:hAnsi="Arial"/>
                <w:sz w:val="17"/>
                <w:szCs w:val="17"/>
                <w:color w:val="auto"/>
              </w:rPr>
              <w:t>5.9</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n/m</w:t>
            </w:r>
          </w:p>
        </w:tc>
      </w:tr>
      <w:tr>
        <w:trPr>
          <w:trHeight w:val="20"/>
        </w:trPr>
        <w:tc>
          <w:tcPr>
            <w:tcW w:w="32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r>
      <w:tr>
        <w:trPr>
          <w:trHeight w:val="185"/>
        </w:trPr>
        <w:tc>
          <w:tcPr>
            <w:tcW w:w="3200" w:type="dxa"/>
            <w:vAlign w:val="bottom"/>
            <w:shd w:val="clear" w:color="auto" w:fill="CCEEFF"/>
          </w:tcPr>
          <w:p>
            <w:pPr>
              <w:ind w:left="20"/>
              <w:spacing w:after="0" w:line="185" w:lineRule="exact"/>
              <w:rPr>
                <w:sz w:val="20"/>
                <w:szCs w:val="20"/>
                <w:color w:val="auto"/>
              </w:rPr>
            </w:pPr>
            <w:r>
              <w:rPr>
                <w:rFonts w:ascii="Arial" w:cs="Arial" w:eastAsia="Arial" w:hAnsi="Arial"/>
                <w:sz w:val="17"/>
                <w:szCs w:val="17"/>
                <w:color w:val="auto"/>
              </w:rPr>
              <w:t>n/m: not meaningful</w:t>
            </w: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7" w:right="33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219"/>
        </w:trPr>
        <w:tc>
          <w:tcPr>
            <w:tcW w:w="4480" w:type="dxa"/>
            <w:vAlign w:val="bottom"/>
          </w:tcPr>
          <w:p>
            <w:pPr>
              <w:spacing w:after="0"/>
              <w:rPr>
                <w:sz w:val="20"/>
                <w:szCs w:val="20"/>
                <w:color w:val="auto"/>
              </w:rPr>
            </w:pPr>
            <w:r>
              <w:rPr>
                <w:rFonts w:ascii="Arial" w:cs="Arial" w:eastAsia="Arial" w:hAnsi="Arial"/>
                <w:sz w:val="17"/>
                <w:szCs w:val="17"/>
                <w:color w:val="auto"/>
              </w:rPr>
              <w:t>The following table provides selected operating statistics:</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362"/>
        </w:trPr>
        <w:tc>
          <w:tcPr>
            <w:tcW w:w="4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gridSpan w:val="2"/>
          </w:tcPr>
          <w:p>
            <w:pPr>
              <w:ind w:left="140"/>
              <w:spacing w:after="0"/>
              <w:rPr>
                <w:sz w:val="20"/>
                <w:szCs w:val="20"/>
                <w:color w:val="auto"/>
              </w:rPr>
            </w:pPr>
            <w:r>
              <w:rPr>
                <w:rFonts w:ascii="Arial" w:cs="Arial" w:eastAsia="Arial" w:hAnsi="Arial"/>
                <w:sz w:val="17"/>
                <w:szCs w:val="17"/>
                <w:b w:val="1"/>
                <w:bCs w:val="1"/>
                <w:color w:val="auto"/>
              </w:rPr>
              <w:t>June 30,</w:t>
            </w:r>
          </w:p>
        </w:tc>
        <w:tc>
          <w:tcPr>
            <w:tcW w:w="220" w:type="dxa"/>
            <w:vAlign w:val="bottom"/>
          </w:tcPr>
          <w:p>
            <w:pPr>
              <w:spacing w:after="0"/>
              <w:rPr>
                <w:sz w:val="24"/>
                <w:szCs w:val="24"/>
                <w:color w:val="auto"/>
              </w:rPr>
            </w:pPr>
          </w:p>
        </w:tc>
        <w:tc>
          <w:tcPr>
            <w:tcW w:w="1180" w:type="dxa"/>
            <w:vAlign w:val="bottom"/>
          </w:tcPr>
          <w:p>
            <w:pPr>
              <w:jc w:val="right"/>
              <w:ind w:right="234"/>
              <w:spacing w:after="0"/>
              <w:rPr>
                <w:sz w:val="20"/>
                <w:szCs w:val="20"/>
                <w:color w:val="auto"/>
              </w:rPr>
            </w:pPr>
            <w:r>
              <w:rPr>
                <w:rFonts w:ascii="Arial" w:cs="Arial" w:eastAsia="Arial" w:hAnsi="Arial"/>
                <w:sz w:val="17"/>
                <w:szCs w:val="17"/>
                <w:b w:val="1"/>
                <w:bCs w:val="1"/>
                <w:color w:val="auto"/>
              </w:rPr>
              <w:t>March 31,</w:t>
            </w: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jc w:val="right"/>
              <w:ind w:right="294"/>
              <w:spacing w:after="0"/>
              <w:rPr>
                <w:sz w:val="20"/>
                <w:szCs w:val="20"/>
                <w:color w:val="auto"/>
              </w:rPr>
            </w:pPr>
            <w:r>
              <w:rPr>
                <w:rFonts w:ascii="Arial" w:cs="Arial" w:eastAsia="Arial" w:hAnsi="Arial"/>
                <w:sz w:val="17"/>
                <w:szCs w:val="17"/>
                <w:b w:val="1"/>
                <w:bCs w:val="1"/>
                <w:color w:val="auto"/>
              </w:rPr>
              <w:t>June 30,</w:t>
            </w: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45"/>
        </w:trPr>
        <w:tc>
          <w:tcPr>
            <w:tcW w:w="4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434"/>
              <w:spacing w:after="0"/>
              <w:rPr>
                <w:sz w:val="20"/>
                <w:szCs w:val="20"/>
                <w:color w:val="auto"/>
              </w:rPr>
            </w:pPr>
            <w:r>
              <w:rPr>
                <w:rFonts w:ascii="Arial" w:cs="Arial" w:eastAsia="Arial" w:hAnsi="Arial"/>
                <w:sz w:val="17"/>
                <w:szCs w:val="17"/>
                <w:b w:val="1"/>
                <w:bCs w:val="1"/>
                <w:color w:val="auto"/>
              </w:rPr>
              <w:t>2022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jc w:val="right"/>
              <w:ind w:right="434"/>
              <w:spacing w:after="0"/>
              <w:rPr>
                <w:sz w:val="20"/>
                <w:szCs w:val="20"/>
                <w:color w:val="auto"/>
              </w:rPr>
            </w:pPr>
            <w:r>
              <w:rPr>
                <w:rFonts w:ascii="Arial" w:cs="Arial" w:eastAsia="Arial" w:hAnsi="Arial"/>
                <w:sz w:val="17"/>
                <w:szCs w:val="17"/>
                <w:b w:val="1"/>
                <w:bCs w:val="1"/>
                <w:color w:val="auto"/>
              </w:rPr>
              <w:t>2022</w:t>
            </w:r>
          </w:p>
        </w:tc>
        <w:tc>
          <w:tcPr>
            <w:tcW w:w="80" w:type="dxa"/>
            <w:vAlign w:val="bottom"/>
          </w:tcPr>
          <w:p>
            <w:pPr>
              <w:spacing w:after="0"/>
              <w:rPr>
                <w:sz w:val="21"/>
                <w:szCs w:val="21"/>
                <w:color w:val="auto"/>
              </w:rPr>
            </w:pPr>
          </w:p>
        </w:tc>
        <w:tc>
          <w:tcPr>
            <w:tcW w:w="1200" w:type="dxa"/>
            <w:vAlign w:val="bottom"/>
            <w:gridSpan w:val="2"/>
          </w:tcPr>
          <w:p>
            <w:pPr>
              <w:ind w:left="180"/>
              <w:spacing w:after="0"/>
              <w:rPr>
                <w:sz w:val="20"/>
                <w:szCs w:val="20"/>
                <w:color w:val="auto"/>
              </w:rPr>
            </w:pPr>
            <w:r>
              <w:rPr>
                <w:rFonts w:ascii="Arial" w:cs="Arial" w:eastAsia="Arial" w:hAnsi="Arial"/>
                <w:sz w:val="17"/>
                <w:szCs w:val="17"/>
                <w:b w:val="1"/>
                <w:bCs w:val="1"/>
                <w:color w:val="auto"/>
              </w:rPr>
              <w:t>% Change</w:t>
            </w:r>
          </w:p>
        </w:tc>
        <w:tc>
          <w:tcPr>
            <w:tcW w:w="260" w:type="dxa"/>
            <w:vAlign w:val="bottom"/>
          </w:tcPr>
          <w:p>
            <w:pPr>
              <w:spacing w:after="0"/>
              <w:rPr>
                <w:sz w:val="21"/>
                <w:szCs w:val="21"/>
                <w:color w:val="auto"/>
              </w:rPr>
            </w:pPr>
          </w:p>
        </w:tc>
        <w:tc>
          <w:tcPr>
            <w:tcW w:w="1140" w:type="dxa"/>
            <w:vAlign w:val="bottom"/>
          </w:tcPr>
          <w:p>
            <w:pPr>
              <w:jc w:val="right"/>
              <w:ind w:right="434"/>
              <w:spacing w:after="0"/>
              <w:rPr>
                <w:sz w:val="20"/>
                <w:szCs w:val="20"/>
                <w:color w:val="auto"/>
              </w:rPr>
            </w:pPr>
            <w:r>
              <w:rPr>
                <w:rFonts w:ascii="Arial" w:cs="Arial" w:eastAsia="Arial" w:hAnsi="Arial"/>
                <w:sz w:val="17"/>
                <w:szCs w:val="17"/>
                <w:b w:val="1"/>
                <w:bCs w:val="1"/>
                <w:color w:val="auto"/>
              </w:rPr>
              <w:t>2021</w:t>
            </w:r>
          </w:p>
        </w:tc>
        <w:tc>
          <w:tcPr>
            <w:tcW w:w="100" w:type="dxa"/>
            <w:vAlign w:val="bottom"/>
          </w:tcPr>
          <w:p>
            <w:pPr>
              <w:spacing w:after="0"/>
              <w:rPr>
                <w:sz w:val="21"/>
                <w:szCs w:val="21"/>
                <w:color w:val="auto"/>
              </w:rPr>
            </w:pPr>
          </w:p>
        </w:tc>
        <w:tc>
          <w:tcPr>
            <w:tcW w:w="1100" w:type="dxa"/>
            <w:vAlign w:val="bottom"/>
          </w:tcPr>
          <w:p>
            <w:pPr>
              <w:jc w:val="right"/>
              <w:ind w:right="74"/>
              <w:spacing w:after="0"/>
              <w:rPr>
                <w:sz w:val="20"/>
                <w:szCs w:val="20"/>
                <w:color w:val="auto"/>
              </w:rPr>
            </w:pPr>
            <w:r>
              <w:rPr>
                <w:rFonts w:ascii="Arial" w:cs="Arial" w:eastAsia="Arial" w:hAnsi="Arial"/>
                <w:sz w:val="17"/>
                <w:szCs w:val="17"/>
                <w:b w:val="1"/>
                <w:bCs w:val="1"/>
                <w:color w:val="auto"/>
              </w:rPr>
              <w:t>% Change</w:t>
            </w:r>
          </w:p>
        </w:tc>
      </w:tr>
      <w:tr>
        <w:trPr>
          <w:trHeight w:val="200"/>
        </w:trPr>
        <w:tc>
          <w:tcPr>
            <w:tcW w:w="4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Assets Serviced</w:t>
            </w:r>
          </w:p>
        </w:tc>
        <w:tc>
          <w:tcPr>
            <w:tcW w:w="2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r>
      <w:tr>
        <w:trPr>
          <w:trHeight w:val="220"/>
        </w:trPr>
        <w:tc>
          <w:tcPr>
            <w:tcW w:w="4480" w:type="dxa"/>
            <w:vAlign w:val="bottom"/>
          </w:tcPr>
          <w:p>
            <w:pPr>
              <w:ind w:left="140"/>
              <w:spacing w:after="0"/>
              <w:rPr>
                <w:sz w:val="20"/>
                <w:szCs w:val="20"/>
                <w:color w:val="auto"/>
              </w:rPr>
            </w:pPr>
            <w:r>
              <w:rPr>
                <w:rFonts w:ascii="Arial" w:cs="Arial" w:eastAsia="Arial" w:hAnsi="Arial"/>
                <w:sz w:val="17"/>
                <w:szCs w:val="17"/>
                <w:i w:val="1"/>
                <w:iCs w:val="1"/>
                <w:color w:val="auto"/>
              </w:rPr>
              <w:t>Unpaid principal balance (UPB) in billions:</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0"/>
        </w:trPr>
        <w:tc>
          <w:tcPr>
            <w:tcW w:w="44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Performing loans (1)</w:t>
            </w: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273.4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259.9</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5 %</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228.3</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20 %</w:t>
            </w:r>
          </w:p>
        </w:tc>
      </w:tr>
      <w:tr>
        <w:trPr>
          <w:trHeight w:val="220"/>
        </w:trPr>
        <w:tc>
          <w:tcPr>
            <w:tcW w:w="4480" w:type="dxa"/>
            <w:vAlign w:val="bottom"/>
          </w:tcPr>
          <w:p>
            <w:pPr>
              <w:ind w:left="220"/>
              <w:spacing w:after="0"/>
              <w:rPr>
                <w:sz w:val="20"/>
                <w:szCs w:val="20"/>
                <w:color w:val="auto"/>
              </w:rPr>
            </w:pPr>
            <w:r>
              <w:rPr>
                <w:rFonts w:ascii="Arial" w:cs="Arial" w:eastAsia="Arial" w:hAnsi="Arial"/>
                <w:sz w:val="17"/>
                <w:szCs w:val="17"/>
                <w:color w:val="auto"/>
              </w:rPr>
              <w:t>Non-performing loans</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14.2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14.7</w:t>
            </w:r>
          </w:p>
        </w:tc>
        <w:tc>
          <w:tcPr>
            <w:tcW w:w="1200" w:type="dxa"/>
            <w:vAlign w:val="bottom"/>
            <w:gridSpan w:val="2"/>
          </w:tcPr>
          <w:p>
            <w:pPr>
              <w:jc w:val="right"/>
              <w:ind w:right="94"/>
              <w:spacing w:after="0"/>
              <w:rPr>
                <w:sz w:val="20"/>
                <w:szCs w:val="20"/>
                <w:color w:val="auto"/>
              </w:rPr>
            </w:pPr>
            <w:r>
              <w:rPr>
                <w:rFonts w:ascii="Arial" w:cs="Arial" w:eastAsia="Arial" w:hAnsi="Arial"/>
                <w:sz w:val="17"/>
                <w:szCs w:val="17"/>
                <w:color w:val="auto"/>
              </w:rPr>
              <w:t>(3)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8.3</w:t>
            </w:r>
          </w:p>
        </w:tc>
        <w:tc>
          <w:tcPr>
            <w:tcW w:w="1200" w:type="dxa"/>
            <w:vAlign w:val="bottom"/>
            <w:gridSpan w:val="2"/>
          </w:tcPr>
          <w:p>
            <w:pPr>
              <w:jc w:val="right"/>
              <w:ind w:right="114"/>
              <w:spacing w:after="0"/>
              <w:rPr>
                <w:sz w:val="20"/>
                <w:szCs w:val="20"/>
                <w:color w:val="auto"/>
              </w:rPr>
            </w:pPr>
            <w:r>
              <w:rPr>
                <w:rFonts w:ascii="Arial" w:cs="Arial" w:eastAsia="Arial" w:hAnsi="Arial"/>
                <w:sz w:val="17"/>
                <w:szCs w:val="17"/>
                <w:color w:val="auto"/>
              </w:rPr>
              <w:t>71</w:t>
            </w:r>
          </w:p>
        </w:tc>
      </w:tr>
      <w:tr>
        <w:trPr>
          <w:trHeight w:val="220"/>
        </w:trPr>
        <w:tc>
          <w:tcPr>
            <w:tcW w:w="44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Non-performing real estate</w:t>
            </w: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0.7</w:t>
            </w:r>
          </w:p>
        </w:tc>
        <w:tc>
          <w:tcPr>
            <w:tcW w:w="1200" w:type="dxa"/>
            <w:vAlign w:val="bottom"/>
            <w:gridSpan w:val="2"/>
            <w:shd w:val="clear" w:color="auto" w:fill="CCEEFF"/>
          </w:tcPr>
          <w:p>
            <w:pPr>
              <w:jc w:val="right"/>
              <w:ind w:right="94"/>
              <w:spacing w:after="0"/>
              <w:rPr>
                <w:sz w:val="20"/>
                <w:szCs w:val="20"/>
                <w:color w:val="auto"/>
              </w:rPr>
            </w:pPr>
            <w:r>
              <w:rPr>
                <w:rFonts w:ascii="Arial" w:cs="Arial" w:eastAsia="Arial" w:hAnsi="Arial"/>
                <w:sz w:val="17"/>
                <w:szCs w:val="17"/>
                <w:color w:val="auto"/>
              </w:rPr>
              <w:t>(6)</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0.7</w:t>
            </w:r>
          </w:p>
        </w:tc>
        <w:tc>
          <w:tcPr>
            <w:tcW w:w="120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(8)</w:t>
            </w:r>
          </w:p>
        </w:tc>
      </w:tr>
      <w:tr>
        <w:trPr>
          <w:trHeight w:val="213"/>
        </w:trPr>
        <w:tc>
          <w:tcPr>
            <w:tcW w:w="4480" w:type="dxa"/>
            <w:vAlign w:val="bottom"/>
          </w:tcPr>
          <w:p>
            <w:pPr>
              <w:ind w:left="340"/>
              <w:spacing w:after="0"/>
              <w:rPr>
                <w:sz w:val="20"/>
                <w:szCs w:val="20"/>
                <w:color w:val="auto"/>
              </w:rPr>
            </w:pPr>
            <w:r>
              <w:rPr>
                <w:rFonts w:ascii="Arial" w:cs="Arial" w:eastAsia="Arial" w:hAnsi="Arial"/>
                <w:sz w:val="17"/>
                <w:szCs w:val="17"/>
                <w:color w:val="auto"/>
              </w:rPr>
              <w:t>Total</w:t>
            </w:r>
          </w:p>
        </w:tc>
        <w:tc>
          <w:tcPr>
            <w:tcW w:w="2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288.3</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275.3</w:t>
            </w:r>
          </w:p>
        </w:tc>
        <w:tc>
          <w:tcPr>
            <w:tcW w:w="1200" w:type="dxa"/>
            <w:vAlign w:val="bottom"/>
            <w:gridSpan w:val="2"/>
          </w:tcPr>
          <w:p>
            <w:pPr>
              <w:jc w:val="right"/>
              <w:ind w:right="134"/>
              <w:spacing w:after="0"/>
              <w:rPr>
                <w:sz w:val="20"/>
                <w:szCs w:val="20"/>
                <w:color w:val="auto"/>
              </w:rPr>
            </w:pPr>
            <w:r>
              <w:rPr>
                <w:rFonts w:ascii="Arial" w:cs="Arial" w:eastAsia="Arial" w:hAnsi="Arial"/>
                <w:sz w:val="17"/>
                <w:szCs w:val="17"/>
                <w:color w:val="auto"/>
              </w:rPr>
              <w:t>5</w:t>
            </w: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237.3</w:t>
            </w:r>
          </w:p>
        </w:tc>
        <w:tc>
          <w:tcPr>
            <w:tcW w:w="1200" w:type="dxa"/>
            <w:vAlign w:val="bottom"/>
            <w:gridSpan w:val="2"/>
          </w:tcPr>
          <w:p>
            <w:pPr>
              <w:jc w:val="right"/>
              <w:spacing w:after="0"/>
              <w:rPr>
                <w:sz w:val="20"/>
                <w:szCs w:val="20"/>
                <w:color w:val="auto"/>
              </w:rPr>
            </w:pPr>
            <w:r>
              <w:rPr>
                <w:rFonts w:ascii="Arial" w:cs="Arial" w:eastAsia="Arial" w:hAnsi="Arial"/>
                <w:sz w:val="17"/>
                <w:szCs w:val="17"/>
                <w:color w:val="auto"/>
              </w:rPr>
              <w:t>22 %</w:t>
            </w:r>
          </w:p>
        </w:tc>
      </w:tr>
      <w:tr>
        <w:trPr>
          <w:trHeight w:val="20"/>
        </w:trPr>
        <w:tc>
          <w:tcPr>
            <w:tcW w:w="44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r>
      <w:tr>
        <w:trPr>
          <w:trHeight w:val="121"/>
        </w:trPr>
        <w:tc>
          <w:tcPr>
            <w:tcW w:w="44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r>
      <w:tr>
        <w:trPr>
          <w:trHeight w:val="220"/>
        </w:trPr>
        <w:tc>
          <w:tcPr>
            <w:tcW w:w="4480" w:type="dxa"/>
            <w:vAlign w:val="bottom"/>
          </w:tcPr>
          <w:p>
            <w:pPr>
              <w:ind w:left="220"/>
              <w:spacing w:after="0"/>
              <w:rPr>
                <w:sz w:val="20"/>
                <w:szCs w:val="20"/>
                <w:color w:val="auto"/>
              </w:rPr>
            </w:pPr>
            <w:r>
              <w:rPr>
                <w:rFonts w:ascii="Arial" w:cs="Arial" w:eastAsia="Arial" w:hAnsi="Arial"/>
                <w:sz w:val="17"/>
                <w:szCs w:val="17"/>
                <w:color w:val="auto"/>
              </w:rPr>
              <w:t>Conventional loans (2)</w:t>
            </w: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185.5</w:t>
            </w:r>
          </w:p>
        </w:tc>
        <w:tc>
          <w:tcPr>
            <w:tcW w:w="10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173.4</w:t>
            </w:r>
          </w:p>
        </w:tc>
        <w:tc>
          <w:tcPr>
            <w:tcW w:w="1200" w:type="dxa"/>
            <w:vAlign w:val="bottom"/>
            <w:gridSpan w:val="2"/>
          </w:tcPr>
          <w:p>
            <w:pPr>
              <w:jc w:val="right"/>
              <w:spacing w:after="0"/>
              <w:rPr>
                <w:sz w:val="20"/>
                <w:szCs w:val="20"/>
                <w:color w:val="auto"/>
              </w:rPr>
            </w:pPr>
            <w:r>
              <w:rPr>
                <w:rFonts w:ascii="Arial" w:cs="Arial" w:eastAsia="Arial" w:hAnsi="Arial"/>
                <w:sz w:val="17"/>
                <w:szCs w:val="17"/>
                <w:color w:val="auto"/>
              </w:rPr>
              <w:t>7 %</w:t>
            </w:r>
          </w:p>
        </w:tc>
        <w:tc>
          <w:tcPr>
            <w:tcW w:w="80" w:type="dxa"/>
            <w:vAlign w:val="bottom"/>
          </w:tcPr>
          <w:p>
            <w:pPr>
              <w:spacing w:after="0"/>
              <w:rPr>
                <w:sz w:val="19"/>
                <w:szCs w:val="19"/>
                <w:color w:val="auto"/>
              </w:rPr>
            </w:pPr>
          </w:p>
        </w:tc>
        <w:tc>
          <w:tcPr>
            <w:tcW w:w="260" w:type="dxa"/>
            <w:vAlign w:val="bottom"/>
          </w:tcPr>
          <w:p>
            <w:pPr>
              <w:jc w:val="right"/>
              <w:ind w:right="54"/>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133.7</w:t>
            </w:r>
          </w:p>
        </w:tc>
        <w:tc>
          <w:tcPr>
            <w:tcW w:w="1200" w:type="dxa"/>
            <w:vAlign w:val="bottom"/>
            <w:gridSpan w:val="2"/>
          </w:tcPr>
          <w:p>
            <w:pPr>
              <w:jc w:val="right"/>
              <w:spacing w:after="0"/>
              <w:rPr>
                <w:sz w:val="20"/>
                <w:szCs w:val="20"/>
                <w:color w:val="auto"/>
              </w:rPr>
            </w:pPr>
            <w:r>
              <w:rPr>
                <w:rFonts w:ascii="Arial" w:cs="Arial" w:eastAsia="Arial" w:hAnsi="Arial"/>
                <w:sz w:val="17"/>
                <w:szCs w:val="17"/>
                <w:color w:val="auto"/>
              </w:rPr>
              <w:t>39 %</w:t>
            </w:r>
          </w:p>
        </w:tc>
      </w:tr>
      <w:tr>
        <w:trPr>
          <w:trHeight w:val="220"/>
        </w:trPr>
        <w:tc>
          <w:tcPr>
            <w:tcW w:w="44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Government-insured loans</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27.6</w:t>
            </w:r>
          </w:p>
        </w:tc>
        <w:tc>
          <w:tcPr>
            <w:tcW w:w="1200" w:type="dxa"/>
            <w:vAlign w:val="bottom"/>
            <w:gridSpan w:val="2"/>
            <w:shd w:val="clear" w:color="auto" w:fill="CCEEFF"/>
          </w:tcPr>
          <w:p>
            <w:pPr>
              <w:jc w:val="right"/>
              <w:ind w:right="134"/>
              <w:spacing w:after="0"/>
              <w:rPr>
                <w:sz w:val="20"/>
                <w:szCs w:val="20"/>
                <w:color w:val="auto"/>
              </w:rPr>
            </w:pPr>
            <w:r>
              <w:rPr>
                <w:rFonts w:ascii="Arial" w:cs="Arial" w:eastAsia="Arial" w:hAnsi="Arial"/>
                <w:sz w:val="17"/>
                <w:szCs w:val="17"/>
                <w:color w:val="auto"/>
              </w:rPr>
              <w:t>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31.9</w:t>
            </w:r>
          </w:p>
        </w:tc>
        <w:tc>
          <w:tcPr>
            <w:tcW w:w="120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(8)</w:t>
            </w:r>
          </w:p>
        </w:tc>
      </w:tr>
      <w:tr>
        <w:trPr>
          <w:trHeight w:val="220"/>
        </w:trPr>
        <w:tc>
          <w:tcPr>
            <w:tcW w:w="448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Non-Agency loans</w:t>
            </w: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74.4</w:t>
            </w:r>
          </w:p>
        </w:tc>
        <w:tc>
          <w:tcPr>
            <w:tcW w:w="1200" w:type="dxa"/>
            <w:vAlign w:val="bottom"/>
            <w:tcBorders>
              <w:bottom w:val="single" w:sz="8" w:color="CCEEFF"/>
            </w:tcBorders>
            <w:gridSpan w:val="2"/>
          </w:tcPr>
          <w:p>
            <w:pPr>
              <w:jc w:val="right"/>
              <w:ind w:right="94"/>
              <w:spacing w:after="0"/>
              <w:rPr>
                <w:sz w:val="20"/>
                <w:szCs w:val="20"/>
                <w:color w:val="auto"/>
              </w:rPr>
            </w:pPr>
            <w:r>
              <w:rPr>
                <w:rFonts w:ascii="Arial" w:cs="Arial" w:eastAsia="Arial" w:hAnsi="Arial"/>
                <w:sz w:val="17"/>
                <w:szCs w:val="17"/>
                <w:color w:val="auto"/>
              </w:rPr>
              <w:t>(1)</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71.7</w:t>
            </w:r>
          </w:p>
        </w:tc>
        <w:tc>
          <w:tcPr>
            <w:tcW w:w="1200" w:type="dxa"/>
            <w:vAlign w:val="bottom"/>
            <w:tcBorders>
              <w:bottom w:val="single" w:sz="8" w:color="CCEEFF"/>
            </w:tcBorders>
            <w:gridSpan w:val="2"/>
          </w:tcPr>
          <w:p>
            <w:pPr>
              <w:jc w:val="right"/>
              <w:ind w:right="114"/>
              <w:spacing w:after="0"/>
              <w:rPr>
                <w:sz w:val="20"/>
                <w:szCs w:val="20"/>
                <w:color w:val="auto"/>
              </w:rPr>
            </w:pPr>
            <w:r>
              <w:rPr>
                <w:rFonts w:ascii="Arial" w:cs="Arial" w:eastAsia="Arial" w:hAnsi="Arial"/>
                <w:sz w:val="17"/>
                <w:szCs w:val="17"/>
                <w:color w:val="auto"/>
              </w:rPr>
              <w:t>2</w:t>
            </w:r>
          </w:p>
        </w:tc>
      </w:tr>
      <w:tr>
        <w:trPr>
          <w:trHeight w:val="238"/>
        </w:trPr>
        <w:tc>
          <w:tcPr>
            <w:tcW w:w="44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Total</w:t>
            </w: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288.3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275.3</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5 %</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237.3</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22 %</w:t>
            </w: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r>
      <w:tr>
        <w:trPr>
          <w:trHeight w:val="101"/>
        </w:trPr>
        <w:tc>
          <w:tcPr>
            <w:tcW w:w="4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r>
      <w:tr>
        <w:trPr>
          <w:trHeight w:val="220"/>
        </w:trPr>
        <w:tc>
          <w:tcPr>
            <w:tcW w:w="44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Servicing portfolio (3)</w:t>
            </w: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123.9</w:t>
            </w:r>
          </w:p>
        </w:tc>
        <w:tc>
          <w:tcPr>
            <w:tcW w:w="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 %</w:t>
            </w:r>
          </w:p>
        </w:tc>
        <w:tc>
          <w:tcPr>
            <w:tcW w:w="26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156.8</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(21)%</w:t>
            </w:r>
          </w:p>
        </w:tc>
      </w:tr>
      <w:tr>
        <w:trPr>
          <w:trHeight w:val="220"/>
        </w:trPr>
        <w:tc>
          <w:tcPr>
            <w:tcW w:w="4480" w:type="dxa"/>
            <w:vAlign w:val="bottom"/>
          </w:tcPr>
          <w:p>
            <w:pPr>
              <w:ind w:left="220"/>
              <w:spacing w:after="0"/>
              <w:rPr>
                <w:sz w:val="20"/>
                <w:szCs w:val="20"/>
                <w:color w:val="auto"/>
              </w:rPr>
            </w:pPr>
            <w:r>
              <w:rPr>
                <w:rFonts w:ascii="Arial" w:cs="Arial" w:eastAsia="Arial" w:hAnsi="Arial"/>
                <w:sz w:val="17"/>
                <w:szCs w:val="17"/>
                <w:color w:val="auto"/>
              </w:rPr>
              <w:t>Subservicing portfolio</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0"/>
        </w:trPr>
        <w:tc>
          <w:tcPr>
            <w:tcW w:w="44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Subservicing - forward</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40.4</w:t>
            </w:r>
          </w:p>
        </w:tc>
        <w:tc>
          <w:tcPr>
            <w:tcW w:w="1200" w:type="dxa"/>
            <w:vAlign w:val="bottom"/>
            <w:gridSpan w:val="2"/>
            <w:shd w:val="clear" w:color="auto" w:fill="CCEEFF"/>
          </w:tcPr>
          <w:p>
            <w:pPr>
              <w:jc w:val="right"/>
              <w:ind w:right="134"/>
              <w:spacing w:after="0"/>
              <w:rPr>
                <w:sz w:val="20"/>
                <w:szCs w:val="20"/>
                <w:color w:val="auto"/>
              </w:rPr>
            </w:pPr>
            <w:r>
              <w:rPr>
                <w:rFonts w:ascii="Arial" w:cs="Arial" w:eastAsia="Arial" w:hAnsi="Arial"/>
                <w:sz w:val="17"/>
                <w:szCs w:val="17"/>
                <w:color w:val="auto"/>
              </w:rPr>
              <w:t>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19.2</w:t>
            </w:r>
          </w:p>
        </w:tc>
        <w:tc>
          <w:tcPr>
            <w:tcW w:w="1200" w:type="dxa"/>
            <w:vAlign w:val="bottom"/>
            <w:gridSpan w:val="2"/>
            <w:shd w:val="clear" w:color="auto" w:fill="CCEEFF"/>
          </w:tcPr>
          <w:p>
            <w:pPr>
              <w:jc w:val="right"/>
              <w:ind w:right="114"/>
              <w:spacing w:after="0"/>
              <w:rPr>
                <w:sz w:val="20"/>
                <w:szCs w:val="20"/>
                <w:color w:val="auto"/>
              </w:rPr>
            </w:pPr>
            <w:r>
              <w:rPr>
                <w:rFonts w:ascii="Arial" w:cs="Arial" w:eastAsia="Arial" w:hAnsi="Arial"/>
                <w:sz w:val="17"/>
                <w:szCs w:val="17"/>
                <w:color w:val="auto"/>
              </w:rPr>
              <w:t>120</w:t>
            </w:r>
          </w:p>
        </w:tc>
      </w:tr>
      <w:tr>
        <w:trPr>
          <w:trHeight w:val="220"/>
        </w:trPr>
        <w:tc>
          <w:tcPr>
            <w:tcW w:w="4480" w:type="dxa"/>
            <w:vAlign w:val="bottom"/>
            <w:tcBorders>
              <w:bottom w:val="single" w:sz="8" w:color="CCEEFF"/>
            </w:tcBorders>
          </w:tcPr>
          <w:p>
            <w:pPr>
              <w:ind w:left="320"/>
              <w:spacing w:after="0"/>
              <w:rPr>
                <w:sz w:val="20"/>
                <w:szCs w:val="20"/>
                <w:color w:val="auto"/>
              </w:rPr>
            </w:pPr>
            <w:r>
              <w:rPr>
                <w:rFonts w:ascii="Arial" w:cs="Arial" w:eastAsia="Arial" w:hAnsi="Arial"/>
                <w:sz w:val="17"/>
                <w:szCs w:val="17"/>
                <w:color w:val="auto"/>
              </w:rPr>
              <w:t>Subservicing - reverse</w:t>
            </w: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22.2</w:t>
            </w:r>
          </w:p>
        </w:tc>
        <w:tc>
          <w:tcPr>
            <w:tcW w:w="1200" w:type="dxa"/>
            <w:vAlign w:val="bottom"/>
            <w:tcBorders>
              <w:bottom w:val="single" w:sz="8" w:color="CCEEFF"/>
            </w:tcBorders>
            <w:gridSpan w:val="2"/>
          </w:tcPr>
          <w:p>
            <w:pPr>
              <w:jc w:val="right"/>
              <w:ind w:right="134"/>
              <w:spacing w:after="0"/>
              <w:rPr>
                <w:sz w:val="20"/>
                <w:szCs w:val="20"/>
                <w:color w:val="auto"/>
              </w:rPr>
            </w:pPr>
            <w:r>
              <w:rPr>
                <w:rFonts w:ascii="Arial" w:cs="Arial" w:eastAsia="Arial" w:hAnsi="Arial"/>
                <w:sz w:val="17"/>
                <w:szCs w:val="17"/>
                <w:color w:val="auto"/>
              </w:rPr>
              <w:t>13</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n/m</w:t>
            </w:r>
          </w:p>
        </w:tc>
      </w:tr>
      <w:tr>
        <w:trPr>
          <w:trHeight w:val="213"/>
        </w:trPr>
        <w:tc>
          <w:tcPr>
            <w:tcW w:w="44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Total subservicing</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62.6</w:t>
            </w:r>
          </w:p>
        </w:tc>
        <w:tc>
          <w:tcPr>
            <w:tcW w:w="1200" w:type="dxa"/>
            <w:vAlign w:val="bottom"/>
            <w:gridSpan w:val="2"/>
            <w:shd w:val="clear" w:color="auto" w:fill="CCEEFF"/>
          </w:tcPr>
          <w:p>
            <w:pPr>
              <w:jc w:val="right"/>
              <w:ind w:right="134"/>
              <w:spacing w:after="0"/>
              <w:rPr>
                <w:sz w:val="20"/>
                <w:szCs w:val="20"/>
                <w:color w:val="auto"/>
              </w:rPr>
            </w:pPr>
            <w:r>
              <w:rPr>
                <w:rFonts w:ascii="Arial" w:cs="Arial" w:eastAsia="Arial" w:hAnsi="Arial"/>
                <w:sz w:val="17"/>
                <w:szCs w:val="17"/>
                <w:color w:val="auto"/>
              </w:rPr>
              <w:t>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19.2</w:t>
            </w:r>
          </w:p>
        </w:tc>
        <w:tc>
          <w:tcPr>
            <w:tcW w:w="1200" w:type="dxa"/>
            <w:vAlign w:val="bottom"/>
            <w:gridSpan w:val="2"/>
            <w:shd w:val="clear" w:color="auto" w:fill="CCEEFF"/>
          </w:tcPr>
          <w:p>
            <w:pPr>
              <w:jc w:val="right"/>
              <w:ind w:right="114"/>
              <w:spacing w:after="0"/>
              <w:rPr>
                <w:sz w:val="20"/>
                <w:szCs w:val="20"/>
                <w:color w:val="auto"/>
              </w:rPr>
            </w:pPr>
            <w:r>
              <w:rPr>
                <w:rFonts w:ascii="Arial" w:cs="Arial" w:eastAsia="Arial" w:hAnsi="Arial"/>
                <w:sz w:val="17"/>
                <w:szCs w:val="17"/>
                <w:color w:val="auto"/>
              </w:rPr>
              <w:t>251</w:t>
            </w:r>
          </w:p>
        </w:tc>
      </w:tr>
      <w:tr>
        <w:trPr>
          <w:trHeight w:val="220"/>
        </w:trPr>
        <w:tc>
          <w:tcPr>
            <w:tcW w:w="4480" w:type="dxa"/>
            <w:vAlign w:val="bottom"/>
          </w:tcPr>
          <w:p>
            <w:pPr>
              <w:ind w:left="220"/>
              <w:spacing w:after="0"/>
              <w:rPr>
                <w:sz w:val="20"/>
                <w:szCs w:val="20"/>
                <w:color w:val="auto"/>
              </w:rPr>
            </w:pPr>
            <w:r>
              <w:rPr>
                <w:rFonts w:ascii="Arial" w:cs="Arial" w:eastAsia="Arial" w:hAnsi="Arial"/>
                <w:sz w:val="17"/>
                <w:szCs w:val="17"/>
                <w:color w:val="auto"/>
              </w:rPr>
              <w:t>MAV (4)</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45.1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35.3</w:t>
            </w:r>
          </w:p>
        </w:tc>
        <w:tc>
          <w:tcPr>
            <w:tcW w:w="1200" w:type="dxa"/>
            <w:vAlign w:val="bottom"/>
            <w:gridSpan w:val="2"/>
          </w:tcPr>
          <w:p>
            <w:pPr>
              <w:jc w:val="right"/>
              <w:ind w:right="134"/>
              <w:spacing w:after="0"/>
              <w:rPr>
                <w:sz w:val="20"/>
                <w:szCs w:val="20"/>
                <w:color w:val="auto"/>
              </w:rPr>
            </w:pPr>
            <w:r>
              <w:rPr>
                <w:rFonts w:ascii="Arial" w:cs="Arial" w:eastAsia="Arial" w:hAnsi="Arial"/>
                <w:sz w:val="17"/>
                <w:szCs w:val="17"/>
                <w:color w:val="auto"/>
              </w:rPr>
              <w:t>28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n/m</w:t>
            </w:r>
          </w:p>
        </w:tc>
      </w:tr>
      <w:tr>
        <w:trPr>
          <w:trHeight w:val="220"/>
        </w:trPr>
        <w:tc>
          <w:tcPr>
            <w:tcW w:w="44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NRZ (5) (6)</w:t>
            </w: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53.6</w:t>
            </w:r>
          </w:p>
        </w:tc>
        <w:tc>
          <w:tcPr>
            <w:tcW w:w="1200" w:type="dxa"/>
            <w:vAlign w:val="bottom"/>
            <w:gridSpan w:val="2"/>
            <w:shd w:val="clear" w:color="auto" w:fill="CCEEFF"/>
          </w:tcPr>
          <w:p>
            <w:pPr>
              <w:jc w:val="right"/>
              <w:ind w:right="94"/>
              <w:spacing w:after="0"/>
              <w:rPr>
                <w:sz w:val="20"/>
                <w:szCs w:val="20"/>
                <w:color w:val="auto"/>
              </w:rPr>
            </w:pPr>
            <w:r>
              <w:rPr>
                <w:rFonts w:ascii="Arial" w:cs="Arial" w:eastAsia="Arial" w:hAnsi="Arial"/>
                <w:sz w:val="17"/>
                <w:szCs w:val="17"/>
                <w:color w:val="auto"/>
              </w:rPr>
              <w:t>(3)</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61.4</w:t>
            </w:r>
          </w:p>
        </w:tc>
        <w:tc>
          <w:tcPr>
            <w:tcW w:w="120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(16)</w:t>
            </w:r>
          </w:p>
        </w:tc>
      </w:tr>
      <w:tr>
        <w:trPr>
          <w:trHeight w:val="213"/>
        </w:trPr>
        <w:tc>
          <w:tcPr>
            <w:tcW w:w="4480" w:type="dxa"/>
            <w:vAlign w:val="bottom"/>
          </w:tcPr>
          <w:p>
            <w:pPr>
              <w:ind w:left="340"/>
              <w:spacing w:after="0"/>
              <w:rPr>
                <w:sz w:val="20"/>
                <w:szCs w:val="20"/>
                <w:color w:val="auto"/>
              </w:rPr>
            </w:pPr>
            <w:r>
              <w:rPr>
                <w:rFonts w:ascii="Arial" w:cs="Arial" w:eastAsia="Arial" w:hAnsi="Arial"/>
                <w:sz w:val="17"/>
                <w:szCs w:val="17"/>
                <w:color w:val="auto"/>
              </w:rPr>
              <w:t>Total</w:t>
            </w:r>
          </w:p>
        </w:tc>
        <w:tc>
          <w:tcPr>
            <w:tcW w:w="2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288.3</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275.3</w:t>
            </w:r>
          </w:p>
        </w:tc>
        <w:tc>
          <w:tcPr>
            <w:tcW w:w="1200" w:type="dxa"/>
            <w:vAlign w:val="bottom"/>
            <w:gridSpan w:val="2"/>
          </w:tcPr>
          <w:p>
            <w:pPr>
              <w:jc w:val="right"/>
              <w:spacing w:after="0"/>
              <w:rPr>
                <w:sz w:val="20"/>
                <w:szCs w:val="20"/>
                <w:color w:val="auto"/>
              </w:rPr>
            </w:pPr>
            <w:r>
              <w:rPr>
                <w:rFonts w:ascii="Arial" w:cs="Arial" w:eastAsia="Arial" w:hAnsi="Arial"/>
                <w:sz w:val="17"/>
                <w:szCs w:val="17"/>
                <w:color w:val="auto"/>
              </w:rPr>
              <w:t>5 %</w:t>
            </w: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237.3</w:t>
            </w:r>
          </w:p>
        </w:tc>
        <w:tc>
          <w:tcPr>
            <w:tcW w:w="1200" w:type="dxa"/>
            <w:vAlign w:val="bottom"/>
            <w:gridSpan w:val="2"/>
          </w:tcPr>
          <w:p>
            <w:pPr>
              <w:jc w:val="right"/>
              <w:ind w:right="114"/>
              <w:spacing w:after="0"/>
              <w:rPr>
                <w:sz w:val="20"/>
                <w:szCs w:val="20"/>
                <w:color w:val="auto"/>
              </w:rPr>
            </w:pPr>
            <w:r>
              <w:rPr>
                <w:rFonts w:ascii="Arial" w:cs="Arial" w:eastAsia="Arial" w:hAnsi="Arial"/>
                <w:sz w:val="17"/>
                <w:szCs w:val="17"/>
                <w:color w:val="auto"/>
              </w:rPr>
              <w:t>22</w:t>
            </w:r>
          </w:p>
        </w:tc>
      </w:tr>
      <w:tr>
        <w:trPr>
          <w:trHeight w:val="20"/>
        </w:trPr>
        <w:tc>
          <w:tcPr>
            <w:tcW w:w="44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r>
      <w:tr>
        <w:trPr>
          <w:trHeight w:val="121"/>
        </w:trPr>
        <w:tc>
          <w:tcPr>
            <w:tcW w:w="44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r>
      <w:tr>
        <w:trPr>
          <w:trHeight w:val="220"/>
        </w:trPr>
        <w:tc>
          <w:tcPr>
            <w:tcW w:w="4480" w:type="dxa"/>
            <w:vAlign w:val="bottom"/>
          </w:tcPr>
          <w:p>
            <w:pPr>
              <w:ind w:left="140"/>
              <w:spacing w:after="0"/>
              <w:rPr>
                <w:sz w:val="20"/>
                <w:szCs w:val="20"/>
                <w:color w:val="auto"/>
              </w:rPr>
            </w:pPr>
            <w:r>
              <w:rPr>
                <w:rFonts w:ascii="Arial" w:cs="Arial" w:eastAsia="Arial" w:hAnsi="Arial"/>
                <w:sz w:val="17"/>
                <w:szCs w:val="17"/>
                <w:i w:val="1"/>
                <w:iCs w:val="1"/>
                <w:color w:val="auto"/>
              </w:rPr>
              <w:t>Number (in 000’s):</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0"/>
        </w:trPr>
        <w:tc>
          <w:tcPr>
            <w:tcW w:w="44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Performing loans (1)</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1,335.2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1,302.8</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2 %</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1,220.7</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9 %</w:t>
            </w:r>
          </w:p>
        </w:tc>
      </w:tr>
      <w:tr>
        <w:trPr>
          <w:trHeight w:val="220"/>
        </w:trPr>
        <w:tc>
          <w:tcPr>
            <w:tcW w:w="4480" w:type="dxa"/>
            <w:vAlign w:val="bottom"/>
          </w:tcPr>
          <w:p>
            <w:pPr>
              <w:ind w:left="220"/>
              <w:spacing w:after="0"/>
              <w:rPr>
                <w:sz w:val="20"/>
                <w:szCs w:val="20"/>
                <w:color w:val="auto"/>
              </w:rPr>
            </w:pPr>
            <w:r>
              <w:rPr>
                <w:rFonts w:ascii="Arial" w:cs="Arial" w:eastAsia="Arial" w:hAnsi="Arial"/>
                <w:sz w:val="17"/>
                <w:szCs w:val="17"/>
                <w:color w:val="auto"/>
              </w:rPr>
              <w:t>Non-performing loans</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0"/>
        </w:trPr>
        <w:tc>
          <w:tcPr>
            <w:tcW w:w="44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Non-performing loans - NRZ</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30.4</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28.7</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1 %</w:t>
            </w:r>
          </w:p>
        </w:tc>
      </w:tr>
      <w:tr>
        <w:trPr>
          <w:trHeight w:val="220"/>
        </w:trPr>
        <w:tc>
          <w:tcPr>
            <w:tcW w:w="4480" w:type="dxa"/>
            <w:vAlign w:val="bottom"/>
            <w:tcBorders>
              <w:bottom w:val="single" w:sz="8" w:color="CCEEFF"/>
            </w:tcBorders>
          </w:tcPr>
          <w:p>
            <w:pPr>
              <w:ind w:left="320"/>
              <w:spacing w:after="0"/>
              <w:rPr>
                <w:sz w:val="20"/>
                <w:szCs w:val="20"/>
                <w:color w:val="auto"/>
              </w:rPr>
            </w:pPr>
            <w:r>
              <w:rPr>
                <w:rFonts w:ascii="Arial" w:cs="Arial" w:eastAsia="Arial" w:hAnsi="Arial"/>
                <w:sz w:val="17"/>
                <w:szCs w:val="17"/>
                <w:color w:val="auto"/>
              </w:rPr>
              <w:t>Non-performing loans - Other</w:t>
            </w: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37.2</w:t>
            </w:r>
          </w:p>
        </w:tc>
        <w:tc>
          <w:tcPr>
            <w:tcW w:w="1200" w:type="dxa"/>
            <w:vAlign w:val="bottom"/>
            <w:tcBorders>
              <w:bottom w:val="single" w:sz="8" w:color="CCEEFF"/>
            </w:tcBorders>
            <w:gridSpan w:val="2"/>
          </w:tcPr>
          <w:p>
            <w:pPr>
              <w:jc w:val="right"/>
              <w:ind w:right="94"/>
              <w:spacing w:after="0"/>
              <w:rPr>
                <w:sz w:val="20"/>
                <w:szCs w:val="20"/>
                <w:color w:val="auto"/>
              </w:rPr>
            </w:pPr>
            <w:r>
              <w:rPr>
                <w:rFonts w:ascii="Arial" w:cs="Arial" w:eastAsia="Arial" w:hAnsi="Arial"/>
                <w:sz w:val="17"/>
                <w:szCs w:val="17"/>
                <w:color w:val="auto"/>
              </w:rPr>
              <w:t>(6)</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14.6</w:t>
            </w:r>
          </w:p>
        </w:tc>
        <w:tc>
          <w:tcPr>
            <w:tcW w:w="1200" w:type="dxa"/>
            <w:vAlign w:val="bottom"/>
            <w:tcBorders>
              <w:bottom w:val="single" w:sz="8" w:color="CCEEFF"/>
            </w:tcBorders>
            <w:gridSpan w:val="2"/>
          </w:tcPr>
          <w:p>
            <w:pPr>
              <w:jc w:val="right"/>
              <w:ind w:right="114"/>
              <w:spacing w:after="0"/>
              <w:rPr>
                <w:sz w:val="20"/>
                <w:szCs w:val="20"/>
                <w:color w:val="auto"/>
              </w:rPr>
            </w:pPr>
            <w:r>
              <w:rPr>
                <w:rFonts w:ascii="Arial" w:cs="Arial" w:eastAsia="Arial" w:hAnsi="Arial"/>
                <w:sz w:val="17"/>
                <w:szCs w:val="17"/>
                <w:color w:val="auto"/>
              </w:rPr>
              <w:t>140</w:t>
            </w:r>
          </w:p>
        </w:tc>
      </w:tr>
      <w:tr>
        <w:trPr>
          <w:trHeight w:val="213"/>
        </w:trPr>
        <w:tc>
          <w:tcPr>
            <w:tcW w:w="4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67.6</w:t>
            </w:r>
          </w:p>
        </w:tc>
        <w:tc>
          <w:tcPr>
            <w:tcW w:w="1200" w:type="dxa"/>
            <w:vAlign w:val="bottom"/>
            <w:gridSpan w:val="2"/>
            <w:shd w:val="clear" w:color="auto" w:fill="CCEEFF"/>
          </w:tcPr>
          <w:p>
            <w:pPr>
              <w:jc w:val="right"/>
              <w:ind w:right="94"/>
              <w:spacing w:after="0"/>
              <w:rPr>
                <w:sz w:val="20"/>
                <w:szCs w:val="20"/>
                <w:color w:val="auto"/>
              </w:rPr>
            </w:pPr>
            <w:r>
              <w:rPr>
                <w:rFonts w:ascii="Arial" w:cs="Arial" w:eastAsia="Arial" w:hAnsi="Arial"/>
                <w:sz w:val="17"/>
                <w:szCs w:val="17"/>
                <w:color w:val="auto"/>
              </w:rPr>
              <w:t>(5)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43.3</w:t>
            </w:r>
          </w:p>
        </w:tc>
        <w:tc>
          <w:tcPr>
            <w:tcW w:w="1200" w:type="dxa"/>
            <w:vAlign w:val="bottom"/>
            <w:gridSpan w:val="2"/>
            <w:shd w:val="clear" w:color="auto" w:fill="CCEEFF"/>
          </w:tcPr>
          <w:p>
            <w:pPr>
              <w:jc w:val="right"/>
              <w:ind w:right="114"/>
              <w:spacing w:after="0"/>
              <w:rPr>
                <w:sz w:val="20"/>
                <w:szCs w:val="20"/>
                <w:color w:val="auto"/>
              </w:rPr>
            </w:pPr>
            <w:r>
              <w:rPr>
                <w:rFonts w:ascii="Arial" w:cs="Arial" w:eastAsia="Arial" w:hAnsi="Arial"/>
                <w:sz w:val="17"/>
                <w:szCs w:val="17"/>
                <w:color w:val="auto"/>
              </w:rPr>
              <w:t>48</w:t>
            </w:r>
          </w:p>
        </w:tc>
      </w:tr>
      <w:tr>
        <w:trPr>
          <w:trHeight w:val="220"/>
        </w:trPr>
        <w:tc>
          <w:tcPr>
            <w:tcW w:w="448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Non-performing real estate</w:t>
            </w: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w:t>
            </w:r>
          </w:p>
        </w:tc>
        <w:tc>
          <w:tcPr>
            <w:tcW w:w="1200" w:type="dxa"/>
            <w:vAlign w:val="bottom"/>
            <w:tcBorders>
              <w:bottom w:val="single" w:sz="8" w:color="CCEEFF"/>
            </w:tcBorders>
            <w:gridSpan w:val="2"/>
          </w:tcPr>
          <w:p>
            <w:pPr>
              <w:jc w:val="right"/>
              <w:ind w:right="94"/>
              <w:spacing w:after="0"/>
              <w:rPr>
                <w:sz w:val="20"/>
                <w:szCs w:val="20"/>
                <w:color w:val="auto"/>
              </w:rPr>
            </w:pPr>
            <w:r>
              <w:rPr>
                <w:rFonts w:ascii="Arial" w:cs="Arial" w:eastAsia="Arial" w:hAnsi="Arial"/>
                <w:sz w:val="17"/>
                <w:szCs w:val="17"/>
                <w:color w:val="auto"/>
              </w:rPr>
              <w:t>(9)</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w:t>
            </w:r>
          </w:p>
        </w:tc>
        <w:tc>
          <w:tcPr>
            <w:tcW w:w="1200" w:type="dxa"/>
            <w:vAlign w:val="bottom"/>
            <w:tcBorders>
              <w:bottom w:val="single" w:sz="8" w:color="CCEEFF"/>
            </w:tcBorders>
            <w:gridSpan w:val="2"/>
          </w:tcPr>
          <w:p>
            <w:pPr>
              <w:jc w:val="right"/>
              <w:ind w:right="74"/>
              <w:spacing w:after="0"/>
              <w:rPr>
                <w:sz w:val="20"/>
                <w:szCs w:val="20"/>
                <w:color w:val="auto"/>
              </w:rPr>
            </w:pPr>
            <w:r>
              <w:rPr>
                <w:rFonts w:ascii="Arial" w:cs="Arial" w:eastAsia="Arial" w:hAnsi="Arial"/>
                <w:sz w:val="17"/>
                <w:szCs w:val="17"/>
                <w:color w:val="auto"/>
              </w:rPr>
              <w:t>(27)</w:t>
            </w:r>
          </w:p>
        </w:tc>
      </w:tr>
      <w:tr>
        <w:trPr>
          <w:trHeight w:val="238"/>
        </w:trPr>
        <w:tc>
          <w:tcPr>
            <w:tcW w:w="44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Total</w:t>
            </w:r>
          </w:p>
        </w:tc>
        <w:tc>
          <w:tcPr>
            <w:tcW w:w="2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1,403.4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1,375.1</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2 %</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1,269.9</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11 %</w:t>
            </w: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r>
      <w:tr>
        <w:trPr>
          <w:trHeight w:val="101"/>
        </w:trPr>
        <w:tc>
          <w:tcPr>
            <w:tcW w:w="4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r>
      <w:tr>
        <w:trPr>
          <w:trHeight w:val="220"/>
        </w:trPr>
        <w:tc>
          <w:tcPr>
            <w:tcW w:w="44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Conventional loans (2)</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745.6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713.2</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5 %</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561.3</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33 %</w:t>
            </w:r>
          </w:p>
        </w:tc>
      </w:tr>
      <w:tr>
        <w:trPr>
          <w:trHeight w:val="220"/>
        </w:trPr>
        <w:tc>
          <w:tcPr>
            <w:tcW w:w="4480" w:type="dxa"/>
            <w:vAlign w:val="bottom"/>
          </w:tcPr>
          <w:p>
            <w:pPr>
              <w:ind w:left="220"/>
              <w:spacing w:after="0"/>
              <w:rPr>
                <w:sz w:val="20"/>
                <w:szCs w:val="20"/>
                <w:color w:val="auto"/>
              </w:rPr>
            </w:pPr>
            <w:r>
              <w:rPr>
                <w:rFonts w:ascii="Arial" w:cs="Arial" w:eastAsia="Arial" w:hAnsi="Arial"/>
                <w:sz w:val="17"/>
                <w:szCs w:val="17"/>
                <w:color w:val="auto"/>
              </w:rPr>
              <w:t>Government-insured loans</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167.5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161.7</w:t>
            </w:r>
          </w:p>
        </w:tc>
        <w:tc>
          <w:tcPr>
            <w:tcW w:w="1200" w:type="dxa"/>
            <w:vAlign w:val="bottom"/>
            <w:gridSpan w:val="2"/>
          </w:tcPr>
          <w:p>
            <w:pPr>
              <w:jc w:val="right"/>
              <w:ind w:right="134"/>
              <w:spacing w:after="0"/>
              <w:rPr>
                <w:sz w:val="20"/>
                <w:szCs w:val="20"/>
                <w:color w:val="auto"/>
              </w:rPr>
            </w:pPr>
            <w:r>
              <w:rPr>
                <w:rFonts w:ascii="Arial" w:cs="Arial" w:eastAsia="Arial" w:hAnsi="Arial"/>
                <w:sz w:val="17"/>
                <w:szCs w:val="17"/>
                <w:color w:val="auto"/>
              </w:rPr>
              <w:t>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188.1</w:t>
            </w:r>
          </w:p>
        </w:tc>
        <w:tc>
          <w:tcPr>
            <w:tcW w:w="1200" w:type="dxa"/>
            <w:vAlign w:val="bottom"/>
            <w:gridSpan w:val="2"/>
          </w:tcPr>
          <w:p>
            <w:pPr>
              <w:jc w:val="right"/>
              <w:ind w:right="74"/>
              <w:spacing w:after="0"/>
              <w:rPr>
                <w:sz w:val="20"/>
                <w:szCs w:val="20"/>
                <w:color w:val="auto"/>
              </w:rPr>
            </w:pPr>
            <w:r>
              <w:rPr>
                <w:rFonts w:ascii="Arial" w:cs="Arial" w:eastAsia="Arial" w:hAnsi="Arial"/>
                <w:sz w:val="17"/>
                <w:szCs w:val="17"/>
                <w:color w:val="auto"/>
              </w:rPr>
              <w:t>(11)</w:t>
            </w:r>
          </w:p>
        </w:tc>
      </w:tr>
      <w:tr>
        <w:trPr>
          <w:trHeight w:val="220"/>
        </w:trPr>
        <w:tc>
          <w:tcPr>
            <w:tcW w:w="44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Non-Agency loans</w:t>
            </w: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490.3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500.2</w:t>
            </w:r>
          </w:p>
        </w:tc>
        <w:tc>
          <w:tcPr>
            <w:tcW w:w="1200" w:type="dxa"/>
            <w:vAlign w:val="bottom"/>
            <w:gridSpan w:val="2"/>
            <w:shd w:val="clear" w:color="auto" w:fill="CCEEFF"/>
          </w:tcPr>
          <w:p>
            <w:pPr>
              <w:jc w:val="right"/>
              <w:ind w:right="94"/>
              <w:spacing w:after="0"/>
              <w:rPr>
                <w:sz w:val="20"/>
                <w:szCs w:val="20"/>
                <w:color w:val="auto"/>
              </w:rPr>
            </w:pPr>
            <w:r>
              <w:rPr>
                <w:rFonts w:ascii="Arial" w:cs="Arial" w:eastAsia="Arial" w:hAnsi="Arial"/>
                <w:sz w:val="17"/>
                <w:szCs w:val="17"/>
                <w:color w:val="auto"/>
              </w:rPr>
              <w:t>(2)</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520.4</w:t>
            </w:r>
          </w:p>
        </w:tc>
        <w:tc>
          <w:tcPr>
            <w:tcW w:w="120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(6)</w:t>
            </w:r>
          </w:p>
        </w:tc>
      </w:tr>
      <w:tr>
        <w:trPr>
          <w:trHeight w:val="213"/>
        </w:trPr>
        <w:tc>
          <w:tcPr>
            <w:tcW w:w="4480" w:type="dxa"/>
            <w:vAlign w:val="bottom"/>
          </w:tcPr>
          <w:p>
            <w:pPr>
              <w:ind w:left="340"/>
              <w:spacing w:after="0"/>
              <w:rPr>
                <w:sz w:val="20"/>
                <w:szCs w:val="20"/>
                <w:color w:val="auto"/>
              </w:rPr>
            </w:pPr>
            <w:r>
              <w:rPr>
                <w:rFonts w:ascii="Arial" w:cs="Arial" w:eastAsia="Arial" w:hAnsi="Arial"/>
                <w:sz w:val="17"/>
                <w:szCs w:val="17"/>
                <w:color w:val="auto"/>
              </w:rPr>
              <w:t>Total</w:t>
            </w: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1,403.4</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1,375.1</w:t>
            </w:r>
          </w:p>
        </w:tc>
        <w:tc>
          <w:tcPr>
            <w:tcW w:w="1200" w:type="dxa"/>
            <w:vAlign w:val="bottom"/>
            <w:gridSpan w:val="2"/>
          </w:tcPr>
          <w:p>
            <w:pPr>
              <w:jc w:val="right"/>
              <w:spacing w:after="0"/>
              <w:rPr>
                <w:sz w:val="20"/>
                <w:szCs w:val="20"/>
                <w:color w:val="auto"/>
              </w:rPr>
            </w:pPr>
            <w:r>
              <w:rPr>
                <w:rFonts w:ascii="Arial" w:cs="Arial" w:eastAsia="Arial" w:hAnsi="Arial"/>
                <w:sz w:val="17"/>
                <w:szCs w:val="17"/>
                <w:color w:val="auto"/>
              </w:rPr>
              <w:t>2 %</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1,269.9</w:t>
            </w:r>
          </w:p>
        </w:tc>
        <w:tc>
          <w:tcPr>
            <w:tcW w:w="1200" w:type="dxa"/>
            <w:vAlign w:val="bottom"/>
            <w:gridSpan w:val="2"/>
          </w:tcPr>
          <w:p>
            <w:pPr>
              <w:jc w:val="right"/>
              <w:spacing w:after="0"/>
              <w:rPr>
                <w:sz w:val="20"/>
                <w:szCs w:val="20"/>
                <w:color w:val="auto"/>
              </w:rPr>
            </w:pPr>
            <w:r>
              <w:rPr>
                <w:rFonts w:ascii="Arial" w:cs="Arial" w:eastAsia="Arial" w:hAnsi="Arial"/>
                <w:sz w:val="17"/>
                <w:szCs w:val="17"/>
                <w:color w:val="auto"/>
              </w:rPr>
              <w:t>11 %</w:t>
            </w:r>
          </w:p>
        </w:tc>
      </w:tr>
      <w:tr>
        <w:trPr>
          <w:trHeight w:val="20"/>
        </w:trPr>
        <w:tc>
          <w:tcPr>
            <w:tcW w:w="44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r>
      <w:tr>
        <w:trPr>
          <w:trHeight w:val="121"/>
        </w:trPr>
        <w:tc>
          <w:tcPr>
            <w:tcW w:w="44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r>
      <w:tr>
        <w:trPr>
          <w:trHeight w:val="220"/>
        </w:trPr>
        <w:tc>
          <w:tcPr>
            <w:tcW w:w="4480" w:type="dxa"/>
            <w:vAlign w:val="bottom"/>
          </w:tcPr>
          <w:p>
            <w:pPr>
              <w:ind w:left="220"/>
              <w:spacing w:after="0"/>
              <w:rPr>
                <w:sz w:val="20"/>
                <w:szCs w:val="20"/>
                <w:color w:val="auto"/>
              </w:rPr>
            </w:pPr>
            <w:r>
              <w:rPr>
                <w:rFonts w:ascii="Arial" w:cs="Arial" w:eastAsia="Arial" w:hAnsi="Arial"/>
                <w:sz w:val="17"/>
                <w:szCs w:val="17"/>
                <w:color w:val="auto"/>
              </w:rPr>
              <w:t>Servicing portfolio</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581.9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589.3</w:t>
            </w:r>
          </w:p>
        </w:tc>
        <w:tc>
          <w:tcPr>
            <w:tcW w:w="1200" w:type="dxa"/>
            <w:vAlign w:val="bottom"/>
            <w:gridSpan w:val="2"/>
          </w:tcPr>
          <w:p>
            <w:pPr>
              <w:jc w:val="right"/>
              <w:spacing w:after="0"/>
              <w:rPr>
                <w:sz w:val="20"/>
                <w:szCs w:val="20"/>
                <w:color w:val="auto"/>
              </w:rPr>
            </w:pPr>
            <w:r>
              <w:rPr>
                <w:rFonts w:ascii="Arial" w:cs="Arial" w:eastAsia="Arial" w:hAnsi="Arial"/>
                <w:sz w:val="17"/>
                <w:szCs w:val="17"/>
                <w:color w:val="auto"/>
              </w:rPr>
              <w:t>(1)%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729.3</w:t>
            </w:r>
          </w:p>
        </w:tc>
        <w:tc>
          <w:tcPr>
            <w:tcW w:w="1200" w:type="dxa"/>
            <w:vAlign w:val="bottom"/>
            <w:gridSpan w:val="2"/>
          </w:tcPr>
          <w:p>
            <w:pPr>
              <w:jc w:val="right"/>
              <w:spacing w:after="0"/>
              <w:rPr>
                <w:sz w:val="20"/>
                <w:szCs w:val="20"/>
                <w:color w:val="auto"/>
              </w:rPr>
            </w:pPr>
            <w:r>
              <w:rPr>
                <w:rFonts w:ascii="Arial" w:cs="Arial" w:eastAsia="Arial" w:hAnsi="Arial"/>
                <w:sz w:val="17"/>
                <w:szCs w:val="17"/>
                <w:color w:val="auto"/>
              </w:rPr>
              <w:t>(20)%</w:t>
            </w:r>
          </w:p>
        </w:tc>
      </w:tr>
      <w:tr>
        <w:trPr>
          <w:trHeight w:val="220"/>
        </w:trPr>
        <w:tc>
          <w:tcPr>
            <w:tcW w:w="44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Subservicing portfolio</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0"/>
        </w:trPr>
        <w:tc>
          <w:tcPr>
            <w:tcW w:w="4480" w:type="dxa"/>
            <w:vAlign w:val="bottom"/>
          </w:tcPr>
          <w:p>
            <w:pPr>
              <w:ind w:left="320"/>
              <w:spacing w:after="0"/>
              <w:rPr>
                <w:sz w:val="20"/>
                <w:szCs w:val="20"/>
                <w:color w:val="auto"/>
              </w:rPr>
            </w:pPr>
            <w:r>
              <w:rPr>
                <w:rFonts w:ascii="Arial" w:cs="Arial" w:eastAsia="Arial" w:hAnsi="Arial"/>
                <w:sz w:val="17"/>
                <w:szCs w:val="17"/>
                <w:color w:val="auto"/>
              </w:rPr>
              <w:t>Subservicing - forward</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148.5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142.9</w:t>
            </w:r>
          </w:p>
        </w:tc>
        <w:tc>
          <w:tcPr>
            <w:tcW w:w="1200" w:type="dxa"/>
            <w:vAlign w:val="bottom"/>
            <w:gridSpan w:val="2"/>
          </w:tcPr>
          <w:p>
            <w:pPr>
              <w:jc w:val="right"/>
              <w:ind w:right="134"/>
              <w:spacing w:after="0"/>
              <w:rPr>
                <w:sz w:val="20"/>
                <w:szCs w:val="20"/>
                <w:color w:val="auto"/>
              </w:rPr>
            </w:pPr>
            <w:r>
              <w:rPr>
                <w:rFonts w:ascii="Arial" w:cs="Arial" w:eastAsia="Arial" w:hAnsi="Arial"/>
                <w:sz w:val="17"/>
                <w:szCs w:val="17"/>
                <w:color w:val="auto"/>
              </w:rPr>
              <w:t>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77.3</w:t>
            </w:r>
          </w:p>
        </w:tc>
        <w:tc>
          <w:tcPr>
            <w:tcW w:w="1200" w:type="dxa"/>
            <w:vAlign w:val="bottom"/>
            <w:gridSpan w:val="2"/>
          </w:tcPr>
          <w:p>
            <w:pPr>
              <w:jc w:val="right"/>
              <w:ind w:right="114"/>
              <w:spacing w:after="0"/>
              <w:rPr>
                <w:sz w:val="20"/>
                <w:szCs w:val="20"/>
                <w:color w:val="auto"/>
              </w:rPr>
            </w:pPr>
            <w:r>
              <w:rPr>
                <w:rFonts w:ascii="Arial" w:cs="Arial" w:eastAsia="Arial" w:hAnsi="Arial"/>
                <w:sz w:val="17"/>
                <w:szCs w:val="17"/>
                <w:color w:val="auto"/>
              </w:rPr>
              <w:t>92</w:t>
            </w:r>
          </w:p>
        </w:tc>
      </w:tr>
      <w:tr>
        <w:trPr>
          <w:trHeight w:val="220"/>
        </w:trPr>
        <w:tc>
          <w:tcPr>
            <w:tcW w:w="44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Subservicing - reverse</w:t>
            </w: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104.2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91.8</w:t>
            </w:r>
          </w:p>
        </w:tc>
        <w:tc>
          <w:tcPr>
            <w:tcW w:w="1200" w:type="dxa"/>
            <w:vAlign w:val="bottom"/>
            <w:gridSpan w:val="2"/>
            <w:shd w:val="clear" w:color="auto" w:fill="CCEEFF"/>
          </w:tcPr>
          <w:p>
            <w:pPr>
              <w:jc w:val="right"/>
              <w:ind w:right="134"/>
              <w:spacing w:after="0"/>
              <w:rPr>
                <w:sz w:val="20"/>
                <w:szCs w:val="20"/>
                <w:color w:val="auto"/>
              </w:rPr>
            </w:pPr>
            <w:r>
              <w:rPr>
                <w:rFonts w:ascii="Arial" w:cs="Arial" w:eastAsia="Arial" w:hAnsi="Arial"/>
                <w:sz w:val="17"/>
                <w:szCs w:val="17"/>
                <w:color w:val="auto"/>
              </w:rPr>
              <w:t>13</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n/m</w:t>
            </w:r>
          </w:p>
        </w:tc>
      </w:tr>
      <w:tr>
        <w:trPr>
          <w:trHeight w:val="213"/>
        </w:trPr>
        <w:tc>
          <w:tcPr>
            <w:tcW w:w="4480" w:type="dxa"/>
            <w:vAlign w:val="bottom"/>
          </w:tcPr>
          <w:p>
            <w:pPr>
              <w:ind w:left="420"/>
              <w:spacing w:after="0"/>
              <w:rPr>
                <w:sz w:val="20"/>
                <w:szCs w:val="20"/>
                <w:color w:val="auto"/>
              </w:rPr>
            </w:pPr>
            <w:r>
              <w:rPr>
                <w:rFonts w:ascii="Arial" w:cs="Arial" w:eastAsia="Arial" w:hAnsi="Arial"/>
                <w:sz w:val="17"/>
                <w:szCs w:val="17"/>
                <w:color w:val="auto"/>
              </w:rPr>
              <w:t>Total subservicing</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252.7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234.7</w:t>
            </w:r>
          </w:p>
        </w:tc>
        <w:tc>
          <w:tcPr>
            <w:tcW w:w="1200" w:type="dxa"/>
            <w:vAlign w:val="bottom"/>
            <w:gridSpan w:val="2"/>
          </w:tcPr>
          <w:p>
            <w:pPr>
              <w:jc w:val="right"/>
              <w:ind w:right="134"/>
              <w:spacing w:after="0"/>
              <w:rPr>
                <w:sz w:val="20"/>
                <w:szCs w:val="20"/>
                <w:color w:val="auto"/>
              </w:rPr>
            </w:pPr>
            <w:r>
              <w:rPr>
                <w:rFonts w:ascii="Arial" w:cs="Arial" w:eastAsia="Arial" w:hAnsi="Arial"/>
                <w:sz w:val="17"/>
                <w:szCs w:val="17"/>
                <w:color w:val="auto"/>
              </w:rPr>
              <w:t>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77.3</w:t>
            </w:r>
          </w:p>
        </w:tc>
        <w:tc>
          <w:tcPr>
            <w:tcW w:w="1200" w:type="dxa"/>
            <w:vAlign w:val="bottom"/>
            <w:gridSpan w:val="2"/>
          </w:tcPr>
          <w:p>
            <w:pPr>
              <w:jc w:val="right"/>
              <w:ind w:right="114"/>
              <w:spacing w:after="0"/>
              <w:rPr>
                <w:sz w:val="20"/>
                <w:szCs w:val="20"/>
                <w:color w:val="auto"/>
              </w:rPr>
            </w:pPr>
            <w:r>
              <w:rPr>
                <w:rFonts w:ascii="Arial" w:cs="Arial" w:eastAsia="Arial" w:hAnsi="Arial"/>
                <w:sz w:val="17"/>
                <w:szCs w:val="17"/>
                <w:color w:val="auto"/>
              </w:rPr>
              <w:t>227</w:t>
            </w:r>
          </w:p>
        </w:tc>
      </w:tr>
      <w:tr>
        <w:trPr>
          <w:trHeight w:val="220"/>
        </w:trPr>
        <w:tc>
          <w:tcPr>
            <w:tcW w:w="44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MAV</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169.6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139.7</w:t>
            </w:r>
          </w:p>
        </w:tc>
        <w:tc>
          <w:tcPr>
            <w:tcW w:w="1200" w:type="dxa"/>
            <w:vAlign w:val="bottom"/>
            <w:gridSpan w:val="2"/>
            <w:shd w:val="clear" w:color="auto" w:fill="CCEEFF"/>
          </w:tcPr>
          <w:p>
            <w:pPr>
              <w:jc w:val="right"/>
              <w:ind w:right="134"/>
              <w:spacing w:after="0"/>
              <w:rPr>
                <w:sz w:val="20"/>
                <w:szCs w:val="20"/>
                <w:color w:val="auto"/>
              </w:rPr>
            </w:pPr>
            <w:r>
              <w:rPr>
                <w:rFonts w:ascii="Arial" w:cs="Arial" w:eastAsia="Arial" w:hAnsi="Arial"/>
                <w:sz w:val="17"/>
                <w:szCs w:val="17"/>
                <w:color w:val="auto"/>
              </w:rPr>
              <w:t>21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n/m</w:t>
            </w:r>
          </w:p>
        </w:tc>
      </w:tr>
      <w:tr>
        <w:trPr>
          <w:trHeight w:val="220"/>
        </w:trPr>
        <w:tc>
          <w:tcPr>
            <w:tcW w:w="448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NRZ (5)</w:t>
            </w: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399.2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411.3</w:t>
            </w:r>
          </w:p>
        </w:tc>
        <w:tc>
          <w:tcPr>
            <w:tcW w:w="1200" w:type="dxa"/>
            <w:vAlign w:val="bottom"/>
            <w:tcBorders>
              <w:bottom w:val="single" w:sz="8" w:color="CCEEFF"/>
            </w:tcBorders>
            <w:gridSpan w:val="2"/>
          </w:tcPr>
          <w:p>
            <w:pPr>
              <w:jc w:val="right"/>
              <w:ind w:right="94"/>
              <w:spacing w:after="0"/>
              <w:rPr>
                <w:sz w:val="20"/>
                <w:szCs w:val="20"/>
                <w:color w:val="auto"/>
              </w:rPr>
            </w:pPr>
            <w:r>
              <w:rPr>
                <w:rFonts w:ascii="Arial" w:cs="Arial" w:eastAsia="Arial" w:hAnsi="Arial"/>
                <w:sz w:val="17"/>
                <w:szCs w:val="17"/>
                <w:color w:val="auto"/>
              </w:rPr>
              <w:t>(3)</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463.3</w:t>
            </w:r>
          </w:p>
        </w:tc>
        <w:tc>
          <w:tcPr>
            <w:tcW w:w="1200" w:type="dxa"/>
            <w:vAlign w:val="bottom"/>
            <w:tcBorders>
              <w:bottom w:val="single" w:sz="8" w:color="CCEEFF"/>
            </w:tcBorders>
            <w:gridSpan w:val="2"/>
          </w:tcPr>
          <w:p>
            <w:pPr>
              <w:jc w:val="right"/>
              <w:ind w:right="74"/>
              <w:spacing w:after="0"/>
              <w:rPr>
                <w:sz w:val="20"/>
                <w:szCs w:val="20"/>
                <w:color w:val="auto"/>
              </w:rPr>
            </w:pPr>
            <w:r>
              <w:rPr>
                <w:rFonts w:ascii="Arial" w:cs="Arial" w:eastAsia="Arial" w:hAnsi="Arial"/>
                <w:sz w:val="17"/>
                <w:szCs w:val="17"/>
                <w:color w:val="auto"/>
              </w:rPr>
              <w:t>(14)</w:t>
            </w:r>
          </w:p>
        </w:tc>
      </w:tr>
      <w:tr>
        <w:trPr>
          <w:trHeight w:val="238"/>
        </w:trPr>
        <w:tc>
          <w:tcPr>
            <w:tcW w:w="44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Total</w:t>
            </w:r>
          </w:p>
        </w:tc>
        <w:tc>
          <w:tcPr>
            <w:tcW w:w="2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1,403.4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1,375.1</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2 %</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1,269.9</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11 %</w:t>
            </w: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7" w:right="33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225"/>
        </w:trPr>
        <w:tc>
          <w:tcPr>
            <w:tcW w:w="3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680" w:type="dxa"/>
            <w:vAlign w:val="bottom"/>
            <w:tcBorders>
              <w:bottom w:val="single" w:sz="8" w:color="auto"/>
            </w:tcBorders>
            <w:gridSpan w:val="4"/>
          </w:tcPr>
          <w:p>
            <w:pPr>
              <w:jc w:val="right"/>
              <w:ind w:right="594"/>
              <w:spacing w:after="0"/>
              <w:rPr>
                <w:sz w:val="20"/>
                <w:szCs w:val="20"/>
                <w:color w:val="auto"/>
              </w:rPr>
            </w:pPr>
            <w:r>
              <w:rPr>
                <w:rFonts w:ascii="Arial" w:cs="Arial" w:eastAsia="Arial" w:hAnsi="Arial"/>
                <w:sz w:val="17"/>
                <w:szCs w:val="17"/>
                <w:b w:val="1"/>
                <w:bCs w:val="1"/>
                <w:color w:val="auto"/>
              </w:rPr>
              <w:t>Three Months Ended</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gridSpan w:val="4"/>
          </w:tcPr>
          <w:p>
            <w:pPr>
              <w:jc w:val="right"/>
              <w:ind w:right="734"/>
              <w:spacing w:after="0"/>
              <w:rPr>
                <w:sz w:val="20"/>
                <w:szCs w:val="20"/>
                <w:color w:val="auto"/>
              </w:rPr>
            </w:pPr>
            <w:r>
              <w:rPr>
                <w:rFonts w:ascii="Arial" w:cs="Arial" w:eastAsia="Arial" w:hAnsi="Arial"/>
                <w:sz w:val="17"/>
                <w:szCs w:val="17"/>
                <w:b w:val="1"/>
                <w:bCs w:val="1"/>
                <w:color w:val="auto"/>
              </w:rPr>
              <w:t>Six Months Ended</w:t>
            </w: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gridSpan w:val="2"/>
          </w:tcPr>
          <w:p>
            <w:pPr>
              <w:ind w:left="160"/>
              <w:spacing w:after="0"/>
              <w:rPr>
                <w:sz w:val="20"/>
                <w:szCs w:val="20"/>
                <w:color w:val="auto"/>
              </w:rPr>
            </w:pPr>
            <w:r>
              <w:rPr>
                <w:rFonts w:ascii="Arial" w:cs="Arial" w:eastAsia="Arial" w:hAnsi="Arial"/>
                <w:sz w:val="17"/>
                <w:szCs w:val="17"/>
                <w:b w:val="1"/>
                <w:bCs w:val="1"/>
                <w:color w:val="auto"/>
              </w:rPr>
              <w:t>June 30,</w:t>
            </w:r>
          </w:p>
        </w:tc>
        <w:tc>
          <w:tcPr>
            <w:tcW w:w="240" w:type="dxa"/>
            <w:vAlign w:val="bottom"/>
          </w:tcPr>
          <w:p>
            <w:pPr>
              <w:spacing w:after="0"/>
              <w:rPr>
                <w:sz w:val="20"/>
                <w:szCs w:val="20"/>
                <w:color w:val="auto"/>
              </w:rPr>
            </w:pPr>
          </w:p>
        </w:tc>
        <w:tc>
          <w:tcPr>
            <w:tcW w:w="1180" w:type="dxa"/>
            <w:vAlign w:val="bottom"/>
          </w:tcPr>
          <w:p>
            <w:pPr>
              <w:jc w:val="right"/>
              <w:ind w:right="274"/>
              <w:spacing w:after="0"/>
              <w:rPr>
                <w:sz w:val="20"/>
                <w:szCs w:val="20"/>
                <w:color w:val="auto"/>
              </w:rPr>
            </w:pPr>
            <w:r>
              <w:rPr>
                <w:rFonts w:ascii="Arial" w:cs="Arial" w:eastAsia="Arial" w:hAnsi="Arial"/>
                <w:sz w:val="17"/>
                <w:szCs w:val="17"/>
                <w:b w:val="1"/>
                <w:bCs w:val="1"/>
                <w:color w:val="auto"/>
              </w:rPr>
              <w:t>March 31</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gridSpan w:val="2"/>
          </w:tcPr>
          <w:p>
            <w:pPr>
              <w:ind w:left="160"/>
              <w:spacing w:after="0"/>
              <w:rPr>
                <w:sz w:val="20"/>
                <w:szCs w:val="20"/>
                <w:color w:val="auto"/>
              </w:rPr>
            </w:pPr>
            <w:r>
              <w:rPr>
                <w:rFonts w:ascii="Arial" w:cs="Arial" w:eastAsia="Arial" w:hAnsi="Arial"/>
                <w:sz w:val="17"/>
                <w:szCs w:val="17"/>
                <w:b w:val="1"/>
                <w:bCs w:val="1"/>
                <w:color w:val="auto"/>
              </w:rPr>
              <w:t>June 30,</w:t>
            </w:r>
          </w:p>
        </w:tc>
        <w:tc>
          <w:tcPr>
            <w:tcW w:w="260" w:type="dxa"/>
            <w:vAlign w:val="bottom"/>
          </w:tcPr>
          <w:p>
            <w:pPr>
              <w:spacing w:after="0"/>
              <w:rPr>
                <w:sz w:val="20"/>
                <w:szCs w:val="20"/>
                <w:color w:val="auto"/>
              </w:rPr>
            </w:pPr>
          </w:p>
        </w:tc>
        <w:tc>
          <w:tcPr>
            <w:tcW w:w="1200" w:type="dxa"/>
            <w:vAlign w:val="bottom"/>
          </w:tcPr>
          <w:p>
            <w:pPr>
              <w:jc w:val="right"/>
              <w:ind w:right="334"/>
              <w:spacing w:after="0"/>
              <w:rPr>
                <w:sz w:val="20"/>
                <w:szCs w:val="20"/>
                <w:color w:val="auto"/>
              </w:rPr>
            </w:pPr>
            <w:r>
              <w:rPr>
                <w:rFonts w:ascii="Arial" w:cs="Arial" w:eastAsia="Arial" w:hAnsi="Arial"/>
                <w:sz w:val="17"/>
                <w:szCs w:val="17"/>
                <w:b w:val="1"/>
                <w:bCs w:val="1"/>
                <w:color w:val="auto"/>
              </w:rPr>
              <w:t>June 30,</w:t>
            </w: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8"/>
        </w:trPr>
        <w:tc>
          <w:tcPr>
            <w:tcW w:w="3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80" w:type="dxa"/>
            <w:vAlign w:val="bottom"/>
          </w:tcPr>
          <w:p>
            <w:pPr>
              <w:jc w:val="right"/>
              <w:ind w:right="454"/>
              <w:spacing w:after="0"/>
              <w:rPr>
                <w:sz w:val="20"/>
                <w:szCs w:val="20"/>
                <w:color w:val="auto"/>
              </w:rPr>
            </w:pPr>
            <w:r>
              <w:rPr>
                <w:rFonts w:ascii="Arial" w:cs="Arial" w:eastAsia="Arial" w:hAnsi="Arial"/>
                <w:sz w:val="17"/>
                <w:szCs w:val="17"/>
                <w:b w:val="1"/>
                <w:bCs w:val="1"/>
                <w:color w:val="auto"/>
              </w:rPr>
              <w:t>2022</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80" w:type="dxa"/>
            <w:vAlign w:val="bottom"/>
          </w:tcPr>
          <w:p>
            <w:pPr>
              <w:jc w:val="right"/>
              <w:ind w:right="454"/>
              <w:spacing w:after="0"/>
              <w:rPr>
                <w:sz w:val="20"/>
                <w:szCs w:val="20"/>
                <w:color w:val="auto"/>
              </w:rPr>
            </w:pPr>
            <w:r>
              <w:rPr>
                <w:rFonts w:ascii="Arial" w:cs="Arial" w:eastAsia="Arial" w:hAnsi="Arial"/>
                <w:sz w:val="17"/>
                <w:szCs w:val="17"/>
                <w:b w:val="1"/>
                <w:bCs w:val="1"/>
                <w:color w:val="auto"/>
              </w:rPr>
              <w:t>2022</w:t>
            </w:r>
          </w:p>
        </w:tc>
        <w:tc>
          <w:tcPr>
            <w:tcW w:w="100" w:type="dxa"/>
            <w:vAlign w:val="bottom"/>
          </w:tcPr>
          <w:p>
            <w:pPr>
              <w:spacing w:after="0"/>
              <w:rPr>
                <w:sz w:val="22"/>
                <w:szCs w:val="22"/>
                <w:color w:val="auto"/>
              </w:rPr>
            </w:pPr>
          </w:p>
        </w:tc>
        <w:tc>
          <w:tcPr>
            <w:tcW w:w="1320" w:type="dxa"/>
            <w:vAlign w:val="bottom"/>
            <w:gridSpan w:val="3"/>
          </w:tcPr>
          <w:p>
            <w:pPr>
              <w:ind w:left="100"/>
              <w:spacing w:after="0"/>
              <w:rPr>
                <w:sz w:val="20"/>
                <w:szCs w:val="20"/>
                <w:color w:val="auto"/>
              </w:rPr>
            </w:pPr>
            <w:r>
              <w:rPr>
                <w:rFonts w:ascii="Arial" w:cs="Arial" w:eastAsia="Arial" w:hAnsi="Arial"/>
                <w:sz w:val="17"/>
                <w:szCs w:val="17"/>
                <w:b w:val="1"/>
                <w:bCs w:val="1"/>
                <w:color w:val="auto"/>
              </w:rPr>
              <w:t>% Change</w:t>
            </w:r>
          </w:p>
        </w:tc>
        <w:tc>
          <w:tcPr>
            <w:tcW w:w="1200" w:type="dxa"/>
            <w:vAlign w:val="bottom"/>
          </w:tcPr>
          <w:p>
            <w:pPr>
              <w:jc w:val="right"/>
              <w:ind w:right="474"/>
              <w:spacing w:after="0"/>
              <w:rPr>
                <w:sz w:val="20"/>
                <w:szCs w:val="20"/>
                <w:color w:val="auto"/>
              </w:rPr>
            </w:pPr>
            <w:r>
              <w:rPr>
                <w:rFonts w:ascii="Arial" w:cs="Arial" w:eastAsia="Arial" w:hAnsi="Arial"/>
                <w:sz w:val="17"/>
                <w:szCs w:val="17"/>
                <w:b w:val="1"/>
                <w:bCs w:val="1"/>
                <w:color w:val="auto"/>
              </w:rPr>
              <w:t>2022</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jc w:val="right"/>
              <w:ind w:right="474"/>
              <w:spacing w:after="0"/>
              <w:rPr>
                <w:sz w:val="20"/>
                <w:szCs w:val="20"/>
                <w:color w:val="auto"/>
              </w:rPr>
            </w:pPr>
            <w:r>
              <w:rPr>
                <w:rFonts w:ascii="Arial" w:cs="Arial" w:eastAsia="Arial" w:hAnsi="Arial"/>
                <w:sz w:val="17"/>
                <w:szCs w:val="17"/>
                <w:b w:val="1"/>
                <w:bCs w:val="1"/>
                <w:color w:val="auto"/>
              </w:rPr>
              <w:t>2021</w:t>
            </w:r>
          </w:p>
        </w:tc>
        <w:tc>
          <w:tcPr>
            <w:tcW w:w="80" w:type="dxa"/>
            <w:vAlign w:val="bottom"/>
          </w:tcPr>
          <w:p>
            <w:pPr>
              <w:spacing w:after="0"/>
              <w:rPr>
                <w:sz w:val="22"/>
                <w:szCs w:val="22"/>
                <w:color w:val="auto"/>
              </w:rPr>
            </w:pPr>
          </w:p>
        </w:tc>
        <w:tc>
          <w:tcPr>
            <w:tcW w:w="980" w:type="dxa"/>
            <w:vAlign w:val="bottom"/>
          </w:tcPr>
          <w:p>
            <w:pPr>
              <w:jc w:val="right"/>
              <w:ind w:right="14"/>
              <w:spacing w:after="0"/>
              <w:rPr>
                <w:sz w:val="20"/>
                <w:szCs w:val="20"/>
                <w:color w:val="auto"/>
              </w:rPr>
            </w:pPr>
            <w:r>
              <w:rPr>
                <w:rFonts w:ascii="Arial" w:cs="Arial" w:eastAsia="Arial" w:hAnsi="Arial"/>
                <w:sz w:val="17"/>
                <w:szCs w:val="17"/>
                <w:b w:val="1"/>
                <w:bCs w:val="1"/>
                <w:color w:val="auto"/>
              </w:rPr>
              <w:t>% Change</w:t>
            </w:r>
          </w:p>
        </w:tc>
        <w:tc>
          <w:tcPr>
            <w:tcW w:w="0" w:type="dxa"/>
            <w:vAlign w:val="bottom"/>
          </w:tcPr>
          <w:p>
            <w:pPr>
              <w:spacing w:after="0"/>
              <w:rPr>
                <w:sz w:val="1"/>
                <w:szCs w:val="1"/>
                <w:color w:val="auto"/>
              </w:rPr>
            </w:pPr>
          </w:p>
        </w:tc>
      </w:tr>
      <w:tr>
        <w:trPr>
          <w:trHeight w:val="200"/>
        </w:trPr>
        <w:tc>
          <w:tcPr>
            <w:tcW w:w="310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7"/>
                <w:szCs w:val="17"/>
                <w:i w:val="1"/>
                <w:iCs w:val="1"/>
                <w:color w:val="auto"/>
              </w:rPr>
              <w:t>Prepayment speed (CPR) (7):</w:t>
            </w:r>
          </w:p>
        </w:tc>
        <w:tc>
          <w:tcPr>
            <w:tcW w:w="24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100" w:type="dxa"/>
            <w:vAlign w:val="bottom"/>
          </w:tcPr>
          <w:p>
            <w:pPr>
              <w:ind w:left="220"/>
              <w:spacing w:after="0"/>
              <w:rPr>
                <w:sz w:val="20"/>
                <w:szCs w:val="20"/>
                <w:color w:val="auto"/>
              </w:rPr>
            </w:pPr>
            <w:r>
              <w:rPr>
                <w:rFonts w:ascii="Arial" w:cs="Arial" w:eastAsia="Arial" w:hAnsi="Arial"/>
                <w:sz w:val="17"/>
                <w:szCs w:val="17"/>
                <w:color w:val="auto"/>
              </w:rPr>
              <w:t>% Voluntary CPR</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8.9 %</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11.4 %</w:t>
            </w:r>
          </w:p>
        </w:tc>
        <w:tc>
          <w:tcPr>
            <w:tcW w:w="1080" w:type="dxa"/>
            <w:vAlign w:val="bottom"/>
            <w:gridSpan w:val="2"/>
          </w:tcPr>
          <w:p>
            <w:pPr>
              <w:ind w:left="620"/>
              <w:spacing w:after="0"/>
              <w:rPr>
                <w:sz w:val="20"/>
                <w:szCs w:val="20"/>
                <w:color w:val="auto"/>
              </w:rPr>
            </w:pPr>
            <w:r>
              <w:rPr>
                <w:rFonts w:ascii="Arial" w:cs="Arial" w:eastAsia="Arial" w:hAnsi="Arial"/>
                <w:sz w:val="17"/>
                <w:szCs w:val="17"/>
                <w:color w:val="auto"/>
                <w:w w:val="96"/>
              </w:rPr>
              <w:t>(22)%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10.1 %</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18.6 %</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(46)%</w:t>
            </w:r>
          </w:p>
        </w:tc>
        <w:tc>
          <w:tcPr>
            <w:tcW w:w="0" w:type="dxa"/>
            <w:vAlign w:val="bottom"/>
          </w:tcPr>
          <w:p>
            <w:pPr>
              <w:spacing w:after="0"/>
              <w:rPr>
                <w:sz w:val="1"/>
                <w:szCs w:val="1"/>
                <w:color w:val="auto"/>
              </w:rPr>
            </w:pPr>
          </w:p>
        </w:tc>
      </w:tr>
      <w:tr>
        <w:trPr>
          <w:trHeight w:val="220"/>
        </w:trPr>
        <w:tc>
          <w:tcPr>
            <w:tcW w:w="31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 Involuntary CPR</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0.4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0.3</w:t>
            </w:r>
          </w:p>
        </w:tc>
        <w:tc>
          <w:tcPr>
            <w:tcW w:w="1080" w:type="dxa"/>
            <w:vAlign w:val="bottom"/>
            <w:gridSpan w:val="2"/>
            <w:shd w:val="clear" w:color="auto" w:fill="CCEEFF"/>
          </w:tcPr>
          <w:p>
            <w:pPr>
              <w:ind w:left="700"/>
              <w:spacing w:after="0"/>
              <w:rPr>
                <w:sz w:val="20"/>
                <w:szCs w:val="20"/>
                <w:color w:val="auto"/>
              </w:rPr>
            </w:pPr>
            <w:r>
              <w:rPr>
                <w:rFonts w:ascii="Arial" w:cs="Arial" w:eastAsia="Arial" w:hAnsi="Arial"/>
                <w:sz w:val="17"/>
                <w:szCs w:val="17"/>
                <w:color w:val="auto"/>
              </w:rPr>
              <w:t>33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0.4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0.9</w:t>
            </w:r>
          </w:p>
        </w:tc>
        <w:tc>
          <w:tcPr>
            <w:tcW w:w="106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(56)</w:t>
            </w:r>
          </w:p>
        </w:tc>
        <w:tc>
          <w:tcPr>
            <w:tcW w:w="0" w:type="dxa"/>
            <w:vAlign w:val="bottom"/>
          </w:tcPr>
          <w:p>
            <w:pPr>
              <w:spacing w:after="0"/>
              <w:rPr>
                <w:sz w:val="1"/>
                <w:szCs w:val="1"/>
                <w:color w:val="auto"/>
              </w:rPr>
            </w:pPr>
          </w:p>
        </w:tc>
      </w:tr>
      <w:tr>
        <w:trPr>
          <w:trHeight w:val="220"/>
        </w:trPr>
        <w:tc>
          <w:tcPr>
            <w:tcW w:w="3100" w:type="dxa"/>
            <w:vAlign w:val="bottom"/>
          </w:tcPr>
          <w:p>
            <w:pPr>
              <w:ind w:left="220"/>
              <w:spacing w:after="0"/>
              <w:rPr>
                <w:sz w:val="20"/>
                <w:szCs w:val="20"/>
                <w:color w:val="auto"/>
              </w:rPr>
            </w:pPr>
            <w:r>
              <w:rPr>
                <w:rFonts w:ascii="Arial" w:cs="Arial" w:eastAsia="Arial" w:hAnsi="Arial"/>
                <w:sz w:val="17"/>
                <w:szCs w:val="17"/>
                <w:color w:val="auto"/>
              </w:rPr>
              <w:t>% Total CPR</w:t>
            </w:r>
          </w:p>
        </w:tc>
        <w:tc>
          <w:tcPr>
            <w:tcW w:w="240" w:type="dxa"/>
            <w:vAlign w:val="bottom"/>
          </w:tcPr>
          <w:p>
            <w:pPr>
              <w:spacing w:after="0"/>
              <w:rPr>
                <w:sz w:val="19"/>
                <w:szCs w:val="19"/>
                <w:color w:val="auto"/>
              </w:rPr>
            </w:pPr>
          </w:p>
        </w:tc>
        <w:tc>
          <w:tcPr>
            <w:tcW w:w="1180" w:type="dxa"/>
            <w:vAlign w:val="bottom"/>
          </w:tcPr>
          <w:p>
            <w:pPr>
              <w:jc w:val="right"/>
              <w:ind w:right="134"/>
              <w:spacing w:after="0"/>
              <w:rPr>
                <w:sz w:val="20"/>
                <w:szCs w:val="20"/>
                <w:color w:val="auto"/>
              </w:rPr>
            </w:pPr>
            <w:r>
              <w:rPr>
                <w:rFonts w:ascii="Arial" w:cs="Arial" w:eastAsia="Arial" w:hAnsi="Arial"/>
                <w:sz w:val="17"/>
                <w:szCs w:val="17"/>
                <w:color w:val="auto"/>
              </w:rPr>
              <w:t>12.5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ind w:right="114"/>
              <w:spacing w:after="0"/>
              <w:rPr>
                <w:sz w:val="20"/>
                <w:szCs w:val="20"/>
                <w:color w:val="auto"/>
              </w:rPr>
            </w:pPr>
            <w:r>
              <w:rPr>
                <w:rFonts w:ascii="Arial" w:cs="Arial" w:eastAsia="Arial" w:hAnsi="Arial"/>
                <w:sz w:val="17"/>
                <w:szCs w:val="17"/>
                <w:color w:val="auto"/>
              </w:rPr>
              <w:t>14.8</w:t>
            </w:r>
          </w:p>
        </w:tc>
        <w:tc>
          <w:tcPr>
            <w:tcW w:w="1080" w:type="dxa"/>
            <w:vAlign w:val="bottom"/>
            <w:gridSpan w:val="2"/>
          </w:tcPr>
          <w:p>
            <w:pPr>
              <w:ind w:left="620"/>
              <w:spacing w:after="0"/>
              <w:rPr>
                <w:sz w:val="20"/>
                <w:szCs w:val="20"/>
                <w:color w:val="auto"/>
              </w:rPr>
            </w:pPr>
            <w:r>
              <w:rPr>
                <w:rFonts w:ascii="Arial" w:cs="Arial" w:eastAsia="Arial" w:hAnsi="Arial"/>
                <w:sz w:val="17"/>
                <w:szCs w:val="17"/>
                <w:color w:val="auto"/>
              </w:rPr>
              <w:t>(16)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ind w:right="134"/>
              <w:spacing w:after="0"/>
              <w:rPr>
                <w:sz w:val="20"/>
                <w:szCs w:val="20"/>
                <w:color w:val="auto"/>
              </w:rPr>
            </w:pPr>
            <w:r>
              <w:rPr>
                <w:rFonts w:ascii="Arial" w:cs="Arial" w:eastAsia="Arial" w:hAnsi="Arial"/>
                <w:sz w:val="17"/>
                <w:szCs w:val="17"/>
                <w:color w:val="auto"/>
              </w:rPr>
              <w:t>13.7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ind w:right="134"/>
              <w:spacing w:after="0"/>
              <w:rPr>
                <w:sz w:val="20"/>
                <w:szCs w:val="20"/>
                <w:color w:val="auto"/>
              </w:rPr>
            </w:pPr>
            <w:r>
              <w:rPr>
                <w:rFonts w:ascii="Arial" w:cs="Arial" w:eastAsia="Arial" w:hAnsi="Arial"/>
                <w:sz w:val="17"/>
                <w:szCs w:val="17"/>
                <w:color w:val="auto"/>
              </w:rPr>
              <w:t>22.4</w:t>
            </w:r>
          </w:p>
        </w:tc>
        <w:tc>
          <w:tcPr>
            <w:tcW w:w="1060" w:type="dxa"/>
            <w:vAlign w:val="bottom"/>
            <w:gridSpan w:val="2"/>
          </w:tcPr>
          <w:p>
            <w:pPr>
              <w:jc w:val="right"/>
              <w:ind w:right="74"/>
              <w:spacing w:after="0"/>
              <w:rPr>
                <w:sz w:val="20"/>
                <w:szCs w:val="20"/>
                <w:color w:val="auto"/>
              </w:rPr>
            </w:pPr>
            <w:r>
              <w:rPr>
                <w:rFonts w:ascii="Arial" w:cs="Arial" w:eastAsia="Arial" w:hAnsi="Arial"/>
                <w:sz w:val="17"/>
                <w:szCs w:val="17"/>
                <w:color w:val="auto"/>
              </w:rPr>
              <w:t>(39)</w:t>
            </w:r>
          </w:p>
        </w:tc>
        <w:tc>
          <w:tcPr>
            <w:tcW w:w="0" w:type="dxa"/>
            <w:vAlign w:val="bottom"/>
          </w:tcPr>
          <w:p>
            <w:pPr>
              <w:spacing w:after="0"/>
              <w:rPr>
                <w:sz w:val="1"/>
                <w:szCs w:val="1"/>
                <w:color w:val="auto"/>
              </w:rPr>
            </w:pPr>
          </w:p>
        </w:tc>
      </w:tr>
      <w:tr>
        <w:trPr>
          <w:trHeight w:val="155"/>
        </w:trPr>
        <w:tc>
          <w:tcPr>
            <w:tcW w:w="3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3100" w:type="dxa"/>
            <w:vAlign w:val="bottom"/>
          </w:tcPr>
          <w:p>
            <w:pPr>
              <w:ind w:left="20"/>
              <w:spacing w:after="0" w:line="168" w:lineRule="exact"/>
              <w:rPr>
                <w:sz w:val="20"/>
                <w:szCs w:val="20"/>
                <w:color w:val="auto"/>
              </w:rPr>
            </w:pPr>
            <w:r>
              <w:rPr>
                <w:rFonts w:ascii="Arial" w:cs="Arial" w:eastAsia="Arial" w:hAnsi="Arial"/>
                <w:sz w:val="17"/>
                <w:szCs w:val="17"/>
                <w:color w:val="auto"/>
              </w:rPr>
              <w:t xml:space="preserve">Number of completed modifications </w:t>
            </w:r>
            <w:r>
              <w:rPr>
                <w:rFonts w:ascii="Arial" w:cs="Arial" w:eastAsia="Arial" w:hAnsi="Arial"/>
                <w:sz w:val="17"/>
                <w:szCs w:val="17"/>
                <w:i w:val="1"/>
                <w:iCs w:val="1"/>
                <w:color w:val="auto"/>
              </w:rPr>
              <w:t>(in</w:t>
            </w:r>
          </w:p>
        </w:tc>
        <w:tc>
          <w:tcPr>
            <w:tcW w:w="240" w:type="dxa"/>
            <w:vAlign w:val="bottom"/>
          </w:tcPr>
          <w:p>
            <w:pPr>
              <w:spacing w:after="0"/>
              <w:rPr>
                <w:sz w:val="14"/>
                <w:szCs w:val="14"/>
                <w:color w:val="auto"/>
              </w:rPr>
            </w:pPr>
          </w:p>
        </w:tc>
        <w:tc>
          <w:tcPr>
            <w:tcW w:w="1180" w:type="dxa"/>
            <w:vAlign w:val="bottom"/>
            <w:vMerge w:val="restart"/>
          </w:tcPr>
          <w:p>
            <w:pPr>
              <w:jc w:val="right"/>
              <w:ind w:right="134"/>
              <w:spacing w:after="0"/>
              <w:rPr>
                <w:sz w:val="20"/>
                <w:szCs w:val="20"/>
                <w:color w:val="auto"/>
              </w:rPr>
            </w:pPr>
            <w:r>
              <w:rPr>
                <w:rFonts w:ascii="Arial" w:cs="Arial" w:eastAsia="Arial" w:hAnsi="Arial"/>
                <w:sz w:val="17"/>
                <w:szCs w:val="17"/>
                <w:color w:val="auto"/>
              </w:rPr>
              <w:t>4.8</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vMerge w:val="restart"/>
          </w:tcPr>
          <w:p>
            <w:pPr>
              <w:jc w:val="right"/>
              <w:ind w:right="114"/>
              <w:spacing w:after="0"/>
              <w:rPr>
                <w:sz w:val="20"/>
                <w:szCs w:val="20"/>
                <w:color w:val="auto"/>
              </w:rPr>
            </w:pPr>
            <w:r>
              <w:rPr>
                <w:rFonts w:ascii="Arial" w:cs="Arial" w:eastAsia="Arial" w:hAnsi="Arial"/>
                <w:sz w:val="17"/>
                <w:szCs w:val="17"/>
                <w:color w:val="auto"/>
              </w:rPr>
              <w:t>4.0</w:t>
            </w:r>
          </w:p>
        </w:tc>
        <w:tc>
          <w:tcPr>
            <w:tcW w:w="1080" w:type="dxa"/>
            <w:vAlign w:val="bottom"/>
            <w:gridSpan w:val="2"/>
            <w:vMerge w:val="restart"/>
          </w:tcPr>
          <w:p>
            <w:pPr>
              <w:ind w:left="700"/>
              <w:spacing w:after="0"/>
              <w:rPr>
                <w:sz w:val="20"/>
                <w:szCs w:val="20"/>
                <w:color w:val="auto"/>
              </w:rPr>
            </w:pPr>
            <w:r>
              <w:rPr>
                <w:rFonts w:ascii="Arial" w:cs="Arial" w:eastAsia="Arial" w:hAnsi="Arial"/>
                <w:sz w:val="17"/>
                <w:szCs w:val="17"/>
                <w:color w:val="auto"/>
                <w:w w:val="92"/>
              </w:rPr>
              <w:t>18 %</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vMerge w:val="restart"/>
          </w:tcPr>
          <w:p>
            <w:pPr>
              <w:jc w:val="right"/>
              <w:ind w:right="134"/>
              <w:spacing w:after="0"/>
              <w:rPr>
                <w:sz w:val="20"/>
                <w:szCs w:val="20"/>
                <w:color w:val="auto"/>
              </w:rPr>
            </w:pPr>
            <w:r>
              <w:rPr>
                <w:rFonts w:ascii="Arial" w:cs="Arial" w:eastAsia="Arial" w:hAnsi="Arial"/>
                <w:sz w:val="17"/>
                <w:szCs w:val="17"/>
                <w:color w:val="auto"/>
              </w:rPr>
              <w:t>8.8</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vMerge w:val="restart"/>
          </w:tcPr>
          <w:p>
            <w:pPr>
              <w:jc w:val="right"/>
              <w:ind w:right="134"/>
              <w:spacing w:after="0"/>
              <w:rPr>
                <w:sz w:val="20"/>
                <w:szCs w:val="20"/>
                <w:color w:val="auto"/>
              </w:rPr>
            </w:pPr>
            <w:r>
              <w:rPr>
                <w:rFonts w:ascii="Arial" w:cs="Arial" w:eastAsia="Arial" w:hAnsi="Arial"/>
                <w:sz w:val="17"/>
                <w:szCs w:val="17"/>
                <w:color w:val="auto"/>
              </w:rPr>
              <w:t>8.9</w:t>
            </w:r>
          </w:p>
        </w:tc>
        <w:tc>
          <w:tcPr>
            <w:tcW w:w="1060" w:type="dxa"/>
            <w:vAlign w:val="bottom"/>
            <w:gridSpan w:val="2"/>
            <w:vMerge w:val="restart"/>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19"/>
        </w:trPr>
        <w:tc>
          <w:tcPr>
            <w:tcW w:w="3100" w:type="dxa"/>
            <w:vAlign w:val="bottom"/>
          </w:tcPr>
          <w:p>
            <w:pPr>
              <w:ind w:left="180"/>
              <w:spacing w:after="0"/>
              <w:rPr>
                <w:sz w:val="20"/>
                <w:szCs w:val="20"/>
                <w:color w:val="auto"/>
              </w:rPr>
            </w:pPr>
            <w:r>
              <w:rPr>
                <w:rFonts w:ascii="Arial" w:cs="Arial" w:eastAsia="Arial" w:hAnsi="Arial"/>
                <w:sz w:val="17"/>
                <w:szCs w:val="17"/>
                <w:i w:val="1"/>
                <w:iCs w:val="1"/>
                <w:color w:val="auto"/>
              </w:rPr>
              <w:t>000’s)</w:t>
            </w:r>
          </w:p>
        </w:tc>
        <w:tc>
          <w:tcPr>
            <w:tcW w:w="24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3100" w:type="dxa"/>
            <w:vAlign w:val="bottom"/>
            <w:shd w:val="clear" w:color="auto" w:fill="CCEEFF"/>
          </w:tcPr>
          <w:p>
            <w:pPr>
              <w:ind w:left="20"/>
              <w:spacing w:after="0" w:line="168" w:lineRule="exact"/>
              <w:rPr>
                <w:sz w:val="20"/>
                <w:szCs w:val="20"/>
                <w:color w:val="auto"/>
              </w:rPr>
            </w:pPr>
            <w:r>
              <w:rPr>
                <w:rFonts w:ascii="Arial" w:cs="Arial" w:eastAsia="Arial" w:hAnsi="Arial"/>
                <w:sz w:val="17"/>
                <w:szCs w:val="17"/>
                <w:color w:val="auto"/>
              </w:rPr>
              <w:t>Revenue recognized in connection with</w:t>
            </w:r>
          </w:p>
        </w:tc>
        <w:tc>
          <w:tcPr>
            <w:tcW w:w="240" w:type="dxa"/>
            <w:vAlign w:val="bottom"/>
            <w:vMerge w:val="restart"/>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180" w:type="dxa"/>
            <w:vAlign w:val="bottom"/>
            <w:vMerge w:val="restart"/>
            <w:shd w:val="clear" w:color="auto" w:fill="CCEEFF"/>
          </w:tcPr>
          <w:p>
            <w:pPr>
              <w:jc w:val="right"/>
              <w:ind w:right="134"/>
              <w:spacing w:after="0"/>
              <w:rPr>
                <w:sz w:val="20"/>
                <w:szCs w:val="20"/>
                <w:color w:val="auto"/>
              </w:rPr>
            </w:pPr>
            <w:r>
              <w:rPr>
                <w:rFonts w:ascii="Arial" w:cs="Arial" w:eastAsia="Arial" w:hAnsi="Arial"/>
                <w:sz w:val="17"/>
                <w:szCs w:val="17"/>
                <w:color w:val="auto"/>
              </w:rPr>
              <w:t>5.7</w:t>
            </w:r>
          </w:p>
        </w:tc>
        <w:tc>
          <w:tcPr>
            <w:tcW w:w="80" w:type="dxa"/>
            <w:vAlign w:val="bottom"/>
            <w:shd w:val="clear" w:color="auto" w:fill="CCEEFF"/>
          </w:tcPr>
          <w:p>
            <w:pPr>
              <w:spacing w:after="0"/>
              <w:rPr>
                <w:sz w:val="14"/>
                <w:szCs w:val="14"/>
                <w:color w:val="auto"/>
              </w:rPr>
            </w:pPr>
          </w:p>
        </w:tc>
        <w:tc>
          <w:tcPr>
            <w:tcW w:w="240" w:type="dxa"/>
            <w:vAlign w:val="bottom"/>
            <w:vMerge w:val="restart"/>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180" w:type="dxa"/>
            <w:vAlign w:val="bottom"/>
            <w:vMerge w:val="restart"/>
            <w:shd w:val="clear" w:color="auto" w:fill="CCEEFF"/>
          </w:tcPr>
          <w:p>
            <w:pPr>
              <w:jc w:val="right"/>
              <w:ind w:right="114"/>
              <w:spacing w:after="0"/>
              <w:rPr>
                <w:sz w:val="20"/>
                <w:szCs w:val="20"/>
                <w:color w:val="auto"/>
              </w:rPr>
            </w:pPr>
            <w:r>
              <w:rPr>
                <w:rFonts w:ascii="Arial" w:cs="Arial" w:eastAsia="Arial" w:hAnsi="Arial"/>
                <w:sz w:val="17"/>
                <w:szCs w:val="17"/>
                <w:color w:val="auto"/>
              </w:rPr>
              <w:t>6.4</w:t>
            </w:r>
          </w:p>
        </w:tc>
        <w:tc>
          <w:tcPr>
            <w:tcW w:w="1420" w:type="dxa"/>
            <w:vAlign w:val="bottom"/>
            <w:gridSpan w:val="4"/>
            <w:vMerge w:val="restart"/>
            <w:shd w:val="clear" w:color="auto" w:fill="CCEEFF"/>
          </w:tcPr>
          <w:p>
            <w:pPr>
              <w:ind w:left="620"/>
              <w:spacing w:after="0"/>
              <w:rPr>
                <w:sz w:val="20"/>
                <w:szCs w:val="20"/>
                <w:color w:val="auto"/>
              </w:rPr>
            </w:pPr>
            <w:r>
              <w:rPr>
                <w:rFonts w:ascii="Arial" w:cs="Arial" w:eastAsia="Arial" w:hAnsi="Arial"/>
                <w:sz w:val="17"/>
                <w:szCs w:val="17"/>
                <w:color w:val="auto"/>
              </w:rPr>
              <w:t>(11)%  $</w:t>
            </w:r>
          </w:p>
        </w:tc>
        <w:tc>
          <w:tcPr>
            <w:tcW w:w="1200" w:type="dxa"/>
            <w:vAlign w:val="bottom"/>
            <w:vMerge w:val="restart"/>
            <w:shd w:val="clear" w:color="auto" w:fill="CCEEFF"/>
          </w:tcPr>
          <w:p>
            <w:pPr>
              <w:jc w:val="right"/>
              <w:ind w:right="134"/>
              <w:spacing w:after="0"/>
              <w:rPr>
                <w:sz w:val="20"/>
                <w:szCs w:val="20"/>
                <w:color w:val="auto"/>
              </w:rPr>
            </w:pPr>
            <w:r>
              <w:rPr>
                <w:rFonts w:ascii="Arial" w:cs="Arial" w:eastAsia="Arial" w:hAnsi="Arial"/>
                <w:sz w:val="17"/>
                <w:szCs w:val="17"/>
                <w:color w:val="auto"/>
              </w:rPr>
              <w:t>12.1</w:t>
            </w:r>
          </w:p>
        </w:tc>
        <w:tc>
          <w:tcPr>
            <w:tcW w:w="80" w:type="dxa"/>
            <w:vAlign w:val="bottom"/>
            <w:shd w:val="clear" w:color="auto" w:fill="CCEEFF"/>
          </w:tcPr>
          <w:p>
            <w:pPr>
              <w:spacing w:after="0"/>
              <w:rPr>
                <w:sz w:val="14"/>
                <w:szCs w:val="14"/>
                <w:color w:val="auto"/>
              </w:rPr>
            </w:pPr>
          </w:p>
        </w:tc>
        <w:tc>
          <w:tcPr>
            <w:tcW w:w="260" w:type="dxa"/>
            <w:vAlign w:val="bottom"/>
            <w:vMerge w:val="restart"/>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200" w:type="dxa"/>
            <w:vAlign w:val="bottom"/>
            <w:vMerge w:val="restart"/>
            <w:shd w:val="clear" w:color="auto" w:fill="CCEEFF"/>
          </w:tcPr>
          <w:p>
            <w:pPr>
              <w:jc w:val="right"/>
              <w:ind w:right="134"/>
              <w:spacing w:after="0"/>
              <w:rPr>
                <w:sz w:val="20"/>
                <w:szCs w:val="20"/>
                <w:color w:val="auto"/>
              </w:rPr>
            </w:pPr>
            <w:r>
              <w:rPr>
                <w:rFonts w:ascii="Arial" w:cs="Arial" w:eastAsia="Arial" w:hAnsi="Arial"/>
                <w:sz w:val="17"/>
                <w:szCs w:val="17"/>
                <w:color w:val="auto"/>
              </w:rPr>
              <w:t>15.2</w:t>
            </w:r>
          </w:p>
        </w:tc>
        <w:tc>
          <w:tcPr>
            <w:tcW w:w="1060" w:type="dxa"/>
            <w:vAlign w:val="bottom"/>
            <w:gridSpan w:val="2"/>
            <w:vMerge w:val="restart"/>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0" w:type="dxa"/>
            <w:vAlign w:val="bottom"/>
          </w:tcPr>
          <w:p>
            <w:pPr>
              <w:spacing w:after="0"/>
              <w:rPr>
                <w:sz w:val="1"/>
                <w:szCs w:val="1"/>
                <w:color w:val="auto"/>
              </w:rPr>
            </w:pPr>
          </w:p>
        </w:tc>
      </w:tr>
      <w:tr>
        <w:trPr>
          <w:trHeight w:val="219"/>
        </w:trPr>
        <w:tc>
          <w:tcPr>
            <w:tcW w:w="31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loan modifications</w:t>
            </w:r>
          </w:p>
        </w:tc>
        <w:tc>
          <w:tcPr>
            <w:tcW w:w="240" w:type="dxa"/>
            <w:vAlign w:val="bottom"/>
            <w:vMerge w:val="continue"/>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420" w:type="dxa"/>
            <w:vAlign w:val="bottom"/>
            <w:gridSpan w:val="4"/>
            <w:vMerge w:val="continue"/>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106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320" w:right="600" w:hanging="317"/>
        <w:spacing w:after="0" w:line="243" w:lineRule="auto"/>
        <w:tabs>
          <w:tab w:leader="none" w:pos="320" w:val="left"/>
        </w:tabs>
        <w:numPr>
          <w:ilvl w:val="0"/>
          <w:numId w:val="44"/>
        </w:numPr>
        <w:rPr>
          <w:rFonts w:ascii="Arial" w:cs="Arial" w:eastAsia="Arial" w:hAnsi="Arial"/>
          <w:sz w:val="16"/>
          <w:szCs w:val="16"/>
          <w:color w:val="auto"/>
        </w:rPr>
      </w:pPr>
      <w:r>
        <w:rPr>
          <w:rFonts w:ascii="Arial" w:cs="Arial" w:eastAsia="Arial" w:hAnsi="Arial"/>
          <w:sz w:val="16"/>
          <w:szCs w:val="16"/>
          <w:color w:val="auto"/>
        </w:rPr>
        <w:t>Performing loans include those loans that are less than 90 days past due and those loans for which borrowers are making scheduled payments under loan modification, forbearance or bankruptcy plans. We consider all other loans to be non-performing.</w:t>
      </w:r>
    </w:p>
    <w:p>
      <w:pPr>
        <w:spacing w:after="0" w:line="1" w:lineRule="exact"/>
        <w:rPr>
          <w:rFonts w:ascii="Arial" w:cs="Arial" w:eastAsia="Arial" w:hAnsi="Arial"/>
          <w:sz w:val="16"/>
          <w:szCs w:val="16"/>
          <w:color w:val="auto"/>
        </w:rPr>
      </w:pPr>
    </w:p>
    <w:p>
      <w:pPr>
        <w:jc w:val="both"/>
        <w:ind w:left="320" w:right="60" w:hanging="317"/>
        <w:spacing w:after="0" w:line="235" w:lineRule="auto"/>
        <w:tabs>
          <w:tab w:leader="none" w:pos="320" w:val="left"/>
        </w:tabs>
        <w:numPr>
          <w:ilvl w:val="0"/>
          <w:numId w:val="44"/>
        </w:numPr>
        <w:rPr>
          <w:rFonts w:ascii="Arial" w:cs="Arial" w:eastAsia="Arial" w:hAnsi="Arial"/>
          <w:sz w:val="16"/>
          <w:szCs w:val="16"/>
          <w:color w:val="auto"/>
        </w:rPr>
      </w:pPr>
      <w:r>
        <w:rPr>
          <w:rFonts w:ascii="Arial" w:cs="Arial" w:eastAsia="Arial" w:hAnsi="Arial"/>
          <w:sz w:val="16"/>
          <w:szCs w:val="16"/>
          <w:color w:val="auto"/>
        </w:rPr>
        <w:t>Conventional loans include 68,985 and 70,938 prime loans with a UPB of $13.4 billion and $13.4 billion at June 30, 2022 and March 31, 2022, respectively, that we service or subservice. This compares to 81,193 prime loans with a UPB of $14.6 billion at June 30, 2021. Prime loans are generally good credit quality loans that meet GSE underwriting standards.</w:t>
      </w:r>
    </w:p>
    <w:p>
      <w:pPr>
        <w:spacing w:after="0" w:line="2" w:lineRule="exact"/>
        <w:rPr>
          <w:rFonts w:ascii="Arial" w:cs="Arial" w:eastAsia="Arial" w:hAnsi="Arial"/>
          <w:sz w:val="16"/>
          <w:szCs w:val="16"/>
          <w:color w:val="auto"/>
        </w:rPr>
      </w:pPr>
    </w:p>
    <w:p>
      <w:pPr>
        <w:ind w:left="320" w:hanging="317"/>
        <w:spacing w:after="0" w:line="235" w:lineRule="auto"/>
        <w:tabs>
          <w:tab w:leader="none" w:pos="320" w:val="left"/>
        </w:tabs>
        <w:numPr>
          <w:ilvl w:val="0"/>
          <w:numId w:val="44"/>
        </w:numPr>
        <w:rPr>
          <w:rFonts w:ascii="Arial" w:cs="Arial" w:eastAsia="Arial" w:hAnsi="Arial"/>
          <w:sz w:val="16"/>
          <w:szCs w:val="16"/>
          <w:color w:val="auto"/>
        </w:rPr>
      </w:pPr>
      <w:r>
        <w:rPr>
          <w:rFonts w:ascii="Arial" w:cs="Arial" w:eastAsia="Arial" w:hAnsi="Arial"/>
          <w:sz w:val="16"/>
          <w:szCs w:val="16"/>
          <w:color w:val="auto"/>
        </w:rPr>
        <w:t>Includes $7.4 billion UPB of reverse mortgage loans that are recognized in our consolidated balance sheet at June 30, 2022.</w:t>
      </w:r>
    </w:p>
    <w:p>
      <w:pPr>
        <w:ind w:left="320" w:right="240" w:hanging="317"/>
        <w:spacing w:after="0" w:line="235" w:lineRule="auto"/>
        <w:tabs>
          <w:tab w:leader="none" w:pos="320" w:val="left"/>
        </w:tabs>
        <w:numPr>
          <w:ilvl w:val="0"/>
          <w:numId w:val="44"/>
        </w:numPr>
        <w:rPr>
          <w:rFonts w:ascii="Arial" w:cs="Arial" w:eastAsia="Arial" w:hAnsi="Arial"/>
          <w:sz w:val="16"/>
          <w:szCs w:val="16"/>
          <w:color w:val="auto"/>
        </w:rPr>
      </w:pPr>
      <w:r>
        <w:rPr>
          <w:rFonts w:ascii="Arial" w:cs="Arial" w:eastAsia="Arial" w:hAnsi="Arial"/>
          <w:sz w:val="16"/>
          <w:szCs w:val="16"/>
          <w:color w:val="auto"/>
        </w:rPr>
        <w:t>Includes $16.6 billion UPB subserviced and $28.5 billion UPB of MSRs sold to MAV that did not achieve sale accounting treatment at June 30, 2022. Excludes subserviced loans with a UPB of $1.6 billion that have not yet transferred onto the PMC servicing system as of June 30, 2022.</w:t>
      </w:r>
    </w:p>
    <w:p>
      <w:pPr>
        <w:spacing w:after="0" w:line="1" w:lineRule="exact"/>
        <w:rPr>
          <w:rFonts w:ascii="Arial" w:cs="Arial" w:eastAsia="Arial" w:hAnsi="Arial"/>
          <w:sz w:val="16"/>
          <w:szCs w:val="16"/>
          <w:color w:val="auto"/>
        </w:rPr>
      </w:pPr>
    </w:p>
    <w:p>
      <w:pPr>
        <w:ind w:left="320" w:hanging="317"/>
        <w:spacing w:after="0" w:line="235" w:lineRule="auto"/>
        <w:tabs>
          <w:tab w:leader="none" w:pos="320" w:val="left"/>
        </w:tabs>
        <w:numPr>
          <w:ilvl w:val="0"/>
          <w:numId w:val="44"/>
        </w:numPr>
        <w:rPr>
          <w:rFonts w:ascii="Arial" w:cs="Arial" w:eastAsia="Arial" w:hAnsi="Arial"/>
          <w:sz w:val="16"/>
          <w:szCs w:val="16"/>
          <w:color w:val="auto"/>
        </w:rPr>
      </w:pPr>
      <w:r>
        <w:rPr>
          <w:rFonts w:ascii="Arial" w:cs="Arial" w:eastAsia="Arial" w:hAnsi="Arial"/>
          <w:sz w:val="16"/>
          <w:szCs w:val="16"/>
          <w:color w:val="auto"/>
        </w:rPr>
        <w:t>Loans serviced or subserviced pursuant to our agreements with NRZ or MAV.</w:t>
      </w:r>
    </w:p>
    <w:p>
      <w:pPr>
        <w:ind w:left="320" w:hanging="317"/>
        <w:spacing w:after="0" w:line="235" w:lineRule="auto"/>
        <w:tabs>
          <w:tab w:leader="none" w:pos="320" w:val="left"/>
        </w:tabs>
        <w:numPr>
          <w:ilvl w:val="0"/>
          <w:numId w:val="44"/>
        </w:numPr>
        <w:rPr>
          <w:rFonts w:ascii="Arial" w:cs="Arial" w:eastAsia="Arial" w:hAnsi="Arial"/>
          <w:sz w:val="16"/>
          <w:szCs w:val="16"/>
          <w:color w:val="auto"/>
        </w:rPr>
      </w:pPr>
      <w:r>
        <w:rPr>
          <w:rFonts w:ascii="Arial" w:cs="Arial" w:eastAsia="Arial" w:hAnsi="Arial"/>
          <w:sz w:val="16"/>
          <w:szCs w:val="16"/>
          <w:color w:val="auto"/>
        </w:rPr>
        <w:t>Includes $2.0 billion UPB of subserviced loans at June 30, 2022.</w:t>
      </w:r>
    </w:p>
    <w:p>
      <w:pPr>
        <w:ind w:left="320" w:hanging="317"/>
        <w:spacing w:after="0"/>
        <w:tabs>
          <w:tab w:leader="none" w:pos="32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Total 3-month % CPR includes voluntary and involuntary prepayments, as shown in the table, plus scheduled principal amortization.</w:t>
      </w:r>
    </w:p>
    <w:p>
      <w:pPr>
        <w:spacing w:after="0" w:line="265" w:lineRule="exact"/>
        <w:rPr>
          <w:sz w:val="20"/>
          <w:szCs w:val="20"/>
          <w:color w:val="auto"/>
        </w:rPr>
      </w:pPr>
    </w:p>
    <w:p>
      <w:pPr>
        <w:ind w:right="160"/>
        <w:spacing w:after="0" w:line="283" w:lineRule="auto"/>
        <w:rPr>
          <w:sz w:val="20"/>
          <w:szCs w:val="20"/>
          <w:color w:val="auto"/>
        </w:rPr>
      </w:pPr>
      <w:r>
        <w:rPr>
          <w:rFonts w:ascii="Arial" w:cs="Arial" w:eastAsia="Arial" w:hAnsi="Arial"/>
          <w:sz w:val="17"/>
          <w:szCs w:val="17"/>
          <w:color w:val="auto"/>
        </w:rPr>
        <w:t>The following table provides the rollforward of activity of our portfolio of mortgage loans serviced that includes MSRs, whole loans and subserviced loans, both forward and reverse:</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760" w:type="dxa"/>
            <w:vAlign w:val="bottom"/>
          </w:tcPr>
          <w:p>
            <w:pPr>
              <w:spacing w:after="0"/>
              <w:rPr>
                <w:sz w:val="19"/>
                <w:szCs w:val="19"/>
                <w:color w:val="auto"/>
              </w:rPr>
            </w:pPr>
          </w:p>
        </w:tc>
        <w:tc>
          <w:tcPr>
            <w:tcW w:w="1880" w:type="dxa"/>
            <w:vAlign w:val="bottom"/>
            <w:gridSpan w:val="4"/>
          </w:tcPr>
          <w:p>
            <w:pPr>
              <w:jc w:val="right"/>
              <w:spacing w:after="0"/>
              <w:rPr>
                <w:sz w:val="20"/>
                <w:szCs w:val="20"/>
                <w:color w:val="auto"/>
              </w:rPr>
            </w:pPr>
            <w:r>
              <w:rPr>
                <w:rFonts w:ascii="Arial" w:cs="Arial" w:eastAsia="Arial" w:hAnsi="Arial"/>
                <w:sz w:val="17"/>
                <w:szCs w:val="17"/>
                <w:b w:val="1"/>
                <w:bCs w:val="1"/>
                <w:color w:val="auto"/>
              </w:rPr>
              <w:t>Amount of UPB (</w:t>
            </w:r>
            <w:r>
              <w:rPr>
                <w:rFonts w:ascii="Arial" w:cs="Arial" w:eastAsia="Arial" w:hAnsi="Arial"/>
                <w:sz w:val="17"/>
                <w:szCs w:val="17"/>
                <w:b w:val="1"/>
                <w:bCs w:val="1"/>
                <w:i w:val="1"/>
                <w:iCs w:val="1"/>
                <w:color w:val="auto"/>
              </w:rPr>
              <w:t>$</w:t>
            </w:r>
          </w:p>
        </w:tc>
        <w:tc>
          <w:tcPr>
            <w:tcW w:w="1380" w:type="dxa"/>
            <w:vAlign w:val="bottom"/>
            <w:gridSpan w:val="2"/>
          </w:tcPr>
          <w:p>
            <w:pPr>
              <w:ind w:left="20"/>
              <w:spacing w:after="0"/>
              <w:rPr>
                <w:sz w:val="20"/>
                <w:szCs w:val="20"/>
                <w:color w:val="auto"/>
              </w:rPr>
            </w:pPr>
            <w:r>
              <w:rPr>
                <w:rFonts w:ascii="Arial" w:cs="Arial" w:eastAsia="Arial" w:hAnsi="Arial"/>
                <w:sz w:val="17"/>
                <w:szCs w:val="17"/>
                <w:b w:val="1"/>
                <w:bCs w:val="1"/>
                <w:i w:val="1"/>
                <w:iCs w:val="1"/>
                <w:color w:val="auto"/>
              </w:rPr>
              <w:t>in billions)</w:t>
            </w:r>
          </w:p>
        </w:tc>
        <w:tc>
          <w:tcPr>
            <w:tcW w:w="2140" w:type="dxa"/>
            <w:vAlign w:val="bottom"/>
            <w:gridSpan w:val="3"/>
          </w:tcPr>
          <w:p>
            <w:pPr>
              <w:ind w:left="1080"/>
              <w:spacing w:after="0"/>
              <w:rPr>
                <w:sz w:val="20"/>
                <w:szCs w:val="20"/>
                <w:color w:val="auto"/>
              </w:rPr>
            </w:pPr>
            <w:r>
              <w:rPr>
                <w:rFonts w:ascii="Arial" w:cs="Arial" w:eastAsia="Arial" w:hAnsi="Arial"/>
                <w:sz w:val="17"/>
                <w:szCs w:val="17"/>
                <w:b w:val="1"/>
                <w:bCs w:val="1"/>
                <w:color w:val="auto"/>
                <w:w w:val="96"/>
              </w:rPr>
              <w:t>Count (000’s)</w:t>
            </w:r>
          </w:p>
        </w:tc>
        <w:tc>
          <w:tcPr>
            <w:tcW w:w="1000" w:type="dxa"/>
            <w:vAlign w:val="bottom"/>
          </w:tcPr>
          <w:p>
            <w:pPr>
              <w:spacing w:after="0"/>
              <w:rPr>
                <w:sz w:val="19"/>
                <w:szCs w:val="19"/>
                <w:color w:val="auto"/>
              </w:rPr>
            </w:pPr>
          </w:p>
        </w:tc>
      </w:tr>
      <w:tr>
        <w:trPr>
          <w:trHeight w:val="213"/>
        </w:trPr>
        <w:tc>
          <w:tcPr>
            <w:tcW w:w="4760" w:type="dxa"/>
            <w:vAlign w:val="bottom"/>
            <w:tcBorders>
              <w:bottom w:val="single" w:sz="8" w:color="CCEEFF"/>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2022</w:t>
            </w:r>
          </w:p>
        </w:tc>
        <w:tc>
          <w:tcPr>
            <w:tcW w:w="5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7"/>
                <w:szCs w:val="17"/>
                <w:b w:val="1"/>
                <w:bCs w:val="1"/>
                <w:color w:val="auto"/>
              </w:rPr>
              <w:t>2021</w:t>
            </w:r>
          </w:p>
        </w:tc>
        <w:tc>
          <w:tcPr>
            <w:tcW w:w="100" w:type="dxa"/>
            <w:vAlign w:val="bottom"/>
            <w:tcBorders>
              <w:bottom w:val="single" w:sz="8" w:color="CCEEFF"/>
            </w:tcBorders>
          </w:tcPr>
          <w:p>
            <w:pPr>
              <w:spacing w:after="0"/>
              <w:rPr>
                <w:sz w:val="18"/>
                <w:szCs w:val="18"/>
                <w:color w:val="auto"/>
              </w:rPr>
            </w:pPr>
          </w:p>
        </w:tc>
        <w:tc>
          <w:tcPr>
            <w:tcW w:w="15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7"/>
                <w:szCs w:val="17"/>
                <w:b w:val="1"/>
                <w:bCs w:val="1"/>
                <w:color w:val="auto"/>
              </w:rPr>
              <w:t>2021</w:t>
            </w:r>
          </w:p>
        </w:tc>
      </w:tr>
      <w:tr>
        <w:trPr>
          <w:trHeight w:val="213"/>
        </w:trPr>
        <w:tc>
          <w:tcPr>
            <w:tcW w:w="47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Portfolio at January 1</w:t>
            </w:r>
          </w:p>
        </w:tc>
        <w:tc>
          <w:tcPr>
            <w:tcW w:w="1000" w:type="dxa"/>
            <w:vAlign w:val="bottom"/>
            <w:shd w:val="clear" w:color="auto" w:fill="CCEEFF"/>
          </w:tcPr>
          <w:p>
            <w:pPr>
              <w:jc w:val="right"/>
              <w:ind w:right="814"/>
              <w:spacing w:after="0"/>
              <w:rPr>
                <w:sz w:val="20"/>
                <w:szCs w:val="20"/>
                <w:color w:val="auto"/>
              </w:rPr>
            </w:pPr>
            <w:r>
              <w:rPr>
                <w:rFonts w:ascii="Arial" w:cs="Arial" w:eastAsia="Arial" w:hAnsi="Arial"/>
                <w:sz w:val="17"/>
                <w:szCs w:val="17"/>
                <w:color w:val="auto"/>
                <w:w w:val="84"/>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268.0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188.8</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1,353.2</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1,107.6</w:t>
            </w:r>
          </w:p>
        </w:tc>
      </w:tr>
      <w:tr>
        <w:trPr>
          <w:trHeight w:val="220"/>
        </w:trPr>
        <w:tc>
          <w:tcPr>
            <w:tcW w:w="4760" w:type="dxa"/>
            <w:vAlign w:val="bottom"/>
          </w:tcPr>
          <w:p>
            <w:pPr>
              <w:ind w:left="140"/>
              <w:spacing w:after="0"/>
              <w:rPr>
                <w:sz w:val="20"/>
                <w:szCs w:val="20"/>
                <w:color w:val="auto"/>
              </w:rPr>
            </w:pPr>
            <w:r>
              <w:rPr>
                <w:rFonts w:ascii="Arial" w:cs="Arial" w:eastAsia="Arial" w:hAnsi="Arial"/>
                <w:sz w:val="17"/>
                <w:szCs w:val="17"/>
                <w:color w:val="auto"/>
              </w:rPr>
              <w:t>Additions (1) (2) (3)</w:t>
            </w:r>
          </w:p>
        </w:tc>
        <w:tc>
          <w:tcPr>
            <w:tcW w:w="10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31.5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13.5</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78.1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49.4</w:t>
            </w:r>
          </w:p>
        </w:tc>
      </w:tr>
      <w:tr>
        <w:trPr>
          <w:trHeight w:val="220"/>
        </w:trPr>
        <w:tc>
          <w:tcPr>
            <w:tcW w:w="47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MSR sales (3)</w:t>
            </w:r>
          </w:p>
        </w:tc>
        <w:tc>
          <w:tcPr>
            <w:tcW w:w="10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w:t>
            </w:r>
          </w:p>
        </w:tc>
      </w:tr>
      <w:tr>
        <w:trPr>
          <w:trHeight w:val="220"/>
        </w:trPr>
        <w:tc>
          <w:tcPr>
            <w:tcW w:w="4760" w:type="dxa"/>
            <w:vAlign w:val="bottom"/>
          </w:tcPr>
          <w:p>
            <w:pPr>
              <w:ind w:left="140"/>
              <w:spacing w:after="0"/>
              <w:rPr>
                <w:sz w:val="20"/>
                <w:szCs w:val="20"/>
                <w:color w:val="auto"/>
              </w:rPr>
            </w:pPr>
            <w:r>
              <w:rPr>
                <w:rFonts w:ascii="Arial" w:cs="Arial" w:eastAsia="Arial" w:hAnsi="Arial"/>
                <w:sz w:val="17"/>
                <w:szCs w:val="17"/>
                <w:color w:val="auto"/>
              </w:rPr>
              <w:t>Servicing transfers</w:t>
            </w:r>
          </w:p>
        </w:tc>
        <w:tc>
          <w:tcPr>
            <w:tcW w:w="10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(2.3)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(10.9)</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(9.0)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(42.5)</w:t>
            </w:r>
          </w:p>
        </w:tc>
      </w:tr>
      <w:tr>
        <w:trPr>
          <w:trHeight w:val="220"/>
        </w:trPr>
        <w:tc>
          <w:tcPr>
            <w:tcW w:w="47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Runoff</w:t>
            </w:r>
          </w:p>
        </w:tc>
        <w:tc>
          <w:tcPr>
            <w:tcW w:w="10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(12.1)</w:t>
            </w:r>
          </w:p>
        </w:tc>
        <w:tc>
          <w:tcPr>
            <w:tcW w:w="10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(47.1)</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(51.2)</w:t>
            </w:r>
          </w:p>
        </w:tc>
      </w:tr>
      <w:tr>
        <w:trPr>
          <w:trHeight w:val="213"/>
        </w:trPr>
        <w:tc>
          <w:tcPr>
            <w:tcW w:w="4760" w:type="dxa"/>
            <w:vAlign w:val="bottom"/>
          </w:tcPr>
          <w:p>
            <w:pPr>
              <w:ind w:left="20"/>
              <w:spacing w:after="0"/>
              <w:rPr>
                <w:sz w:val="20"/>
                <w:szCs w:val="20"/>
                <w:color w:val="auto"/>
              </w:rPr>
            </w:pPr>
            <w:r>
              <w:rPr>
                <w:rFonts w:ascii="Arial" w:cs="Arial" w:eastAsia="Arial" w:hAnsi="Arial"/>
                <w:sz w:val="17"/>
                <w:szCs w:val="17"/>
                <w:b w:val="1"/>
                <w:bCs w:val="1"/>
                <w:color w:val="auto"/>
              </w:rPr>
              <w:t>Portfolio at March 31</w:t>
            </w:r>
          </w:p>
        </w:tc>
        <w:tc>
          <w:tcPr>
            <w:tcW w:w="1000" w:type="dxa"/>
            <w:vAlign w:val="bottom"/>
          </w:tcPr>
          <w:p>
            <w:pPr>
              <w:jc w:val="right"/>
              <w:ind w:right="814"/>
              <w:spacing w:after="0"/>
              <w:rPr>
                <w:sz w:val="20"/>
                <w:szCs w:val="20"/>
                <w:color w:val="auto"/>
              </w:rPr>
            </w:pPr>
            <w:r>
              <w:rPr>
                <w:rFonts w:ascii="Arial" w:cs="Arial" w:eastAsia="Arial" w:hAnsi="Arial"/>
                <w:sz w:val="17"/>
                <w:szCs w:val="17"/>
                <w:color w:val="auto"/>
                <w:w w:val="84"/>
              </w:rPr>
              <w:t>$</w:t>
            </w:r>
          </w:p>
        </w:tc>
        <w:tc>
          <w:tcPr>
            <w:tcW w:w="520" w:type="dxa"/>
            <w:vAlign w:val="bottom"/>
          </w:tcPr>
          <w:p>
            <w:pPr>
              <w:jc w:val="right"/>
              <w:spacing w:after="0"/>
              <w:rPr>
                <w:sz w:val="20"/>
                <w:szCs w:val="20"/>
                <w:color w:val="auto"/>
              </w:rPr>
            </w:pPr>
            <w:r>
              <w:rPr>
                <w:rFonts w:ascii="Arial" w:cs="Arial" w:eastAsia="Arial" w:hAnsi="Arial"/>
                <w:sz w:val="17"/>
                <w:szCs w:val="17"/>
                <w:color w:val="auto"/>
              </w:rPr>
              <w:t>275.3</w:t>
            </w:r>
          </w:p>
        </w:tc>
        <w:tc>
          <w:tcPr>
            <w:tcW w:w="100" w:type="dxa"/>
            <w:vAlign w:val="bottom"/>
          </w:tcPr>
          <w:p>
            <w:pPr>
              <w:spacing w:after="0"/>
              <w:rPr>
                <w:sz w:val="18"/>
                <w:szCs w:val="18"/>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179.4</w:t>
            </w: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1,375.1</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1,063.2</w:t>
            </w:r>
          </w:p>
        </w:tc>
      </w:tr>
      <w:tr>
        <w:trPr>
          <w:trHeight w:val="220"/>
        </w:trPr>
        <w:tc>
          <w:tcPr>
            <w:tcW w:w="47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Additions (1)</w:t>
            </w:r>
          </w:p>
        </w:tc>
        <w:tc>
          <w:tcPr>
            <w:tcW w:w="10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68.7</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256.8</w:t>
            </w:r>
          </w:p>
        </w:tc>
      </w:tr>
      <w:tr>
        <w:trPr>
          <w:trHeight w:val="220"/>
        </w:trPr>
        <w:tc>
          <w:tcPr>
            <w:tcW w:w="4760" w:type="dxa"/>
            <w:vAlign w:val="bottom"/>
          </w:tcPr>
          <w:p>
            <w:pPr>
              <w:ind w:left="140"/>
              <w:spacing w:after="0"/>
              <w:rPr>
                <w:sz w:val="20"/>
                <w:szCs w:val="20"/>
                <w:color w:val="auto"/>
              </w:rPr>
            </w:pPr>
            <w:r>
              <w:rPr>
                <w:rFonts w:ascii="Arial" w:cs="Arial" w:eastAsia="Arial" w:hAnsi="Arial"/>
                <w:sz w:val="17"/>
                <w:szCs w:val="17"/>
                <w:color w:val="auto"/>
              </w:rPr>
              <w:t>Sales</w:t>
            </w:r>
          </w:p>
        </w:tc>
        <w:tc>
          <w:tcPr>
            <w:tcW w:w="100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520" w:type="dxa"/>
            <w:vAlign w:val="bottom"/>
          </w:tcPr>
          <w:p>
            <w:pPr>
              <w:jc w:val="right"/>
              <w:spacing w:after="0"/>
              <w:rPr>
                <w:sz w:val="20"/>
                <w:szCs w:val="20"/>
                <w:color w:val="auto"/>
              </w:rPr>
            </w:pPr>
            <w:r>
              <w:rPr>
                <w:rFonts w:ascii="Arial" w:cs="Arial" w:eastAsia="Arial" w:hAnsi="Arial"/>
                <w:sz w:val="17"/>
                <w:szCs w:val="17"/>
                <w:color w:val="auto"/>
              </w:rPr>
              <w:t>(0.1)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47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Servicing transfers (2)</w:t>
            </w:r>
          </w:p>
        </w:tc>
        <w:tc>
          <w:tcPr>
            <w:tcW w:w="10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w:t>
            </w:r>
          </w:p>
        </w:tc>
      </w:tr>
      <w:tr>
        <w:trPr>
          <w:trHeight w:val="220"/>
        </w:trPr>
        <w:tc>
          <w:tcPr>
            <w:tcW w:w="476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Runoff</w:t>
            </w:r>
          </w:p>
        </w:tc>
        <w:tc>
          <w:tcPr>
            <w:tcW w:w="10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(10.7)</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(44.5)</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(49.9)</w:t>
            </w:r>
          </w:p>
        </w:tc>
      </w:tr>
      <w:tr>
        <w:trPr>
          <w:trHeight w:val="238"/>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Portfolio at June 30</w:t>
            </w:r>
          </w:p>
        </w:tc>
        <w:tc>
          <w:tcPr>
            <w:tcW w:w="1000" w:type="dxa"/>
            <w:vAlign w:val="bottom"/>
            <w:tcBorders>
              <w:bottom w:val="single" w:sz="8" w:color="auto"/>
            </w:tcBorders>
            <w:shd w:val="clear" w:color="auto" w:fill="CCEEFF"/>
          </w:tcPr>
          <w:p>
            <w:pPr>
              <w:jc w:val="right"/>
              <w:ind w:right="814"/>
              <w:spacing w:after="0"/>
              <w:rPr>
                <w:sz w:val="20"/>
                <w:szCs w:val="20"/>
                <w:color w:val="auto"/>
              </w:rPr>
            </w:pPr>
            <w:r>
              <w:rPr>
                <w:rFonts w:ascii="Arial" w:cs="Arial" w:eastAsia="Arial" w:hAnsi="Arial"/>
                <w:sz w:val="17"/>
                <w:szCs w:val="17"/>
                <w:color w:val="auto"/>
                <w:w w:val="84"/>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288.3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237.3</w:t>
            </w:r>
          </w:p>
        </w:tc>
        <w:tc>
          <w:tcPr>
            <w:tcW w:w="1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1,403.4</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1,269.9</w:t>
            </w: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108" w:lineRule="exact"/>
        <w:rPr>
          <w:sz w:val="20"/>
          <w:szCs w:val="20"/>
          <w:color w:val="auto"/>
        </w:rPr>
      </w:pPr>
    </w:p>
    <w:p>
      <w:pPr>
        <w:jc w:val="both"/>
        <w:ind w:left="320" w:right="100" w:hanging="317"/>
        <w:spacing w:after="0" w:line="241" w:lineRule="auto"/>
        <w:tabs>
          <w:tab w:leader="none" w:pos="320" w:val="left"/>
        </w:tabs>
        <w:numPr>
          <w:ilvl w:val="0"/>
          <w:numId w:val="45"/>
        </w:numPr>
        <w:rPr>
          <w:rFonts w:ascii="Arial" w:cs="Arial" w:eastAsia="Arial" w:hAnsi="Arial"/>
          <w:sz w:val="16"/>
          <w:szCs w:val="16"/>
          <w:color w:val="auto"/>
        </w:rPr>
      </w:pPr>
      <w:r>
        <w:rPr>
          <w:rFonts w:ascii="Arial" w:cs="Arial" w:eastAsia="Arial" w:hAnsi="Arial"/>
          <w:sz w:val="16"/>
          <w:szCs w:val="16"/>
          <w:color w:val="auto"/>
        </w:rPr>
        <w:t>Additions include purchased MSRs on portfolios consisting of 115 loans with a UPB of $39.5 million that have not yet transferred to the PMC servicing system as of June 30, 2022. Because we have legal title to the MSRs, the UPB and count of the loans are included in our reported servicing portfolio. The seller continues to subservice the loans on an interim basis between the transaction closing date and the servicing transfer date.</w:t>
      </w:r>
    </w:p>
    <w:p>
      <w:pPr>
        <w:ind w:left="320" w:right="600" w:hanging="317"/>
        <w:spacing w:after="0" w:line="235" w:lineRule="auto"/>
        <w:tabs>
          <w:tab w:leader="none" w:pos="320" w:val="left"/>
        </w:tabs>
        <w:numPr>
          <w:ilvl w:val="0"/>
          <w:numId w:val="45"/>
        </w:numPr>
        <w:rPr>
          <w:rFonts w:ascii="Arial" w:cs="Arial" w:eastAsia="Arial" w:hAnsi="Arial"/>
          <w:sz w:val="16"/>
          <w:szCs w:val="16"/>
          <w:color w:val="auto"/>
        </w:rPr>
      </w:pPr>
      <w:r>
        <w:rPr>
          <w:rFonts w:ascii="Arial" w:cs="Arial" w:eastAsia="Arial" w:hAnsi="Arial"/>
          <w:sz w:val="16"/>
          <w:szCs w:val="16"/>
          <w:color w:val="auto"/>
        </w:rPr>
        <w:t>Includes the volume UPB associated with short-term interim subservicing for some clients as a support to their originate-to-sell business, where loans are boarded and deboarded within the same quarter.</w:t>
      </w:r>
    </w:p>
    <w:p>
      <w:pPr>
        <w:spacing w:after="0" w:line="1" w:lineRule="exact"/>
        <w:rPr>
          <w:rFonts w:ascii="Arial" w:cs="Arial" w:eastAsia="Arial" w:hAnsi="Arial"/>
          <w:sz w:val="16"/>
          <w:szCs w:val="16"/>
          <w:color w:val="auto"/>
        </w:rPr>
      </w:pPr>
    </w:p>
    <w:p>
      <w:pPr>
        <w:ind w:left="320" w:right="400" w:hanging="317"/>
        <w:spacing w:after="0" w:line="238" w:lineRule="auto"/>
        <w:tabs>
          <w:tab w:leader="none" w:pos="320" w:val="left"/>
        </w:tabs>
        <w:numPr>
          <w:ilvl w:val="0"/>
          <w:numId w:val="45"/>
        </w:numPr>
        <w:rPr>
          <w:rFonts w:ascii="Arial" w:cs="Arial" w:eastAsia="Arial" w:hAnsi="Arial"/>
          <w:sz w:val="16"/>
          <w:szCs w:val="16"/>
          <w:color w:val="auto"/>
        </w:rPr>
      </w:pPr>
      <w:r>
        <w:rPr>
          <w:rFonts w:ascii="Arial" w:cs="Arial" w:eastAsia="Arial" w:hAnsi="Arial"/>
          <w:sz w:val="16"/>
          <w:szCs w:val="16"/>
          <w:color w:val="auto"/>
        </w:rPr>
        <w:t>Includes MSRs sold to an unrelated third party consisting of 38,236 loans with a UPB of $10.8 billion that have not yet transferred out of the PMC servicing system as of June 30, 2022, and for which PMC is performing interim subservicing.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73" w:name="page74"/>
    <w:bookmarkEnd w:id="73"/>
    <w:p>
      <w:pPr>
        <w:spacing w:after="0"/>
        <w:rPr>
          <w:sz w:val="20"/>
          <w:szCs w:val="20"/>
          <w:color w:val="auto"/>
        </w:rPr>
      </w:pPr>
      <w:r>
        <w:rPr>
          <w:rFonts w:ascii="Arial" w:cs="Arial" w:eastAsia="Arial" w:hAnsi="Arial"/>
          <w:sz w:val="17"/>
          <w:szCs w:val="17"/>
          <w:color w:val="auto"/>
        </w:rPr>
        <w:t>The following table provides a breakdown of our servicer advances: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9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gridSpan w:val="5"/>
          </w:tcPr>
          <w:p>
            <w:pPr>
              <w:ind w:left="580"/>
              <w:spacing w:after="0"/>
              <w:rPr>
                <w:sz w:val="20"/>
                <w:szCs w:val="20"/>
                <w:color w:val="auto"/>
              </w:rPr>
            </w:pPr>
            <w:r>
              <w:rPr>
                <w:rFonts w:ascii="Arial" w:cs="Arial" w:eastAsia="Arial" w:hAnsi="Arial"/>
                <w:sz w:val="17"/>
                <w:szCs w:val="17"/>
                <w:b w:val="1"/>
                <w:bCs w:val="1"/>
                <w:color w:val="auto"/>
              </w:rPr>
              <w:t>June 30, 2022</w:t>
            </w: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gridSpan w:val="5"/>
          </w:tcPr>
          <w:p>
            <w:pPr>
              <w:ind w:left="380"/>
              <w:spacing w:after="0"/>
              <w:rPr>
                <w:sz w:val="20"/>
                <w:szCs w:val="20"/>
                <w:color w:val="auto"/>
              </w:rPr>
            </w:pPr>
            <w:r>
              <w:rPr>
                <w:rFonts w:ascii="Arial" w:cs="Arial" w:eastAsia="Arial" w:hAnsi="Arial"/>
                <w:sz w:val="17"/>
                <w:szCs w:val="17"/>
                <w:b w:val="1"/>
                <w:bCs w:val="1"/>
                <w:color w:val="auto"/>
              </w:rPr>
              <w:t>December 31, 2021</w:t>
            </w: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1980" w:type="dxa"/>
            <w:vAlign w:val="bottom"/>
          </w:tcPr>
          <w:p>
            <w:pPr>
              <w:spacing w:after="0"/>
              <w:rPr>
                <w:sz w:val="12"/>
                <w:szCs w:val="12"/>
                <w:color w:val="auto"/>
              </w:rPr>
            </w:pPr>
          </w:p>
        </w:tc>
        <w:tc>
          <w:tcPr>
            <w:tcW w:w="108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rPr>
              <w:t>Principal and</w:t>
            </w:r>
          </w:p>
        </w:tc>
        <w:tc>
          <w:tcPr>
            <w:tcW w:w="120" w:type="dxa"/>
            <w:vAlign w:val="bottom"/>
          </w:tcPr>
          <w:p>
            <w:pPr>
              <w:spacing w:after="0"/>
              <w:rPr>
                <w:sz w:val="12"/>
                <w:szCs w:val="12"/>
                <w:color w:val="auto"/>
              </w:rPr>
            </w:pPr>
          </w:p>
        </w:tc>
        <w:tc>
          <w:tcPr>
            <w:tcW w:w="94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Taxes and</w:t>
            </w:r>
          </w:p>
        </w:tc>
        <w:tc>
          <w:tcPr>
            <w:tcW w:w="160" w:type="dxa"/>
            <w:vAlign w:val="bottom"/>
          </w:tcPr>
          <w:p>
            <w:pPr>
              <w:spacing w:after="0"/>
              <w:rPr>
                <w:sz w:val="12"/>
                <w:szCs w:val="12"/>
                <w:color w:val="auto"/>
              </w:rPr>
            </w:pPr>
          </w:p>
        </w:tc>
        <w:tc>
          <w:tcPr>
            <w:tcW w:w="1220" w:type="dxa"/>
            <w:vAlign w:val="bottom"/>
            <w:gridSpan w:val="2"/>
          </w:tcPr>
          <w:p>
            <w:pPr>
              <w:jc w:val="center"/>
              <w:ind w:right="260"/>
              <w:spacing w:after="0" w:line="148" w:lineRule="exact"/>
              <w:rPr>
                <w:sz w:val="20"/>
                <w:szCs w:val="20"/>
                <w:color w:val="auto"/>
              </w:rPr>
            </w:pPr>
            <w:r>
              <w:rPr>
                <w:rFonts w:ascii="Arial" w:cs="Arial" w:eastAsia="Arial" w:hAnsi="Arial"/>
                <w:sz w:val="16"/>
                <w:szCs w:val="16"/>
                <w:b w:val="1"/>
                <w:bCs w:val="1"/>
                <w:color w:val="auto"/>
                <w:w w:val="83"/>
              </w:rPr>
              <w:t>Foreclosures,</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rPr>
              <w:t>Principal and</w:t>
            </w:r>
          </w:p>
        </w:tc>
        <w:tc>
          <w:tcPr>
            <w:tcW w:w="140" w:type="dxa"/>
            <w:vAlign w:val="bottom"/>
          </w:tcPr>
          <w:p>
            <w:pPr>
              <w:spacing w:after="0"/>
              <w:rPr>
                <w:sz w:val="12"/>
                <w:szCs w:val="12"/>
                <w:color w:val="auto"/>
              </w:rPr>
            </w:pPr>
          </w:p>
        </w:tc>
        <w:tc>
          <w:tcPr>
            <w:tcW w:w="94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Taxes and</w:t>
            </w:r>
          </w:p>
        </w:tc>
        <w:tc>
          <w:tcPr>
            <w:tcW w:w="160" w:type="dxa"/>
            <w:vAlign w:val="bottom"/>
          </w:tcPr>
          <w:p>
            <w:pPr>
              <w:spacing w:after="0"/>
              <w:rPr>
                <w:sz w:val="12"/>
                <w:szCs w:val="12"/>
                <w:color w:val="auto"/>
              </w:rPr>
            </w:pPr>
          </w:p>
        </w:tc>
        <w:tc>
          <w:tcPr>
            <w:tcW w:w="1240" w:type="dxa"/>
            <w:vAlign w:val="bottom"/>
            <w:gridSpan w:val="2"/>
          </w:tcPr>
          <w:p>
            <w:pPr>
              <w:jc w:val="center"/>
              <w:ind w:right="240"/>
              <w:spacing w:after="0" w:line="148" w:lineRule="exact"/>
              <w:rPr>
                <w:sz w:val="20"/>
                <w:szCs w:val="20"/>
                <w:color w:val="auto"/>
              </w:rPr>
            </w:pPr>
            <w:r>
              <w:rPr>
                <w:rFonts w:ascii="Arial" w:cs="Arial" w:eastAsia="Arial" w:hAnsi="Arial"/>
                <w:sz w:val="16"/>
                <w:szCs w:val="16"/>
                <w:b w:val="1"/>
                <w:bCs w:val="1"/>
                <w:color w:val="auto"/>
                <w:w w:val="83"/>
              </w:rPr>
              <w:t>Foreclosures,</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1980" w:type="dxa"/>
            <w:vAlign w:val="bottom"/>
            <w:vMerge w:val="restart"/>
          </w:tcPr>
          <w:p>
            <w:pPr>
              <w:ind w:left="20"/>
              <w:spacing w:after="0"/>
              <w:rPr>
                <w:sz w:val="20"/>
                <w:szCs w:val="20"/>
                <w:color w:val="auto"/>
              </w:rPr>
            </w:pPr>
            <w:r>
              <w:rPr>
                <w:rFonts w:ascii="Arial" w:cs="Arial" w:eastAsia="Arial" w:hAnsi="Arial"/>
                <w:sz w:val="17"/>
                <w:szCs w:val="17"/>
                <w:b w:val="1"/>
                <w:bCs w:val="1"/>
                <w:color w:val="auto"/>
                <w:w w:val="90"/>
              </w:rPr>
              <w:t>Advances by investor type</w:t>
            </w:r>
          </w:p>
        </w:tc>
        <w:tc>
          <w:tcPr>
            <w:tcW w:w="1080" w:type="dxa"/>
            <w:vAlign w:val="bottom"/>
            <w:gridSpan w:val="3"/>
            <w:vMerge w:val="continue"/>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1380" w:type="dxa"/>
            <w:vAlign w:val="bottom"/>
            <w:gridSpan w:val="3"/>
          </w:tcPr>
          <w:p>
            <w:pPr>
              <w:jc w:val="center"/>
              <w:ind w:right="80"/>
              <w:spacing w:after="0" w:line="155" w:lineRule="exact"/>
              <w:rPr>
                <w:sz w:val="20"/>
                <w:szCs w:val="20"/>
                <w:color w:val="auto"/>
              </w:rPr>
            </w:pPr>
            <w:r>
              <w:rPr>
                <w:rFonts w:ascii="Arial" w:cs="Arial" w:eastAsia="Arial" w:hAnsi="Arial"/>
                <w:sz w:val="16"/>
                <w:szCs w:val="16"/>
                <w:b w:val="1"/>
                <w:bCs w:val="1"/>
                <w:color w:val="auto"/>
                <w:w w:val="90"/>
              </w:rPr>
              <w:t>bankruptcy, REO</w:t>
            </w:r>
          </w:p>
        </w:tc>
        <w:tc>
          <w:tcPr>
            <w:tcW w:w="220" w:type="dxa"/>
            <w:vAlign w:val="bottom"/>
          </w:tcPr>
          <w:p>
            <w:pPr>
              <w:spacing w:after="0"/>
              <w:rPr>
                <w:sz w:val="13"/>
                <w:szCs w:val="13"/>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Total</w:t>
            </w:r>
          </w:p>
        </w:tc>
        <w:tc>
          <w:tcPr>
            <w:tcW w:w="106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1400" w:type="dxa"/>
            <w:vAlign w:val="bottom"/>
            <w:gridSpan w:val="3"/>
          </w:tcPr>
          <w:p>
            <w:pPr>
              <w:jc w:val="center"/>
              <w:ind w:right="100"/>
              <w:spacing w:after="0" w:line="155" w:lineRule="exact"/>
              <w:rPr>
                <w:sz w:val="20"/>
                <w:szCs w:val="20"/>
                <w:color w:val="auto"/>
              </w:rPr>
            </w:pPr>
            <w:r>
              <w:rPr>
                <w:rFonts w:ascii="Arial" w:cs="Arial" w:eastAsia="Arial" w:hAnsi="Arial"/>
                <w:sz w:val="16"/>
                <w:szCs w:val="16"/>
                <w:b w:val="1"/>
                <w:bCs w:val="1"/>
                <w:color w:val="auto"/>
                <w:w w:val="90"/>
              </w:rPr>
              <w:t>bankruptcy, REO</w:t>
            </w:r>
          </w:p>
        </w:tc>
        <w:tc>
          <w:tcPr>
            <w:tcW w:w="220" w:type="dxa"/>
            <w:vAlign w:val="bottom"/>
          </w:tcPr>
          <w:p>
            <w:pPr>
              <w:spacing w:after="0"/>
              <w:rPr>
                <w:sz w:val="13"/>
                <w:szCs w:val="13"/>
                <w:color w:val="auto"/>
              </w:rPr>
            </w:pPr>
          </w:p>
        </w:tc>
        <w:tc>
          <w:tcPr>
            <w:tcW w:w="800" w:type="dxa"/>
            <w:vAlign w:val="bottom"/>
            <w:vMerge w:val="restart"/>
          </w:tcPr>
          <w:p>
            <w:pPr>
              <w:jc w:val="right"/>
              <w:ind w:right="256"/>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7"/>
        </w:trPr>
        <w:tc>
          <w:tcPr>
            <w:tcW w:w="19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ind w:left="60"/>
              <w:spacing w:after="0"/>
              <w:rPr>
                <w:sz w:val="20"/>
                <w:szCs w:val="20"/>
                <w:color w:val="auto"/>
              </w:rPr>
            </w:pPr>
            <w:r>
              <w:rPr>
                <w:rFonts w:ascii="Arial" w:cs="Arial" w:eastAsia="Arial" w:hAnsi="Arial"/>
                <w:sz w:val="16"/>
                <w:szCs w:val="16"/>
                <w:b w:val="1"/>
                <w:bCs w:val="1"/>
                <w:color w:val="auto"/>
              </w:rPr>
              <w:t>Interest</w:t>
            </w:r>
          </w:p>
        </w:tc>
        <w:tc>
          <w:tcPr>
            <w:tcW w:w="120" w:type="dxa"/>
            <w:vAlign w:val="bottom"/>
          </w:tcPr>
          <w:p>
            <w:pPr>
              <w:spacing w:after="0"/>
              <w:rPr>
                <w:sz w:val="17"/>
                <w:szCs w:val="17"/>
                <w:color w:val="auto"/>
              </w:rPr>
            </w:pPr>
          </w:p>
        </w:tc>
        <w:tc>
          <w:tcPr>
            <w:tcW w:w="940" w:type="dxa"/>
            <w:vAlign w:val="bottom"/>
            <w:gridSpan w:val="2"/>
          </w:tcPr>
          <w:p>
            <w:pPr>
              <w:ind w:left="20"/>
              <w:spacing w:after="0"/>
              <w:rPr>
                <w:sz w:val="20"/>
                <w:szCs w:val="20"/>
                <w:color w:val="auto"/>
              </w:rPr>
            </w:pPr>
            <w:r>
              <w:rPr>
                <w:rFonts w:ascii="Arial" w:cs="Arial" w:eastAsia="Arial" w:hAnsi="Arial"/>
                <w:sz w:val="16"/>
                <w:szCs w:val="16"/>
                <w:b w:val="1"/>
                <w:bCs w:val="1"/>
                <w:color w:val="auto"/>
              </w:rPr>
              <w:t>Insurance</w:t>
            </w:r>
          </w:p>
        </w:tc>
        <w:tc>
          <w:tcPr>
            <w:tcW w:w="160" w:type="dxa"/>
            <w:vAlign w:val="bottom"/>
          </w:tcPr>
          <w:p>
            <w:pPr>
              <w:spacing w:after="0"/>
              <w:rPr>
                <w:sz w:val="17"/>
                <w:szCs w:val="17"/>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7"/>
              </w:rPr>
              <w:t>and other</w:t>
            </w:r>
          </w:p>
        </w:tc>
        <w:tc>
          <w:tcPr>
            <w:tcW w:w="22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tcPr>
          <w:p>
            <w:pPr>
              <w:ind w:left="60"/>
              <w:spacing w:after="0"/>
              <w:rPr>
                <w:sz w:val="20"/>
                <w:szCs w:val="20"/>
                <w:color w:val="auto"/>
              </w:rPr>
            </w:pPr>
            <w:r>
              <w:rPr>
                <w:rFonts w:ascii="Arial" w:cs="Arial" w:eastAsia="Arial" w:hAnsi="Arial"/>
                <w:sz w:val="16"/>
                <w:szCs w:val="16"/>
                <w:b w:val="1"/>
                <w:bCs w:val="1"/>
                <w:color w:val="auto"/>
              </w:rPr>
              <w:t>Interest</w:t>
            </w:r>
          </w:p>
        </w:tc>
        <w:tc>
          <w:tcPr>
            <w:tcW w:w="140" w:type="dxa"/>
            <w:vAlign w:val="bottom"/>
          </w:tcPr>
          <w:p>
            <w:pPr>
              <w:spacing w:after="0"/>
              <w:rPr>
                <w:sz w:val="17"/>
                <w:szCs w:val="17"/>
                <w:color w:val="auto"/>
              </w:rPr>
            </w:pPr>
          </w:p>
        </w:tc>
        <w:tc>
          <w:tcPr>
            <w:tcW w:w="940" w:type="dxa"/>
            <w:vAlign w:val="bottom"/>
            <w:gridSpan w:val="2"/>
          </w:tcPr>
          <w:p>
            <w:pPr>
              <w:ind w:left="20"/>
              <w:spacing w:after="0"/>
              <w:rPr>
                <w:sz w:val="20"/>
                <w:szCs w:val="20"/>
                <w:color w:val="auto"/>
              </w:rPr>
            </w:pPr>
            <w:r>
              <w:rPr>
                <w:rFonts w:ascii="Arial" w:cs="Arial" w:eastAsia="Arial" w:hAnsi="Arial"/>
                <w:sz w:val="16"/>
                <w:szCs w:val="16"/>
                <w:b w:val="1"/>
                <w:bCs w:val="1"/>
                <w:color w:val="auto"/>
              </w:rPr>
              <w:t>Insurance</w:t>
            </w:r>
          </w:p>
        </w:tc>
        <w:tc>
          <w:tcPr>
            <w:tcW w:w="160" w:type="dxa"/>
            <w:vAlign w:val="bottom"/>
          </w:tcPr>
          <w:p>
            <w:pPr>
              <w:spacing w:after="0"/>
              <w:rPr>
                <w:sz w:val="17"/>
                <w:szCs w:val="17"/>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7"/>
              </w:rPr>
              <w:t>and other</w:t>
            </w:r>
          </w:p>
        </w:tc>
        <w:tc>
          <w:tcPr>
            <w:tcW w:w="22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Conventional</w:t>
            </w:r>
          </w:p>
        </w:tc>
        <w:tc>
          <w:tcPr>
            <w:tcW w:w="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80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5</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40</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5</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80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50</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80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2</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66</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7</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80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75</w:t>
            </w:r>
          </w:p>
        </w:tc>
        <w:tc>
          <w:tcPr>
            <w:tcW w:w="0" w:type="dxa"/>
            <w:vAlign w:val="bottom"/>
          </w:tcPr>
          <w:p>
            <w:pPr>
              <w:spacing w:after="0"/>
              <w:rPr>
                <w:sz w:val="1"/>
                <w:szCs w:val="1"/>
                <w:color w:val="auto"/>
              </w:rPr>
            </w:pPr>
          </w:p>
        </w:tc>
      </w:tr>
      <w:tr>
        <w:trPr>
          <w:trHeight w:val="220"/>
        </w:trPr>
        <w:tc>
          <w:tcPr>
            <w:tcW w:w="1980" w:type="dxa"/>
            <w:vAlign w:val="bottom"/>
          </w:tcPr>
          <w:p>
            <w:pPr>
              <w:ind w:left="20"/>
              <w:spacing w:after="0"/>
              <w:rPr>
                <w:sz w:val="20"/>
                <w:szCs w:val="20"/>
                <w:color w:val="auto"/>
              </w:rPr>
            </w:pPr>
            <w:r>
              <w:rPr>
                <w:rFonts w:ascii="Arial" w:cs="Arial" w:eastAsia="Arial" w:hAnsi="Arial"/>
                <w:sz w:val="17"/>
                <w:szCs w:val="17"/>
                <w:color w:val="auto"/>
              </w:rPr>
              <w:t>Government-insured</w:t>
            </w:r>
          </w:p>
        </w:tc>
        <w:tc>
          <w:tcPr>
            <w:tcW w:w="160" w:type="dxa"/>
            <w:vAlign w:val="bottom"/>
          </w:tcPr>
          <w:p>
            <w:pPr>
              <w:spacing w:after="0"/>
              <w:rPr>
                <w:sz w:val="19"/>
                <w:szCs w:val="19"/>
                <w:color w:val="auto"/>
              </w:rPr>
            </w:pPr>
          </w:p>
        </w:tc>
        <w:tc>
          <w:tcPr>
            <w:tcW w:w="800" w:type="dxa"/>
            <w:vAlign w:val="bottom"/>
          </w:tcPr>
          <w:p>
            <w:pPr>
              <w:jc w:val="right"/>
              <w:ind w:right="36"/>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ind w:right="36"/>
              <w:spacing w:after="0"/>
              <w:rPr>
                <w:sz w:val="20"/>
                <w:szCs w:val="20"/>
                <w:color w:val="auto"/>
              </w:rPr>
            </w:pPr>
            <w:r>
              <w:rPr>
                <w:rFonts w:ascii="Arial" w:cs="Arial" w:eastAsia="Arial" w:hAnsi="Arial"/>
                <w:sz w:val="17"/>
                <w:szCs w:val="17"/>
                <w:color w:val="auto"/>
              </w:rPr>
              <w:t>24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ind w:right="37"/>
              <w:spacing w:after="0"/>
              <w:rPr>
                <w:sz w:val="20"/>
                <w:szCs w:val="20"/>
                <w:color w:val="auto"/>
              </w:rPr>
            </w:pPr>
            <w:r>
              <w:rPr>
                <w:rFonts w:ascii="Arial" w:cs="Arial" w:eastAsia="Arial" w:hAnsi="Arial"/>
                <w:sz w:val="17"/>
                <w:szCs w:val="17"/>
                <w:color w:val="auto"/>
              </w:rPr>
              <w:t>18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36"/>
              <w:spacing w:after="0"/>
              <w:rPr>
                <w:sz w:val="20"/>
                <w:szCs w:val="20"/>
                <w:color w:val="auto"/>
              </w:rPr>
            </w:pPr>
            <w:r>
              <w:rPr>
                <w:rFonts w:ascii="Arial" w:cs="Arial" w:eastAsia="Arial" w:hAnsi="Arial"/>
                <w:sz w:val="17"/>
                <w:szCs w:val="17"/>
                <w:color w:val="auto"/>
              </w:rPr>
              <w:t>43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ind w:right="36"/>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ind w:right="36"/>
              <w:spacing w:after="0"/>
              <w:rPr>
                <w:sz w:val="20"/>
                <w:szCs w:val="20"/>
                <w:color w:val="auto"/>
              </w:rPr>
            </w:pPr>
            <w:r>
              <w:rPr>
                <w:rFonts w:ascii="Arial" w:cs="Arial" w:eastAsia="Arial" w:hAnsi="Arial"/>
                <w:sz w:val="17"/>
                <w:szCs w:val="17"/>
                <w:color w:val="auto"/>
              </w:rPr>
              <w:t>55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ind w:right="37"/>
              <w:spacing w:after="0"/>
              <w:rPr>
                <w:sz w:val="20"/>
                <w:szCs w:val="20"/>
                <w:color w:val="auto"/>
              </w:rPr>
            </w:pPr>
            <w:r>
              <w:rPr>
                <w:rFonts w:ascii="Arial" w:cs="Arial" w:eastAsia="Arial" w:hAnsi="Arial"/>
                <w:sz w:val="17"/>
                <w:szCs w:val="17"/>
                <w:color w:val="auto"/>
              </w:rPr>
              <w:t>23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36"/>
              <w:spacing w:after="0"/>
              <w:rPr>
                <w:sz w:val="20"/>
                <w:szCs w:val="20"/>
                <w:color w:val="auto"/>
              </w:rPr>
            </w:pPr>
            <w:r>
              <w:rPr>
                <w:rFonts w:ascii="Arial" w:cs="Arial" w:eastAsia="Arial" w:hAnsi="Arial"/>
                <w:sz w:val="17"/>
                <w:szCs w:val="17"/>
                <w:color w:val="auto"/>
              </w:rPr>
              <w:t>79</w:t>
            </w:r>
          </w:p>
        </w:tc>
        <w:tc>
          <w:tcPr>
            <w:tcW w:w="0" w:type="dxa"/>
            <w:vAlign w:val="bottom"/>
          </w:tcPr>
          <w:p>
            <w:pPr>
              <w:spacing w:after="0"/>
              <w:rPr>
                <w:sz w:val="1"/>
                <w:szCs w:val="1"/>
                <w:color w:val="auto"/>
              </w:rPr>
            </w:pPr>
          </w:p>
        </w:tc>
      </w:tr>
      <w:tr>
        <w:trPr>
          <w:trHeight w:val="220"/>
        </w:trPr>
        <w:tc>
          <w:tcPr>
            <w:tcW w:w="1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Non-Agency</w:t>
            </w:r>
          </w:p>
        </w:tc>
        <w:tc>
          <w:tcPr>
            <w:tcW w:w="1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206</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230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118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554</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225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261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133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618</w:t>
            </w:r>
          </w:p>
        </w:tc>
        <w:tc>
          <w:tcPr>
            <w:tcW w:w="0" w:type="dxa"/>
            <w:vAlign w:val="bottom"/>
          </w:tcPr>
          <w:p>
            <w:pPr>
              <w:spacing w:after="0"/>
              <w:rPr>
                <w:sz w:val="1"/>
                <w:szCs w:val="1"/>
                <w:color w:val="auto"/>
              </w:rPr>
            </w:pPr>
          </w:p>
        </w:tc>
      </w:tr>
      <w:tr>
        <w:trPr>
          <w:trHeight w:val="213"/>
        </w:trPr>
        <w:tc>
          <w:tcPr>
            <w:tcW w:w="1980" w:type="dxa"/>
            <w:vAlign w:val="bottom"/>
          </w:tcPr>
          <w:p>
            <w:pPr>
              <w:ind w:left="140"/>
              <w:spacing w:after="0"/>
              <w:rPr>
                <w:sz w:val="20"/>
                <w:szCs w:val="20"/>
                <w:color w:val="auto"/>
              </w:rPr>
            </w:pPr>
            <w:r>
              <w:rPr>
                <w:rFonts w:ascii="Arial" w:cs="Arial" w:eastAsia="Arial" w:hAnsi="Arial"/>
                <w:sz w:val="17"/>
                <w:szCs w:val="17"/>
                <w:color w:val="auto"/>
              </w:rPr>
              <w:t>Total, net</w:t>
            </w: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212</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294</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141</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647</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228</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381</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164</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w w:val="84"/>
              </w:rPr>
              <w:t>$</w:t>
            </w:r>
          </w:p>
        </w:tc>
        <w:tc>
          <w:tcPr>
            <w:tcW w:w="80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772</w:t>
            </w:r>
          </w:p>
        </w:tc>
        <w:tc>
          <w:tcPr>
            <w:tcW w:w="0" w:type="dxa"/>
            <w:vAlign w:val="bottom"/>
          </w:tcPr>
          <w:p>
            <w:pPr>
              <w:spacing w:after="0"/>
              <w:rPr>
                <w:sz w:val="1"/>
                <w:szCs w:val="1"/>
                <w:color w:val="auto"/>
              </w:rPr>
            </w:pPr>
          </w:p>
        </w:tc>
      </w:tr>
      <w:tr>
        <w:trPr>
          <w:trHeight w:val="20"/>
        </w:trPr>
        <w:tc>
          <w:tcPr>
            <w:tcW w:w="1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selected operating statistics related to our reverse mortgage loans reported within our Servicing segment:</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gridSpan w:val="2"/>
          </w:tcPr>
          <w:p>
            <w:pPr>
              <w:ind w:left="160"/>
              <w:spacing w:after="0"/>
              <w:rPr>
                <w:sz w:val="20"/>
                <w:szCs w:val="20"/>
                <w:color w:val="auto"/>
              </w:rPr>
            </w:pPr>
            <w:r>
              <w:rPr>
                <w:rFonts w:ascii="Arial" w:cs="Arial" w:eastAsia="Arial" w:hAnsi="Arial"/>
                <w:sz w:val="17"/>
                <w:szCs w:val="17"/>
                <w:b w:val="1"/>
                <w:bCs w:val="1"/>
                <w:color w:val="auto"/>
              </w:rPr>
              <w:t>June 30,</w:t>
            </w:r>
          </w:p>
        </w:tc>
        <w:tc>
          <w:tcPr>
            <w:tcW w:w="240" w:type="dxa"/>
            <w:vAlign w:val="bottom"/>
          </w:tcPr>
          <w:p>
            <w:pPr>
              <w:spacing w:after="0"/>
              <w:rPr>
                <w:sz w:val="19"/>
                <w:szCs w:val="19"/>
                <w:color w:val="auto"/>
              </w:rPr>
            </w:pPr>
          </w:p>
        </w:tc>
        <w:tc>
          <w:tcPr>
            <w:tcW w:w="1260" w:type="dxa"/>
            <w:vAlign w:val="bottom"/>
          </w:tcPr>
          <w:p>
            <w:pPr>
              <w:jc w:val="right"/>
              <w:ind w:right="294"/>
              <w:spacing w:after="0"/>
              <w:rPr>
                <w:sz w:val="20"/>
                <w:szCs w:val="20"/>
                <w:color w:val="auto"/>
              </w:rPr>
            </w:pPr>
            <w:r>
              <w:rPr>
                <w:rFonts w:ascii="Arial" w:cs="Arial" w:eastAsia="Arial" w:hAnsi="Arial"/>
                <w:sz w:val="17"/>
                <w:szCs w:val="17"/>
                <w:b w:val="1"/>
                <w:bCs w:val="1"/>
                <w:color w:val="auto"/>
              </w:rPr>
              <w:t>March 31,</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ind w:right="374"/>
              <w:spacing w:after="0"/>
              <w:rPr>
                <w:sz w:val="20"/>
                <w:szCs w:val="20"/>
                <w:color w:val="auto"/>
              </w:rPr>
            </w:pPr>
            <w:r>
              <w:rPr>
                <w:rFonts w:ascii="Arial" w:cs="Arial" w:eastAsia="Arial" w:hAnsi="Arial"/>
                <w:sz w:val="17"/>
                <w:szCs w:val="17"/>
                <w:b w:val="1"/>
                <w:bCs w:val="1"/>
                <w:color w:val="auto"/>
              </w:rPr>
              <w:t>June 30,</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45"/>
        </w:trPr>
        <w:tc>
          <w:tcPr>
            <w:tcW w:w="4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494"/>
              <w:spacing w:after="0"/>
              <w:rPr>
                <w:sz w:val="20"/>
                <w:szCs w:val="20"/>
                <w:color w:val="auto"/>
              </w:rPr>
            </w:pPr>
            <w:r>
              <w:rPr>
                <w:rFonts w:ascii="Arial" w:cs="Arial" w:eastAsia="Arial" w:hAnsi="Arial"/>
                <w:sz w:val="17"/>
                <w:szCs w:val="17"/>
                <w:b w:val="1"/>
                <w:bCs w:val="1"/>
                <w:color w:val="auto"/>
              </w:rPr>
              <w:t>2022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ind w:right="494"/>
              <w:spacing w:after="0"/>
              <w:rPr>
                <w:sz w:val="20"/>
                <w:szCs w:val="20"/>
                <w:color w:val="auto"/>
              </w:rPr>
            </w:pPr>
            <w:r>
              <w:rPr>
                <w:rFonts w:ascii="Arial" w:cs="Arial" w:eastAsia="Arial" w:hAnsi="Arial"/>
                <w:sz w:val="17"/>
                <w:szCs w:val="17"/>
                <w:b w:val="1"/>
                <w:bCs w:val="1"/>
                <w:color w:val="auto"/>
              </w:rPr>
              <w:t>2022</w:t>
            </w:r>
          </w:p>
        </w:tc>
        <w:tc>
          <w:tcPr>
            <w:tcW w:w="100" w:type="dxa"/>
            <w:vAlign w:val="bottom"/>
          </w:tcPr>
          <w:p>
            <w:pPr>
              <w:spacing w:after="0"/>
              <w:rPr>
                <w:sz w:val="21"/>
                <w:szCs w:val="21"/>
                <w:color w:val="auto"/>
              </w:rPr>
            </w:pPr>
          </w:p>
        </w:tc>
        <w:tc>
          <w:tcPr>
            <w:tcW w:w="1060" w:type="dxa"/>
            <w:vAlign w:val="bottom"/>
            <w:gridSpan w:val="2"/>
          </w:tcPr>
          <w:p>
            <w:pPr>
              <w:ind w:left="100"/>
              <w:spacing w:after="0"/>
              <w:rPr>
                <w:sz w:val="20"/>
                <w:szCs w:val="20"/>
                <w:color w:val="auto"/>
              </w:rPr>
            </w:pPr>
            <w:r>
              <w:rPr>
                <w:rFonts w:ascii="Arial" w:cs="Arial" w:eastAsia="Arial" w:hAnsi="Arial"/>
                <w:sz w:val="17"/>
                <w:szCs w:val="17"/>
                <w:b w:val="1"/>
                <w:bCs w:val="1"/>
                <w:color w:val="auto"/>
              </w:rPr>
              <w:t>% Change</w:t>
            </w:r>
          </w:p>
        </w:tc>
        <w:tc>
          <w:tcPr>
            <w:tcW w:w="280" w:type="dxa"/>
            <w:vAlign w:val="bottom"/>
          </w:tcPr>
          <w:p>
            <w:pPr>
              <w:spacing w:after="0"/>
              <w:rPr>
                <w:sz w:val="21"/>
                <w:szCs w:val="21"/>
                <w:color w:val="auto"/>
              </w:rPr>
            </w:pPr>
          </w:p>
        </w:tc>
        <w:tc>
          <w:tcPr>
            <w:tcW w:w="1240" w:type="dxa"/>
            <w:vAlign w:val="bottom"/>
          </w:tcPr>
          <w:p>
            <w:pPr>
              <w:jc w:val="right"/>
              <w:ind w:right="494"/>
              <w:spacing w:after="0"/>
              <w:rPr>
                <w:sz w:val="20"/>
                <w:szCs w:val="20"/>
                <w:color w:val="auto"/>
              </w:rPr>
            </w:pPr>
            <w:r>
              <w:rPr>
                <w:rFonts w:ascii="Arial" w:cs="Arial" w:eastAsia="Arial" w:hAnsi="Arial"/>
                <w:sz w:val="17"/>
                <w:szCs w:val="17"/>
                <w:b w:val="1"/>
                <w:bCs w:val="1"/>
                <w:color w:val="auto"/>
              </w:rPr>
              <w:t>2021</w:t>
            </w:r>
          </w:p>
        </w:tc>
        <w:tc>
          <w:tcPr>
            <w:tcW w:w="10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7"/>
                <w:szCs w:val="17"/>
                <w:b w:val="1"/>
                <w:bCs w:val="1"/>
                <w:color w:val="auto"/>
              </w:rPr>
              <w:t>% Change</w:t>
            </w:r>
          </w:p>
        </w:tc>
      </w:tr>
      <w:tr>
        <w:trPr>
          <w:trHeight w:val="200"/>
        </w:trPr>
        <w:tc>
          <w:tcPr>
            <w:tcW w:w="4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Reverse Mortgage Loans</w:t>
            </w:r>
          </w:p>
        </w:tc>
        <w:tc>
          <w:tcPr>
            <w:tcW w:w="28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r>
      <w:tr>
        <w:trPr>
          <w:trHeight w:val="220"/>
        </w:trPr>
        <w:tc>
          <w:tcPr>
            <w:tcW w:w="4360" w:type="dxa"/>
            <w:vAlign w:val="bottom"/>
          </w:tcPr>
          <w:p>
            <w:pPr>
              <w:ind w:left="140"/>
              <w:spacing w:after="0"/>
              <w:rPr>
                <w:sz w:val="20"/>
                <w:szCs w:val="20"/>
                <w:color w:val="auto"/>
              </w:rPr>
            </w:pPr>
            <w:r>
              <w:rPr>
                <w:rFonts w:ascii="Arial" w:cs="Arial" w:eastAsia="Arial" w:hAnsi="Arial"/>
                <w:sz w:val="17"/>
                <w:szCs w:val="17"/>
                <w:i w:val="1"/>
                <w:iCs w:val="1"/>
                <w:color w:val="auto"/>
              </w:rPr>
              <w:t>Unpaid principal balance (UPB) in millions:</w:t>
            </w: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0"/>
        </w:trPr>
        <w:tc>
          <w:tcPr>
            <w:tcW w:w="43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Loans held for investment (1)</w:t>
            </w: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6,990.9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6,849.1</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2 %</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6,341.2</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10 %</w:t>
            </w:r>
          </w:p>
        </w:tc>
      </w:tr>
      <w:tr>
        <w:trPr>
          <w:trHeight w:val="220"/>
        </w:trPr>
        <w:tc>
          <w:tcPr>
            <w:tcW w:w="4360" w:type="dxa"/>
            <w:vAlign w:val="bottom"/>
          </w:tcPr>
          <w:p>
            <w:pPr>
              <w:ind w:left="220"/>
              <w:spacing w:after="0"/>
              <w:rPr>
                <w:sz w:val="20"/>
                <w:szCs w:val="20"/>
                <w:color w:val="auto"/>
              </w:rPr>
            </w:pPr>
            <w:r>
              <w:rPr>
                <w:rFonts w:ascii="Arial" w:cs="Arial" w:eastAsia="Arial" w:hAnsi="Arial"/>
                <w:sz w:val="17"/>
                <w:szCs w:val="17"/>
                <w:color w:val="auto"/>
              </w:rPr>
              <w:t>Active Buyouts (2)</w:t>
            </w:r>
          </w:p>
        </w:tc>
        <w:tc>
          <w:tcPr>
            <w:tcW w:w="280" w:type="dxa"/>
            <w:vAlign w:val="bottom"/>
          </w:tcPr>
          <w:p>
            <w:pPr>
              <w:spacing w:after="0"/>
              <w:rPr>
                <w:sz w:val="19"/>
                <w:szCs w:val="19"/>
                <w:color w:val="auto"/>
              </w:rPr>
            </w:pPr>
          </w:p>
        </w:tc>
        <w:tc>
          <w:tcPr>
            <w:tcW w:w="1220" w:type="dxa"/>
            <w:vAlign w:val="bottom"/>
          </w:tcPr>
          <w:p>
            <w:pPr>
              <w:jc w:val="right"/>
              <w:ind w:right="114"/>
              <w:spacing w:after="0"/>
              <w:rPr>
                <w:sz w:val="20"/>
                <w:szCs w:val="20"/>
                <w:color w:val="auto"/>
              </w:rPr>
            </w:pPr>
            <w:r>
              <w:rPr>
                <w:rFonts w:ascii="Arial" w:cs="Arial" w:eastAsia="Arial" w:hAnsi="Arial"/>
                <w:sz w:val="17"/>
                <w:szCs w:val="17"/>
                <w:color w:val="auto"/>
              </w:rPr>
              <w:t>46.7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ind w:right="114"/>
              <w:spacing w:after="0"/>
              <w:rPr>
                <w:sz w:val="20"/>
                <w:szCs w:val="20"/>
                <w:color w:val="auto"/>
              </w:rPr>
            </w:pPr>
            <w:r>
              <w:rPr>
                <w:rFonts w:ascii="Arial" w:cs="Arial" w:eastAsia="Arial" w:hAnsi="Arial"/>
                <w:sz w:val="17"/>
                <w:szCs w:val="17"/>
                <w:color w:val="auto"/>
              </w:rPr>
              <w:t>57.8</w:t>
            </w:r>
          </w:p>
        </w:tc>
        <w:tc>
          <w:tcPr>
            <w:tcW w:w="1080" w:type="dxa"/>
            <w:vAlign w:val="bottom"/>
            <w:gridSpan w:val="2"/>
          </w:tcPr>
          <w:p>
            <w:pPr>
              <w:jc w:val="right"/>
              <w:ind w:right="94"/>
              <w:spacing w:after="0"/>
              <w:rPr>
                <w:sz w:val="20"/>
                <w:szCs w:val="20"/>
                <w:color w:val="auto"/>
              </w:rPr>
            </w:pPr>
            <w:r>
              <w:rPr>
                <w:rFonts w:ascii="Arial" w:cs="Arial" w:eastAsia="Arial" w:hAnsi="Arial"/>
                <w:sz w:val="17"/>
                <w:szCs w:val="17"/>
                <w:color w:val="auto"/>
              </w:rPr>
              <w:t>(19)</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ind w:right="134"/>
              <w:spacing w:after="0"/>
              <w:rPr>
                <w:sz w:val="20"/>
                <w:szCs w:val="20"/>
                <w:color w:val="auto"/>
              </w:rPr>
            </w:pPr>
            <w:r>
              <w:rPr>
                <w:rFonts w:ascii="Arial" w:cs="Arial" w:eastAsia="Arial" w:hAnsi="Arial"/>
                <w:sz w:val="17"/>
                <w:szCs w:val="17"/>
                <w:color w:val="auto"/>
              </w:rPr>
              <w:t>24.5</w:t>
            </w: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90 %</w:t>
            </w:r>
          </w:p>
        </w:tc>
      </w:tr>
      <w:tr>
        <w:trPr>
          <w:trHeight w:val="220"/>
        </w:trPr>
        <w:tc>
          <w:tcPr>
            <w:tcW w:w="43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Inactive Buyouts (2)</w:t>
            </w: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108.9</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108.5</w:t>
            </w: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81.0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34 %</w:t>
            </w:r>
          </w:p>
        </w:tc>
      </w:tr>
      <w:tr>
        <w:trPr>
          <w:trHeight w:val="213"/>
        </w:trPr>
        <w:tc>
          <w:tcPr>
            <w:tcW w:w="4360" w:type="dxa"/>
            <w:vAlign w:val="bottom"/>
          </w:tcPr>
          <w:p>
            <w:pPr>
              <w:ind w:left="440"/>
              <w:spacing w:after="0"/>
              <w:rPr>
                <w:sz w:val="20"/>
                <w:szCs w:val="20"/>
                <w:color w:val="auto"/>
              </w:rPr>
            </w:pPr>
            <w:r>
              <w:rPr>
                <w:rFonts w:ascii="Arial" w:cs="Arial" w:eastAsia="Arial" w:hAnsi="Arial"/>
                <w:sz w:val="17"/>
                <w:szCs w:val="17"/>
                <w:color w:val="auto"/>
              </w:rPr>
              <w:t>Total</w:t>
            </w:r>
          </w:p>
        </w:tc>
        <w:tc>
          <w:tcPr>
            <w:tcW w:w="28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7,146.4</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7,015.4</w:t>
            </w:r>
          </w:p>
        </w:tc>
        <w:tc>
          <w:tcPr>
            <w:tcW w:w="1080" w:type="dxa"/>
            <w:vAlign w:val="bottom"/>
            <w:gridSpan w:val="2"/>
          </w:tcPr>
          <w:p>
            <w:pPr>
              <w:jc w:val="right"/>
              <w:ind w:right="134"/>
              <w:spacing w:after="0"/>
              <w:rPr>
                <w:sz w:val="20"/>
                <w:szCs w:val="20"/>
                <w:color w:val="auto"/>
              </w:rPr>
            </w:pPr>
            <w:r>
              <w:rPr>
                <w:rFonts w:ascii="Arial" w:cs="Arial" w:eastAsia="Arial" w:hAnsi="Arial"/>
                <w:sz w:val="17"/>
                <w:szCs w:val="17"/>
                <w:color w:val="auto"/>
              </w:rPr>
              <w:t>2</w:t>
            </w:r>
          </w:p>
        </w:tc>
        <w:tc>
          <w:tcPr>
            <w:tcW w:w="80" w:type="dxa"/>
            <w:vAlign w:val="bottom"/>
          </w:tcPr>
          <w:p>
            <w:pPr>
              <w:spacing w:after="0"/>
              <w:rPr>
                <w:sz w:val="18"/>
                <w:szCs w:val="18"/>
                <w:color w:val="auto"/>
              </w:rPr>
            </w:pPr>
          </w:p>
        </w:tc>
        <w:tc>
          <w:tcPr>
            <w:tcW w:w="28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6,446.7</w:t>
            </w: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11 %</w:t>
            </w:r>
          </w:p>
        </w:tc>
      </w:tr>
      <w:tr>
        <w:trPr>
          <w:trHeight w:val="20"/>
        </w:trPr>
        <w:tc>
          <w:tcPr>
            <w:tcW w:w="43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r>
      <w:tr>
        <w:trPr>
          <w:trHeight w:val="211"/>
        </w:trPr>
        <w:tc>
          <w:tcPr>
            <w:tcW w:w="4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20"/>
        </w:trPr>
        <w:tc>
          <w:tcPr>
            <w:tcW w:w="4360" w:type="dxa"/>
            <w:vAlign w:val="bottom"/>
          </w:tcPr>
          <w:p>
            <w:pPr>
              <w:ind w:left="220"/>
              <w:spacing w:after="0"/>
              <w:rPr>
                <w:sz w:val="20"/>
                <w:szCs w:val="20"/>
                <w:color w:val="auto"/>
              </w:rPr>
            </w:pPr>
            <w:r>
              <w:rPr>
                <w:rFonts w:ascii="Arial" w:cs="Arial" w:eastAsia="Arial" w:hAnsi="Arial"/>
                <w:sz w:val="17"/>
                <w:szCs w:val="17"/>
                <w:i w:val="1"/>
                <w:iCs w:val="1"/>
                <w:color w:val="auto"/>
              </w:rPr>
              <w:t>Inactive buyouts % to total</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1.52 %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1.55 %</w:t>
            </w:r>
          </w:p>
        </w:tc>
        <w:tc>
          <w:tcPr>
            <w:tcW w:w="1080" w:type="dxa"/>
            <w:vAlign w:val="bottom"/>
            <w:gridSpan w:val="2"/>
          </w:tcPr>
          <w:p>
            <w:pPr>
              <w:jc w:val="right"/>
              <w:ind w:right="94"/>
              <w:spacing w:after="0"/>
              <w:rPr>
                <w:sz w:val="20"/>
                <w:szCs w:val="20"/>
                <w:color w:val="auto"/>
              </w:rPr>
            </w:pPr>
            <w:r>
              <w:rPr>
                <w:rFonts w:ascii="Arial" w:cs="Arial" w:eastAsia="Arial" w:hAnsi="Arial"/>
                <w:sz w:val="17"/>
                <w:szCs w:val="17"/>
                <w:color w:val="auto"/>
              </w:rPr>
              <w:t>(2)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1.26 %</w:t>
            </w: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21 %</w:t>
            </w:r>
          </w:p>
        </w:tc>
      </w:tr>
      <w:tr>
        <w:trPr>
          <w:trHeight w:val="245"/>
        </w:trPr>
        <w:tc>
          <w:tcPr>
            <w:tcW w:w="43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r>
      <w:tr>
        <w:trPr>
          <w:trHeight w:val="220"/>
        </w:trPr>
        <w:tc>
          <w:tcPr>
            <w:tcW w:w="4360" w:type="dxa"/>
            <w:vAlign w:val="bottom"/>
          </w:tcPr>
          <w:p>
            <w:pPr>
              <w:ind w:left="140"/>
              <w:spacing w:after="0"/>
              <w:rPr>
                <w:sz w:val="20"/>
                <w:szCs w:val="20"/>
                <w:color w:val="auto"/>
              </w:rPr>
            </w:pPr>
            <w:r>
              <w:rPr>
                <w:rFonts w:ascii="Arial" w:cs="Arial" w:eastAsia="Arial" w:hAnsi="Arial"/>
                <w:sz w:val="17"/>
                <w:szCs w:val="17"/>
                <w:i w:val="1"/>
                <w:iCs w:val="1"/>
                <w:color w:val="auto"/>
              </w:rPr>
              <w:t>Future draw commitments (UPB) in millions:</w:t>
            </w:r>
          </w:p>
        </w:tc>
        <w:tc>
          <w:tcPr>
            <w:tcW w:w="280" w:type="dxa"/>
            <w:vAlign w:val="bottom"/>
          </w:tcPr>
          <w:p>
            <w:pPr>
              <w:spacing w:after="0"/>
              <w:rPr>
                <w:sz w:val="19"/>
                <w:szCs w:val="19"/>
                <w:color w:val="auto"/>
              </w:rPr>
            </w:pPr>
          </w:p>
        </w:tc>
        <w:tc>
          <w:tcPr>
            <w:tcW w:w="1220" w:type="dxa"/>
            <w:vAlign w:val="bottom"/>
          </w:tcPr>
          <w:p>
            <w:pPr>
              <w:jc w:val="right"/>
              <w:ind w:right="114"/>
              <w:spacing w:after="0"/>
              <w:rPr>
                <w:sz w:val="20"/>
                <w:szCs w:val="20"/>
                <w:color w:val="auto"/>
              </w:rPr>
            </w:pPr>
            <w:r>
              <w:rPr>
                <w:rFonts w:ascii="Arial" w:cs="Arial" w:eastAsia="Arial" w:hAnsi="Arial"/>
                <w:sz w:val="17"/>
                <w:szCs w:val="17"/>
                <w:color w:val="auto"/>
              </w:rPr>
              <w:t>1,745.0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ind w:right="114"/>
              <w:spacing w:after="0"/>
              <w:rPr>
                <w:sz w:val="20"/>
                <w:szCs w:val="20"/>
                <w:color w:val="auto"/>
              </w:rPr>
            </w:pPr>
            <w:r>
              <w:rPr>
                <w:rFonts w:ascii="Arial" w:cs="Arial" w:eastAsia="Arial" w:hAnsi="Arial"/>
                <w:sz w:val="17"/>
                <w:szCs w:val="17"/>
                <w:color w:val="auto"/>
              </w:rPr>
              <w:t>1,659.9</w:t>
            </w:r>
          </w:p>
        </w:tc>
        <w:tc>
          <w:tcPr>
            <w:tcW w:w="1080" w:type="dxa"/>
            <w:vAlign w:val="bottom"/>
            <w:gridSpan w:val="2"/>
          </w:tcPr>
          <w:p>
            <w:pPr>
              <w:jc w:val="right"/>
              <w:ind w:right="134"/>
              <w:spacing w:after="0"/>
              <w:rPr>
                <w:sz w:val="20"/>
                <w:szCs w:val="20"/>
                <w:color w:val="auto"/>
              </w:rPr>
            </w:pPr>
            <w:r>
              <w:rPr>
                <w:rFonts w:ascii="Arial" w:cs="Arial" w:eastAsia="Arial" w:hAnsi="Arial"/>
                <w:sz w:val="17"/>
                <w:szCs w:val="17"/>
                <w:color w:val="auto"/>
              </w:rPr>
              <w:t>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ind w:right="134"/>
              <w:spacing w:after="0"/>
              <w:rPr>
                <w:sz w:val="20"/>
                <w:szCs w:val="20"/>
                <w:color w:val="auto"/>
              </w:rPr>
            </w:pPr>
            <w:r>
              <w:rPr>
                <w:rFonts w:ascii="Arial" w:cs="Arial" w:eastAsia="Arial" w:hAnsi="Arial"/>
                <w:sz w:val="17"/>
                <w:szCs w:val="17"/>
                <w:color w:val="auto"/>
              </w:rPr>
              <w:t>1,208.8</w:t>
            </w: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44 %</w:t>
            </w:r>
          </w:p>
        </w:tc>
      </w:tr>
      <w:tr>
        <w:trPr>
          <w:trHeight w:val="245"/>
        </w:trPr>
        <w:tc>
          <w:tcPr>
            <w:tcW w:w="43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r>
    </w:tbl>
    <w:p>
      <w:pPr>
        <w:spacing w:after="0" w:line="1" w:lineRule="exact"/>
        <w:rPr>
          <w:sz w:val="20"/>
          <w:szCs w:val="20"/>
          <w:color w:val="auto"/>
        </w:rPr>
      </w:pPr>
    </w:p>
    <w:p>
      <w:pPr>
        <w:sectPr>
          <w:pgSz w:w="11900" w:h="16838" w:orient="portrait"/>
          <w:cols w:equalWidth="0" w:num="1">
            <w:col w:w="11240"/>
          </w:cols>
          <w:pgMar w:left="320" w:top="967" w:right="339" w:bottom="1440" w:gutter="0" w:footer="0" w:header="0"/>
        </w:sectPr>
      </w:pPr>
    </w:p>
    <w:tbl>
      <w:tblPr>
        <w:tblLayout w:type="fixed"/>
        <w:tblInd w:w="140" w:type="dxa"/>
        <w:tblCellMar>
          <w:top w:w="0" w:type="dxa"/>
          <w:left w:w="0" w:type="dxa"/>
          <w:bottom w:w="0" w:type="dxa"/>
          <w:right w:w="0" w:type="dxa"/>
        </w:tblCellMar>
      </w:tblPr>
      <w:tr>
        <w:trPr>
          <w:trHeight w:val="219"/>
        </w:trPr>
        <w:tc>
          <w:tcPr>
            <w:tcW w:w="4220" w:type="dxa"/>
            <w:vAlign w:val="bottom"/>
          </w:tcPr>
          <w:p>
            <w:pPr>
              <w:spacing w:after="0"/>
              <w:rPr>
                <w:sz w:val="20"/>
                <w:szCs w:val="20"/>
                <w:color w:val="auto"/>
              </w:rPr>
            </w:pPr>
            <w:r>
              <w:rPr>
                <w:rFonts w:ascii="Arial" w:cs="Arial" w:eastAsia="Arial" w:hAnsi="Arial"/>
                <w:sz w:val="17"/>
                <w:szCs w:val="17"/>
                <w:i w:val="1"/>
                <w:iCs w:val="1"/>
                <w:color w:val="auto"/>
              </w:rPr>
              <w:t>Fair value in millions:</w:t>
            </w:r>
          </w:p>
        </w:tc>
        <w:tc>
          <w:tcPr>
            <w:tcW w:w="4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220" w:type="dxa"/>
            <w:vAlign w:val="bottom"/>
          </w:tcPr>
          <w:p>
            <w:pPr>
              <w:ind w:left="80"/>
              <w:spacing w:after="0"/>
              <w:rPr>
                <w:sz w:val="20"/>
                <w:szCs w:val="20"/>
                <w:color w:val="auto"/>
              </w:rPr>
            </w:pPr>
            <w:r>
              <w:rPr>
                <w:rFonts w:ascii="Arial" w:cs="Arial" w:eastAsia="Arial" w:hAnsi="Arial"/>
                <w:sz w:val="17"/>
                <w:szCs w:val="17"/>
                <w:color w:val="auto"/>
              </w:rPr>
              <w:t>Loans held for investment (1)</w:t>
            </w:r>
          </w:p>
        </w:tc>
        <w:tc>
          <w:tcPr>
            <w:tcW w:w="440" w:type="dxa"/>
            <w:vAlign w:val="bottom"/>
          </w:tcPr>
          <w:p>
            <w:pPr>
              <w:jc w:val="right"/>
              <w:ind w:right="254"/>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ind w:right="114"/>
              <w:spacing w:after="0"/>
              <w:rPr>
                <w:sz w:val="20"/>
                <w:szCs w:val="20"/>
                <w:color w:val="auto"/>
              </w:rPr>
            </w:pPr>
            <w:r>
              <w:rPr>
                <w:rFonts w:ascii="Arial" w:cs="Arial" w:eastAsia="Arial" w:hAnsi="Arial"/>
                <w:sz w:val="17"/>
                <w:szCs w:val="17"/>
                <w:color w:val="auto"/>
              </w:rPr>
              <w:t>7,220.8</w:t>
            </w:r>
          </w:p>
        </w:tc>
        <w:tc>
          <w:tcPr>
            <w:tcW w:w="120" w:type="dxa"/>
            <w:vAlign w:val="bottom"/>
          </w:tcPr>
          <w:p>
            <w:pPr>
              <w:spacing w:after="0"/>
              <w:rPr>
                <w:sz w:val="19"/>
                <w:szCs w:val="19"/>
                <w:color w:val="auto"/>
              </w:rPr>
            </w:pPr>
          </w:p>
        </w:tc>
        <w:tc>
          <w:tcPr>
            <w:tcW w:w="440" w:type="dxa"/>
            <w:vAlign w:val="bottom"/>
          </w:tcPr>
          <w:p>
            <w:pPr>
              <w:jc w:val="right"/>
              <w:ind w:right="254"/>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ind w:right="114"/>
              <w:spacing w:after="0"/>
              <w:rPr>
                <w:sz w:val="20"/>
                <w:szCs w:val="20"/>
                <w:color w:val="auto"/>
              </w:rPr>
            </w:pPr>
            <w:r>
              <w:rPr>
                <w:rFonts w:ascii="Arial" w:cs="Arial" w:eastAsia="Arial" w:hAnsi="Arial"/>
                <w:sz w:val="17"/>
                <w:szCs w:val="17"/>
                <w:color w:val="auto"/>
              </w:rPr>
              <w:t>7,202.0</w:t>
            </w:r>
          </w:p>
        </w:tc>
        <w:tc>
          <w:tcPr>
            <w:tcW w:w="0" w:type="dxa"/>
            <w:vAlign w:val="bottom"/>
          </w:tcPr>
          <w:p>
            <w:pPr>
              <w:spacing w:after="0"/>
              <w:rPr>
                <w:sz w:val="1"/>
                <w:szCs w:val="1"/>
                <w:color w:val="auto"/>
              </w:rPr>
            </w:pPr>
          </w:p>
        </w:tc>
      </w:tr>
      <w:tr>
        <w:trPr>
          <w:trHeight w:val="219"/>
        </w:trPr>
        <w:tc>
          <w:tcPr>
            <w:tcW w:w="4220" w:type="dxa"/>
            <w:vAlign w:val="bottom"/>
          </w:tcPr>
          <w:p>
            <w:pPr>
              <w:ind w:left="80"/>
              <w:spacing w:after="0"/>
              <w:rPr>
                <w:sz w:val="20"/>
                <w:szCs w:val="20"/>
                <w:color w:val="auto"/>
              </w:rPr>
            </w:pPr>
            <w:r>
              <w:rPr>
                <w:rFonts w:ascii="Arial" w:cs="Arial" w:eastAsia="Arial" w:hAnsi="Arial"/>
                <w:sz w:val="17"/>
                <w:szCs w:val="17"/>
                <w:color w:val="auto"/>
              </w:rPr>
              <w:t>HMBS related borrowings</w:t>
            </w:r>
          </w:p>
        </w:tc>
        <w:tc>
          <w:tcPr>
            <w:tcW w:w="4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7,155.3</w:t>
            </w:r>
          </w:p>
        </w:tc>
        <w:tc>
          <w:tcPr>
            <w:tcW w:w="1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7,118.8</w:t>
            </w:r>
          </w:p>
        </w:tc>
        <w:tc>
          <w:tcPr>
            <w:tcW w:w="0" w:type="dxa"/>
            <w:vAlign w:val="bottom"/>
          </w:tcPr>
          <w:p>
            <w:pPr>
              <w:spacing w:after="0"/>
              <w:rPr>
                <w:sz w:val="1"/>
                <w:szCs w:val="1"/>
                <w:color w:val="auto"/>
              </w:rPr>
            </w:pPr>
          </w:p>
        </w:tc>
      </w:tr>
      <w:tr>
        <w:trPr>
          <w:trHeight w:val="213"/>
        </w:trPr>
        <w:tc>
          <w:tcPr>
            <w:tcW w:w="4220" w:type="dxa"/>
            <w:vAlign w:val="bottom"/>
          </w:tcPr>
          <w:p>
            <w:pPr>
              <w:ind w:left="200"/>
              <w:spacing w:after="0"/>
              <w:rPr>
                <w:sz w:val="20"/>
                <w:szCs w:val="20"/>
                <w:color w:val="auto"/>
              </w:rPr>
            </w:pPr>
            <w:r>
              <w:rPr>
                <w:rFonts w:ascii="Arial" w:cs="Arial" w:eastAsia="Arial" w:hAnsi="Arial"/>
                <w:sz w:val="17"/>
                <w:szCs w:val="17"/>
                <w:color w:val="auto"/>
              </w:rPr>
              <w:t>Net asset value</w:t>
            </w:r>
          </w:p>
        </w:tc>
        <w:tc>
          <w:tcPr>
            <w:tcW w:w="440" w:type="dxa"/>
            <w:vAlign w:val="bottom"/>
            <w:tcBorders>
              <w:bottom w:val="single" w:sz="8" w:color="auto"/>
            </w:tcBorders>
          </w:tcPr>
          <w:p>
            <w:pPr>
              <w:jc w:val="right"/>
              <w:ind w:right="254"/>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65.5</w:t>
            </w:r>
          </w:p>
        </w:tc>
        <w:tc>
          <w:tcPr>
            <w:tcW w:w="120" w:type="dxa"/>
            <w:vAlign w:val="bottom"/>
          </w:tcPr>
          <w:p>
            <w:pPr>
              <w:spacing w:after="0"/>
              <w:rPr>
                <w:sz w:val="18"/>
                <w:szCs w:val="18"/>
                <w:color w:val="auto"/>
              </w:rPr>
            </w:pPr>
          </w:p>
        </w:tc>
        <w:tc>
          <w:tcPr>
            <w:tcW w:w="440" w:type="dxa"/>
            <w:vAlign w:val="bottom"/>
            <w:tcBorders>
              <w:bottom w:val="single" w:sz="8" w:color="auto"/>
            </w:tcBorders>
          </w:tcPr>
          <w:p>
            <w:pPr>
              <w:jc w:val="right"/>
              <w:ind w:right="254"/>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83.2</w:t>
            </w:r>
          </w:p>
        </w:tc>
        <w:tc>
          <w:tcPr>
            <w:tcW w:w="0" w:type="dxa"/>
            <w:vAlign w:val="bottom"/>
          </w:tcPr>
          <w:p>
            <w:pPr>
              <w:spacing w:after="0"/>
              <w:rPr>
                <w:sz w:val="1"/>
                <w:szCs w:val="1"/>
                <w:color w:val="auto"/>
              </w:rPr>
            </w:pPr>
          </w:p>
        </w:tc>
      </w:tr>
      <w:tr>
        <w:trPr>
          <w:trHeight w:val="20"/>
        </w:trPr>
        <w:tc>
          <w:tcPr>
            <w:tcW w:w="4220" w:type="dxa"/>
            <w:vAlign w:val="bottom"/>
            <w:vMerge w:val="restart"/>
          </w:tcPr>
          <w:p>
            <w:pPr>
              <w:ind w:left="200"/>
              <w:spacing w:after="0"/>
              <w:rPr>
                <w:sz w:val="20"/>
                <w:szCs w:val="20"/>
                <w:color w:val="auto"/>
              </w:rPr>
            </w:pPr>
            <w:r>
              <w:rPr>
                <w:rFonts w:ascii="Arial" w:cs="Arial" w:eastAsia="Arial" w:hAnsi="Arial"/>
                <w:sz w:val="17"/>
                <w:szCs w:val="17"/>
                <w:color w:val="auto"/>
              </w:rPr>
              <w:t>Net asset value to UPB</w:t>
            </w: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4220" w:type="dxa"/>
            <w:vAlign w:val="bottom"/>
            <w:vMerge w:val="continue"/>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0.94 %</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1.21 %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-598805</wp:posOffset>
            </wp:positionV>
            <wp:extent cx="7138035" cy="1397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8035" cy="13970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-319405</wp:posOffset>
            </wp:positionV>
            <wp:extent cx="7138035" cy="16383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8035" cy="163830"/>
                    </a:xfrm>
                    <a:prstGeom prst="rect">
                      <a:avLst/>
                    </a:prstGeom>
                    <a:noFill/>
                  </pic:spPr>
                </pic:pic>
              </a:graphicData>
            </a:graphic>
          </wp:anchor>
        </w:drawing>
      </w:r>
    </w:p>
    <w:p>
      <w:pPr>
        <w:spacing w:after="0" w:line="114" w:lineRule="exact"/>
        <w:rPr>
          <w:sz w:val="20"/>
          <w:szCs w:val="20"/>
          <w:color w:val="auto"/>
        </w:rPr>
      </w:pPr>
    </w:p>
    <w:p>
      <w:pPr>
        <w:ind w:left="320" w:hanging="317"/>
        <w:spacing w:after="0"/>
        <w:tabs>
          <w:tab w:leader="none" w:pos="320" w:val="left"/>
        </w:tabs>
        <w:numPr>
          <w:ilvl w:val="0"/>
          <w:numId w:val="46"/>
        </w:numPr>
        <w:rPr>
          <w:rFonts w:ascii="Arial" w:cs="Arial" w:eastAsia="Arial" w:hAnsi="Arial"/>
          <w:sz w:val="16"/>
          <w:szCs w:val="16"/>
          <w:color w:val="auto"/>
        </w:rPr>
      </w:pPr>
      <w:r>
        <w:rPr>
          <w:rFonts w:ascii="Arial" w:cs="Arial" w:eastAsia="Arial" w:hAnsi="Arial"/>
          <w:sz w:val="16"/>
          <w:szCs w:val="16"/>
          <w:color w:val="auto"/>
        </w:rPr>
        <w:t>Securitized loans only; excludes unsecuritized loans as reported within the Originations segment.</w:t>
      </w:r>
    </w:p>
    <w:p>
      <w:pPr>
        <w:spacing w:after="0" w:line="8" w:lineRule="exact"/>
        <w:rPr>
          <w:rFonts w:ascii="Arial" w:cs="Arial" w:eastAsia="Arial" w:hAnsi="Arial"/>
          <w:sz w:val="16"/>
          <w:szCs w:val="16"/>
          <w:color w:val="auto"/>
        </w:rPr>
      </w:pPr>
    </w:p>
    <w:p>
      <w:pPr>
        <w:ind w:left="320" w:hanging="317"/>
        <w:spacing w:after="0"/>
        <w:tabs>
          <w:tab w:leader="none" w:pos="320" w:val="left"/>
        </w:tabs>
        <w:numPr>
          <w:ilvl w:val="0"/>
          <w:numId w:val="46"/>
        </w:numPr>
        <w:rPr>
          <w:rFonts w:ascii="Arial" w:cs="Arial" w:eastAsia="Arial" w:hAnsi="Arial"/>
          <w:sz w:val="13"/>
          <w:szCs w:val="13"/>
          <w:color w:val="auto"/>
        </w:rPr>
      </w:pPr>
      <w:r>
        <w:rPr>
          <w:rFonts w:ascii="Arial" w:cs="Arial" w:eastAsia="Arial" w:hAnsi="Arial"/>
          <w:sz w:val="13"/>
          <w:szCs w:val="13"/>
          <w:color w:val="auto"/>
        </w:rPr>
        <w:t>Buyouts are reported as Loans held for sale, Accounts Receivable or REO depending on the loan and foreclosure status.</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9"/>
        </w:trPr>
        <w:tc>
          <w:tcPr>
            <w:tcW w:w="540" w:type="dxa"/>
            <w:vAlign w:val="bottom"/>
          </w:tcPr>
          <w:p>
            <w:pPr>
              <w:jc w:val="right"/>
              <w:ind w:right="214"/>
              <w:spacing w:after="0"/>
              <w:rPr>
                <w:sz w:val="20"/>
                <w:szCs w:val="20"/>
                <w:color w:val="auto"/>
              </w:rPr>
            </w:pPr>
            <w:r>
              <w:rPr>
                <w:rFonts w:ascii="Arial" w:cs="Arial" w:eastAsia="Arial" w:hAnsi="Arial"/>
                <w:sz w:val="17"/>
                <w:szCs w:val="17"/>
                <w:color w:val="auto"/>
              </w:rPr>
              <w:t>—</w:t>
            </w:r>
          </w:p>
        </w:tc>
        <w:tc>
          <w:tcPr>
            <w:tcW w:w="460" w:type="dxa"/>
            <w:vAlign w:val="bottom"/>
          </w:tcPr>
          <w:p>
            <w:pPr>
              <w:jc w:val="right"/>
              <w:ind w:right="254"/>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134"/>
              <w:spacing w:after="0"/>
              <w:rPr>
                <w:sz w:val="20"/>
                <w:szCs w:val="20"/>
                <w:color w:val="auto"/>
              </w:rPr>
            </w:pPr>
            <w:r>
              <w:rPr>
                <w:rFonts w:ascii="Arial" w:cs="Arial" w:eastAsia="Arial" w:hAnsi="Arial"/>
                <w:sz w:val="17"/>
                <w:szCs w:val="17"/>
                <w:color w:val="auto"/>
              </w:rPr>
              <w:t>6,928.5</w:t>
            </w:r>
          </w:p>
        </w:tc>
        <w:tc>
          <w:tcPr>
            <w:tcW w:w="1060" w:type="dxa"/>
            <w:vAlign w:val="bottom"/>
          </w:tcPr>
          <w:p>
            <w:pPr>
              <w:jc w:val="right"/>
              <w:spacing w:after="0"/>
              <w:rPr>
                <w:sz w:val="20"/>
                <w:szCs w:val="20"/>
                <w:color w:val="auto"/>
              </w:rPr>
            </w:pPr>
            <w:r>
              <w:rPr>
                <w:rFonts w:ascii="Arial" w:cs="Arial" w:eastAsia="Arial" w:hAnsi="Arial"/>
                <w:sz w:val="17"/>
                <w:szCs w:val="17"/>
                <w:color w:val="auto"/>
              </w:rPr>
              <w:t>4 %</w:t>
            </w:r>
          </w:p>
        </w:tc>
      </w:tr>
      <w:tr>
        <w:trPr>
          <w:trHeight w:val="219"/>
        </w:trPr>
        <w:tc>
          <w:tcPr>
            <w:tcW w:w="540" w:type="dxa"/>
            <w:vAlign w:val="bottom"/>
          </w:tcPr>
          <w:p>
            <w:pPr>
              <w:jc w:val="right"/>
              <w:ind w:right="214"/>
              <w:spacing w:after="0"/>
              <w:rPr>
                <w:sz w:val="20"/>
                <w:szCs w:val="20"/>
                <w:color w:val="auto"/>
              </w:rPr>
            </w:pPr>
            <w:r>
              <w:rPr>
                <w:rFonts w:ascii="Arial" w:cs="Arial" w:eastAsia="Arial" w:hAnsi="Arial"/>
                <w:sz w:val="17"/>
                <w:szCs w:val="17"/>
                <w:color w:val="auto"/>
              </w:rPr>
              <w:t>1</w:t>
            </w: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6,823.9</w:t>
            </w:r>
          </w:p>
        </w:tc>
        <w:tc>
          <w:tcPr>
            <w:tcW w:w="1060" w:type="dxa"/>
            <w:vAlign w:val="bottom"/>
          </w:tcPr>
          <w:p>
            <w:pPr>
              <w:jc w:val="right"/>
              <w:ind w:right="94"/>
              <w:spacing w:after="0"/>
              <w:rPr>
                <w:sz w:val="20"/>
                <w:szCs w:val="20"/>
                <w:color w:val="auto"/>
              </w:rPr>
            </w:pPr>
            <w:r>
              <w:rPr>
                <w:rFonts w:ascii="Arial" w:cs="Arial" w:eastAsia="Arial" w:hAnsi="Arial"/>
                <w:sz w:val="17"/>
                <w:szCs w:val="17"/>
                <w:color w:val="auto"/>
              </w:rPr>
              <w:t>5</w:t>
            </w:r>
          </w:p>
        </w:tc>
      </w:tr>
      <w:tr>
        <w:trPr>
          <w:trHeight w:val="213"/>
        </w:trPr>
        <w:tc>
          <w:tcPr>
            <w:tcW w:w="540" w:type="dxa"/>
            <w:vAlign w:val="bottom"/>
          </w:tcPr>
          <w:p>
            <w:pPr>
              <w:jc w:val="right"/>
              <w:ind w:right="174"/>
              <w:spacing w:after="0"/>
              <w:rPr>
                <w:sz w:val="20"/>
                <w:szCs w:val="20"/>
                <w:color w:val="auto"/>
              </w:rPr>
            </w:pPr>
            <w:r>
              <w:rPr>
                <w:rFonts w:ascii="Arial" w:cs="Arial" w:eastAsia="Arial" w:hAnsi="Arial"/>
                <w:sz w:val="17"/>
                <w:szCs w:val="17"/>
                <w:color w:val="auto"/>
                <w:w w:val="85"/>
              </w:rPr>
              <w:t>(21)</w:t>
            </w:r>
          </w:p>
        </w:tc>
        <w:tc>
          <w:tcPr>
            <w:tcW w:w="460" w:type="dxa"/>
            <w:vAlign w:val="bottom"/>
            <w:tcBorders>
              <w:bottom w:val="single" w:sz="8" w:color="auto"/>
            </w:tcBorders>
          </w:tcPr>
          <w:p>
            <w:pPr>
              <w:jc w:val="right"/>
              <w:ind w:right="254"/>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104.6</w:t>
            </w:r>
          </w:p>
        </w:tc>
        <w:tc>
          <w:tcPr>
            <w:tcW w:w="1060" w:type="dxa"/>
            <w:vAlign w:val="bottom"/>
          </w:tcPr>
          <w:p>
            <w:pPr>
              <w:jc w:val="right"/>
              <w:spacing w:after="0"/>
              <w:rPr>
                <w:sz w:val="20"/>
                <w:szCs w:val="20"/>
                <w:color w:val="auto"/>
              </w:rPr>
            </w:pPr>
            <w:r>
              <w:rPr>
                <w:rFonts w:ascii="Arial" w:cs="Arial" w:eastAsia="Arial" w:hAnsi="Arial"/>
                <w:sz w:val="17"/>
                <w:szCs w:val="17"/>
                <w:color w:val="auto"/>
              </w:rPr>
              <w:t>(37)%</w:t>
            </w:r>
          </w:p>
        </w:tc>
      </w:tr>
      <w:tr>
        <w:trPr>
          <w:trHeight w:val="20"/>
        </w:trPr>
        <w:tc>
          <w:tcPr>
            <w:tcW w:w="5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12"/>
        </w:trPr>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1.65 %</w:t>
            </w:r>
          </w:p>
        </w:tc>
        <w:tc>
          <w:tcPr>
            <w:tcW w:w="1060" w:type="dxa"/>
            <w:vAlign w:val="bottom"/>
          </w:tcPr>
          <w:p>
            <w:pPr>
              <w:spacing w:after="0"/>
              <w:rPr>
                <w:sz w:val="18"/>
                <w:szCs w:val="18"/>
                <w:color w:val="auto"/>
              </w:rPr>
            </w:pPr>
          </w:p>
        </w:tc>
      </w:tr>
    </w:tbl>
    <w:p>
      <w:pPr>
        <w:spacing w:after="0" w:line="676" w:lineRule="exact"/>
        <w:rPr>
          <w:sz w:val="20"/>
          <w:szCs w:val="20"/>
          <w:color w:val="auto"/>
        </w:rPr>
      </w:pPr>
    </w:p>
    <w:p>
      <w:pPr>
        <w:sectPr>
          <w:pgSz w:w="11900" w:h="16838" w:orient="portrait"/>
          <w:cols w:equalWidth="0" w:num="2">
            <w:col w:w="7760" w:space="340"/>
            <w:col w:w="3140"/>
          </w:cols>
          <w:pgMar w:left="320" w:top="967" w:right="339" w:bottom="1440" w:gutter="0" w:footer="0" w:header="0"/>
          <w:type w:val="continuous"/>
        </w:sect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200" w:type="dxa"/>
            <w:vAlign w:val="bottom"/>
          </w:tcPr>
          <w:p>
            <w:pPr>
              <w:spacing w:after="0"/>
              <w:rPr>
                <w:sz w:val="20"/>
                <w:szCs w:val="20"/>
                <w:color w:val="auto"/>
              </w:rPr>
            </w:pPr>
            <w:r>
              <w:rPr>
                <w:rFonts w:ascii="Arial" w:cs="Arial" w:eastAsia="Arial" w:hAnsi="Arial"/>
                <w:sz w:val="17"/>
                <w:szCs w:val="17"/>
                <w:b w:val="1"/>
                <w:bCs w:val="1"/>
                <w:color w:val="auto"/>
              </w:rPr>
              <w:t>Servicing and Subservicing Fees</w:t>
            </w: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45"/>
        </w:trPr>
        <w:tc>
          <w:tcPr>
            <w:tcW w:w="32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620" w:type="dxa"/>
            <w:vAlign w:val="bottom"/>
            <w:tcBorders>
              <w:bottom w:val="single" w:sz="8" w:color="auto"/>
            </w:tcBorders>
            <w:gridSpan w:val="4"/>
          </w:tcPr>
          <w:p>
            <w:pPr>
              <w:jc w:val="right"/>
              <w:ind w:right="574"/>
              <w:spacing w:after="0"/>
              <w:rPr>
                <w:sz w:val="20"/>
                <w:szCs w:val="20"/>
                <w:color w:val="auto"/>
              </w:rPr>
            </w:pPr>
            <w:r>
              <w:rPr>
                <w:rFonts w:ascii="Arial" w:cs="Arial" w:eastAsia="Arial" w:hAnsi="Arial"/>
                <w:sz w:val="17"/>
                <w:szCs w:val="17"/>
                <w:b w:val="1"/>
                <w:bCs w:val="1"/>
                <w:color w:val="auto"/>
              </w:rPr>
              <w:t>Three Months Ended</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620" w:type="dxa"/>
            <w:vAlign w:val="bottom"/>
            <w:tcBorders>
              <w:bottom w:val="single" w:sz="8" w:color="auto"/>
            </w:tcBorders>
            <w:gridSpan w:val="4"/>
          </w:tcPr>
          <w:p>
            <w:pPr>
              <w:jc w:val="right"/>
              <w:ind w:right="654"/>
              <w:spacing w:after="0"/>
              <w:rPr>
                <w:sz w:val="20"/>
                <w:szCs w:val="20"/>
                <w:color w:val="auto"/>
              </w:rPr>
            </w:pPr>
            <w:r>
              <w:rPr>
                <w:rFonts w:ascii="Arial" w:cs="Arial" w:eastAsia="Arial" w:hAnsi="Arial"/>
                <w:sz w:val="17"/>
                <w:szCs w:val="17"/>
                <w:b w:val="1"/>
                <w:bCs w:val="1"/>
                <w:color w:val="auto"/>
              </w:rPr>
              <w:t>Six Months Ended</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26"/>
        </w:trPr>
        <w:tc>
          <w:tcPr>
            <w:tcW w:w="3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2"/>
          </w:tcPr>
          <w:p>
            <w:pPr>
              <w:ind w:left="140"/>
              <w:spacing w:after="0"/>
              <w:rPr>
                <w:sz w:val="20"/>
                <w:szCs w:val="20"/>
                <w:color w:val="auto"/>
              </w:rPr>
            </w:pPr>
            <w:r>
              <w:rPr>
                <w:rFonts w:ascii="Arial" w:cs="Arial" w:eastAsia="Arial" w:hAnsi="Arial"/>
                <w:sz w:val="17"/>
                <w:szCs w:val="17"/>
                <w:b w:val="1"/>
                <w:bCs w:val="1"/>
                <w:color w:val="auto"/>
              </w:rPr>
              <w:t>June 30,</w:t>
            </w:r>
          </w:p>
        </w:tc>
        <w:tc>
          <w:tcPr>
            <w:tcW w:w="200" w:type="dxa"/>
            <w:vAlign w:val="bottom"/>
          </w:tcPr>
          <w:p>
            <w:pPr>
              <w:spacing w:after="0"/>
              <w:rPr>
                <w:sz w:val="19"/>
                <w:szCs w:val="19"/>
                <w:color w:val="auto"/>
              </w:rPr>
            </w:pPr>
          </w:p>
        </w:tc>
        <w:tc>
          <w:tcPr>
            <w:tcW w:w="1180" w:type="dxa"/>
            <w:vAlign w:val="bottom"/>
          </w:tcPr>
          <w:p>
            <w:pPr>
              <w:jc w:val="right"/>
              <w:ind w:right="234"/>
              <w:spacing w:after="0"/>
              <w:rPr>
                <w:sz w:val="20"/>
                <w:szCs w:val="20"/>
                <w:color w:val="auto"/>
              </w:rPr>
            </w:pPr>
            <w:r>
              <w:rPr>
                <w:rFonts w:ascii="Arial" w:cs="Arial" w:eastAsia="Arial" w:hAnsi="Arial"/>
                <w:sz w:val="17"/>
                <w:szCs w:val="17"/>
                <w:b w:val="1"/>
                <w:bCs w:val="1"/>
                <w:color w:val="auto"/>
              </w:rPr>
              <w:t>March 31,</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2"/>
          </w:tcPr>
          <w:p>
            <w:pPr>
              <w:ind w:left="140"/>
              <w:spacing w:after="0"/>
              <w:rPr>
                <w:sz w:val="20"/>
                <w:szCs w:val="20"/>
                <w:color w:val="auto"/>
              </w:rPr>
            </w:pPr>
            <w:r>
              <w:rPr>
                <w:rFonts w:ascii="Arial" w:cs="Arial" w:eastAsia="Arial" w:hAnsi="Arial"/>
                <w:sz w:val="17"/>
                <w:szCs w:val="17"/>
                <w:b w:val="1"/>
                <w:bCs w:val="1"/>
                <w:color w:val="auto"/>
              </w:rPr>
              <w:t>June 30,</w:t>
            </w:r>
          </w:p>
        </w:tc>
        <w:tc>
          <w:tcPr>
            <w:tcW w:w="240" w:type="dxa"/>
            <w:vAlign w:val="bottom"/>
          </w:tcPr>
          <w:p>
            <w:pPr>
              <w:spacing w:after="0"/>
              <w:rPr>
                <w:sz w:val="19"/>
                <w:szCs w:val="19"/>
                <w:color w:val="auto"/>
              </w:rPr>
            </w:pPr>
          </w:p>
        </w:tc>
        <w:tc>
          <w:tcPr>
            <w:tcW w:w="1140" w:type="dxa"/>
            <w:vAlign w:val="bottom"/>
          </w:tcPr>
          <w:p>
            <w:pPr>
              <w:jc w:val="right"/>
              <w:ind w:right="294"/>
              <w:spacing w:after="0"/>
              <w:rPr>
                <w:sz w:val="20"/>
                <w:szCs w:val="20"/>
                <w:color w:val="auto"/>
              </w:rPr>
            </w:pPr>
            <w:r>
              <w:rPr>
                <w:rFonts w:ascii="Arial" w:cs="Arial" w:eastAsia="Arial" w:hAnsi="Arial"/>
                <w:sz w:val="17"/>
                <w:szCs w:val="17"/>
                <w:b w:val="1"/>
                <w:bCs w:val="1"/>
                <w:color w:val="auto"/>
              </w:rPr>
              <w:t>June 30,</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45"/>
        </w:trPr>
        <w:tc>
          <w:tcPr>
            <w:tcW w:w="3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ind w:right="434"/>
              <w:spacing w:after="0"/>
              <w:rPr>
                <w:sz w:val="20"/>
                <w:szCs w:val="20"/>
                <w:color w:val="auto"/>
              </w:rPr>
            </w:pPr>
            <w:r>
              <w:rPr>
                <w:rFonts w:ascii="Arial" w:cs="Arial" w:eastAsia="Arial" w:hAnsi="Arial"/>
                <w:sz w:val="17"/>
                <w:szCs w:val="17"/>
                <w:b w:val="1"/>
                <w:bCs w:val="1"/>
                <w:color w:val="auto"/>
              </w:rPr>
              <w:t>2022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ind w:right="434"/>
              <w:spacing w:after="0"/>
              <w:rPr>
                <w:sz w:val="20"/>
                <w:szCs w:val="20"/>
                <w:color w:val="auto"/>
              </w:rPr>
            </w:pPr>
            <w:r>
              <w:rPr>
                <w:rFonts w:ascii="Arial" w:cs="Arial" w:eastAsia="Arial" w:hAnsi="Arial"/>
                <w:sz w:val="17"/>
                <w:szCs w:val="17"/>
                <w:b w:val="1"/>
                <w:bCs w:val="1"/>
                <w:color w:val="auto"/>
              </w:rPr>
              <w:t>2022</w:t>
            </w:r>
          </w:p>
        </w:tc>
        <w:tc>
          <w:tcPr>
            <w:tcW w:w="100" w:type="dxa"/>
            <w:vAlign w:val="bottom"/>
          </w:tcPr>
          <w:p>
            <w:pPr>
              <w:spacing w:after="0"/>
              <w:rPr>
                <w:sz w:val="21"/>
                <w:szCs w:val="21"/>
                <w:color w:val="auto"/>
              </w:rPr>
            </w:pPr>
          </w:p>
        </w:tc>
        <w:tc>
          <w:tcPr>
            <w:tcW w:w="1100" w:type="dxa"/>
            <w:vAlign w:val="bottom"/>
            <w:gridSpan w:val="2"/>
          </w:tcPr>
          <w:p>
            <w:pPr>
              <w:ind w:left="100"/>
              <w:spacing w:after="0"/>
              <w:rPr>
                <w:sz w:val="20"/>
                <w:szCs w:val="20"/>
                <w:color w:val="auto"/>
              </w:rPr>
            </w:pPr>
            <w:r>
              <w:rPr>
                <w:rFonts w:ascii="Arial" w:cs="Arial" w:eastAsia="Arial" w:hAnsi="Arial"/>
                <w:sz w:val="17"/>
                <w:szCs w:val="17"/>
                <w:b w:val="1"/>
                <w:bCs w:val="1"/>
                <w:color w:val="auto"/>
              </w:rPr>
              <w:t>% Change</w:t>
            </w:r>
          </w:p>
        </w:tc>
        <w:tc>
          <w:tcPr>
            <w:tcW w:w="240" w:type="dxa"/>
            <w:vAlign w:val="bottom"/>
          </w:tcPr>
          <w:p>
            <w:pPr>
              <w:spacing w:after="0"/>
              <w:rPr>
                <w:sz w:val="21"/>
                <w:szCs w:val="21"/>
                <w:color w:val="auto"/>
              </w:rPr>
            </w:pPr>
          </w:p>
        </w:tc>
        <w:tc>
          <w:tcPr>
            <w:tcW w:w="1140" w:type="dxa"/>
            <w:vAlign w:val="bottom"/>
          </w:tcPr>
          <w:p>
            <w:pPr>
              <w:jc w:val="right"/>
              <w:ind w:right="434"/>
              <w:spacing w:after="0"/>
              <w:rPr>
                <w:sz w:val="20"/>
                <w:szCs w:val="20"/>
                <w:color w:val="auto"/>
              </w:rPr>
            </w:pPr>
            <w:r>
              <w:rPr>
                <w:rFonts w:ascii="Arial" w:cs="Arial" w:eastAsia="Arial" w:hAnsi="Arial"/>
                <w:sz w:val="17"/>
                <w:szCs w:val="17"/>
                <w:b w:val="1"/>
                <w:bCs w:val="1"/>
                <w:color w:val="auto"/>
              </w:rPr>
              <w:t>2022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434"/>
              <w:spacing w:after="0"/>
              <w:rPr>
                <w:sz w:val="20"/>
                <w:szCs w:val="20"/>
                <w:color w:val="auto"/>
              </w:rPr>
            </w:pPr>
            <w:r>
              <w:rPr>
                <w:rFonts w:ascii="Arial" w:cs="Arial" w:eastAsia="Arial" w:hAnsi="Arial"/>
                <w:sz w:val="17"/>
                <w:szCs w:val="17"/>
                <w:b w:val="1"/>
                <w:bCs w:val="1"/>
                <w:color w:val="auto"/>
              </w:rPr>
              <w:t>2021</w:t>
            </w:r>
          </w:p>
        </w:tc>
        <w:tc>
          <w:tcPr>
            <w:tcW w:w="10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7"/>
                <w:szCs w:val="17"/>
                <w:b w:val="1"/>
                <w:bCs w:val="1"/>
                <w:color w:val="auto"/>
              </w:rPr>
              <w:t>% Change</w:t>
            </w:r>
          </w:p>
        </w:tc>
      </w:tr>
      <w:tr>
        <w:trPr>
          <w:trHeight w:val="200"/>
        </w:trPr>
        <w:tc>
          <w:tcPr>
            <w:tcW w:w="3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Loan servicing and subservicing fees:</w:t>
            </w:r>
          </w:p>
        </w:tc>
        <w:tc>
          <w:tcPr>
            <w:tcW w:w="26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r>
      <w:tr>
        <w:trPr>
          <w:trHeight w:val="220"/>
        </w:trPr>
        <w:tc>
          <w:tcPr>
            <w:tcW w:w="3200" w:type="dxa"/>
            <w:vAlign w:val="bottom"/>
          </w:tcPr>
          <w:p>
            <w:pPr>
              <w:ind w:left="120"/>
              <w:spacing w:after="0"/>
              <w:rPr>
                <w:sz w:val="20"/>
                <w:szCs w:val="20"/>
                <w:color w:val="auto"/>
              </w:rPr>
            </w:pPr>
            <w:r>
              <w:rPr>
                <w:rFonts w:ascii="Arial" w:cs="Arial" w:eastAsia="Arial" w:hAnsi="Arial"/>
                <w:sz w:val="17"/>
                <w:szCs w:val="17"/>
                <w:color w:val="auto"/>
              </w:rPr>
              <w:t>Servicing</w:t>
            </w:r>
          </w:p>
        </w:tc>
        <w:tc>
          <w:tcPr>
            <w:tcW w:w="260" w:type="dxa"/>
            <w:vAlign w:val="bottom"/>
          </w:tcPr>
          <w:p>
            <w:pPr>
              <w:jc w:val="right"/>
              <w:ind w:right="54"/>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80.9</w:t>
            </w:r>
          </w:p>
        </w:tc>
        <w:tc>
          <w:tcPr>
            <w:tcW w:w="10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88.5</w:t>
            </w:r>
          </w:p>
        </w:tc>
        <w:tc>
          <w:tcPr>
            <w:tcW w:w="1100" w:type="dxa"/>
            <w:vAlign w:val="bottom"/>
            <w:gridSpan w:val="2"/>
          </w:tcPr>
          <w:p>
            <w:pPr>
              <w:ind w:left="720"/>
              <w:spacing w:after="0"/>
              <w:rPr>
                <w:sz w:val="20"/>
                <w:szCs w:val="20"/>
                <w:color w:val="auto"/>
              </w:rPr>
            </w:pPr>
            <w:r>
              <w:rPr>
                <w:rFonts w:ascii="Arial" w:cs="Arial" w:eastAsia="Arial" w:hAnsi="Arial"/>
                <w:sz w:val="17"/>
                <w:szCs w:val="17"/>
                <w:color w:val="auto"/>
              </w:rPr>
              <w:t>(9)%</w:t>
            </w:r>
          </w:p>
        </w:tc>
        <w:tc>
          <w:tcPr>
            <w:tcW w:w="10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169.4</w:t>
            </w:r>
          </w:p>
        </w:tc>
        <w:tc>
          <w:tcPr>
            <w:tcW w:w="10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143.3</w:t>
            </w: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18 %</w:t>
            </w:r>
          </w:p>
        </w:tc>
      </w:tr>
      <w:tr>
        <w:trPr>
          <w:trHeight w:val="220"/>
        </w:trPr>
        <w:tc>
          <w:tcPr>
            <w:tcW w:w="32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Subservicing</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14.7</w:t>
            </w:r>
          </w:p>
        </w:tc>
        <w:tc>
          <w:tcPr>
            <w:tcW w:w="1100" w:type="dxa"/>
            <w:vAlign w:val="bottom"/>
            <w:gridSpan w:val="2"/>
            <w:shd w:val="clear" w:color="auto" w:fill="CCEEFF"/>
          </w:tcPr>
          <w:p>
            <w:pPr>
              <w:jc w:val="right"/>
              <w:ind w:right="134"/>
              <w:spacing w:after="0"/>
              <w:rPr>
                <w:sz w:val="20"/>
                <w:szCs w:val="20"/>
                <w:color w:val="auto"/>
              </w:rPr>
            </w:pPr>
            <w:r>
              <w:rPr>
                <w:rFonts w:ascii="Arial" w:cs="Arial" w:eastAsia="Arial" w:hAnsi="Arial"/>
                <w:sz w:val="17"/>
                <w:szCs w:val="17"/>
                <w:color w:val="auto"/>
              </w:rPr>
              <w:t>39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w:t>
            </w:r>
          </w:p>
        </w:tc>
        <w:tc>
          <w:tcPr>
            <w:tcW w:w="1100" w:type="dxa"/>
            <w:vAlign w:val="bottom"/>
            <w:gridSpan w:val="2"/>
            <w:shd w:val="clear" w:color="auto" w:fill="CCEEFF"/>
          </w:tcPr>
          <w:p>
            <w:pPr>
              <w:jc w:val="right"/>
              <w:ind w:right="114"/>
              <w:spacing w:after="0"/>
              <w:rPr>
                <w:sz w:val="20"/>
                <w:szCs w:val="20"/>
                <w:color w:val="auto"/>
              </w:rPr>
            </w:pPr>
            <w:r>
              <w:rPr>
                <w:rFonts w:ascii="Arial" w:cs="Arial" w:eastAsia="Arial" w:hAnsi="Arial"/>
                <w:sz w:val="17"/>
                <w:szCs w:val="17"/>
                <w:color w:val="auto"/>
              </w:rPr>
              <w:t>474</w:t>
            </w:r>
          </w:p>
        </w:tc>
      </w:tr>
      <w:tr>
        <w:trPr>
          <w:trHeight w:val="220"/>
        </w:trPr>
        <w:tc>
          <w:tcPr>
            <w:tcW w:w="3200" w:type="dxa"/>
            <w:vAlign w:val="bottom"/>
          </w:tcPr>
          <w:p>
            <w:pPr>
              <w:ind w:left="120"/>
              <w:spacing w:after="0"/>
              <w:rPr>
                <w:sz w:val="20"/>
                <w:szCs w:val="20"/>
                <w:color w:val="auto"/>
              </w:rPr>
            </w:pPr>
            <w:r>
              <w:rPr>
                <w:rFonts w:ascii="Arial" w:cs="Arial" w:eastAsia="Arial" w:hAnsi="Arial"/>
                <w:sz w:val="17"/>
                <w:szCs w:val="17"/>
                <w:color w:val="auto"/>
              </w:rPr>
              <w:t>MAV</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18.8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16.6</w:t>
            </w:r>
          </w:p>
        </w:tc>
        <w:tc>
          <w:tcPr>
            <w:tcW w:w="1100" w:type="dxa"/>
            <w:vAlign w:val="bottom"/>
            <w:gridSpan w:val="2"/>
          </w:tcPr>
          <w:p>
            <w:pPr>
              <w:jc w:val="right"/>
              <w:ind w:right="134"/>
              <w:spacing w:after="0"/>
              <w:rPr>
                <w:sz w:val="20"/>
                <w:szCs w:val="20"/>
                <w:color w:val="auto"/>
              </w:rPr>
            </w:pPr>
            <w:r>
              <w:rPr>
                <w:rFonts w:ascii="Arial" w:cs="Arial" w:eastAsia="Arial" w:hAnsi="Arial"/>
                <w:sz w:val="17"/>
                <w:szCs w:val="17"/>
                <w:color w:val="auto"/>
              </w:rPr>
              <w:t>13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35.5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n/m</w:t>
            </w:r>
          </w:p>
        </w:tc>
      </w:tr>
      <w:tr>
        <w:trPr>
          <w:trHeight w:val="220"/>
        </w:trPr>
        <w:tc>
          <w:tcPr>
            <w:tcW w:w="32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NRZ</w:t>
            </w: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67.1</w:t>
            </w:r>
          </w:p>
        </w:tc>
        <w:tc>
          <w:tcPr>
            <w:tcW w:w="1100" w:type="dxa"/>
            <w:vAlign w:val="bottom"/>
            <w:gridSpan w:val="2"/>
            <w:shd w:val="clear" w:color="auto" w:fill="CCEEFF"/>
          </w:tcPr>
          <w:p>
            <w:pPr>
              <w:ind w:left="720"/>
              <w:spacing w:after="0"/>
              <w:rPr>
                <w:sz w:val="20"/>
                <w:szCs w:val="20"/>
                <w:color w:val="auto"/>
              </w:rPr>
            </w:pPr>
            <w:r>
              <w:rPr>
                <w:rFonts w:ascii="Arial" w:cs="Arial" w:eastAsia="Arial" w:hAnsi="Arial"/>
                <w:sz w:val="17"/>
                <w:szCs w:val="17"/>
                <w:color w:val="auto"/>
              </w:rPr>
              <w:t>(4)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131.9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158.1</w:t>
            </w:r>
          </w:p>
        </w:tc>
        <w:tc>
          <w:tcPr>
            <w:tcW w:w="110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(17)</w:t>
            </w:r>
          </w:p>
        </w:tc>
      </w:tr>
      <w:tr>
        <w:trPr>
          <w:trHeight w:val="213"/>
        </w:trPr>
        <w:tc>
          <w:tcPr>
            <w:tcW w:w="3200" w:type="dxa"/>
            <w:vAlign w:val="bottom"/>
          </w:tcPr>
          <w:p>
            <w:pPr>
              <w:ind w:left="180"/>
              <w:spacing w:after="0"/>
              <w:rPr>
                <w:sz w:val="20"/>
                <w:szCs w:val="20"/>
                <w:color w:val="auto"/>
              </w:rPr>
            </w:pPr>
            <w:r>
              <w:rPr>
                <w:rFonts w:ascii="Arial" w:cs="Arial" w:eastAsia="Arial" w:hAnsi="Arial"/>
                <w:sz w:val="17"/>
                <w:szCs w:val="17"/>
                <w:color w:val="auto"/>
              </w:rPr>
              <w:t>Servicing and subservicing fees</w:t>
            </w: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184.8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187.0</w:t>
            </w:r>
          </w:p>
        </w:tc>
        <w:tc>
          <w:tcPr>
            <w:tcW w:w="1100" w:type="dxa"/>
            <w:vAlign w:val="bottom"/>
            <w:gridSpan w:val="2"/>
          </w:tcPr>
          <w:p>
            <w:pPr>
              <w:ind w:left="720"/>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371.8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307.5</w:t>
            </w:r>
          </w:p>
        </w:tc>
        <w:tc>
          <w:tcPr>
            <w:tcW w:w="1100" w:type="dxa"/>
            <w:vAlign w:val="bottom"/>
            <w:gridSpan w:val="2"/>
          </w:tcPr>
          <w:p>
            <w:pPr>
              <w:jc w:val="right"/>
              <w:ind w:right="114"/>
              <w:spacing w:after="0"/>
              <w:rPr>
                <w:sz w:val="20"/>
                <w:szCs w:val="20"/>
                <w:color w:val="auto"/>
              </w:rPr>
            </w:pPr>
            <w:r>
              <w:rPr>
                <w:rFonts w:ascii="Arial" w:cs="Arial" w:eastAsia="Arial" w:hAnsi="Arial"/>
                <w:sz w:val="17"/>
                <w:szCs w:val="17"/>
                <w:color w:val="auto"/>
              </w:rPr>
              <w:t>21</w:t>
            </w:r>
          </w:p>
        </w:tc>
      </w:tr>
      <w:tr>
        <w:trPr>
          <w:trHeight w:val="220"/>
        </w:trPr>
        <w:tc>
          <w:tcPr>
            <w:tcW w:w="32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Ancillary income</w:t>
            </w: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25.2</w:t>
            </w:r>
          </w:p>
        </w:tc>
        <w:tc>
          <w:tcPr>
            <w:tcW w:w="1100" w:type="dxa"/>
            <w:vAlign w:val="bottom"/>
            <w:gridSpan w:val="2"/>
            <w:shd w:val="clear" w:color="auto" w:fill="CCEEFF"/>
          </w:tcPr>
          <w:p>
            <w:pPr>
              <w:jc w:val="right"/>
              <w:ind w:right="134"/>
              <w:spacing w:after="0"/>
              <w:rPr>
                <w:sz w:val="20"/>
                <w:szCs w:val="20"/>
                <w:color w:val="auto"/>
              </w:rPr>
            </w:pPr>
            <w:r>
              <w:rPr>
                <w:rFonts w:ascii="Arial" w:cs="Arial" w:eastAsia="Arial" w:hAnsi="Arial"/>
                <w:sz w:val="17"/>
                <w:szCs w:val="17"/>
                <w:color w:val="auto"/>
              </w:rPr>
              <w:t>18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44.0</w:t>
            </w:r>
          </w:p>
        </w:tc>
        <w:tc>
          <w:tcPr>
            <w:tcW w:w="1100" w:type="dxa"/>
            <w:vAlign w:val="bottom"/>
            <w:gridSpan w:val="2"/>
            <w:shd w:val="clear" w:color="auto" w:fill="CCEEFF"/>
          </w:tcPr>
          <w:p>
            <w:pPr>
              <w:jc w:val="right"/>
              <w:ind w:right="114"/>
              <w:spacing w:after="0"/>
              <w:rPr>
                <w:sz w:val="20"/>
                <w:szCs w:val="20"/>
                <w:color w:val="auto"/>
              </w:rPr>
            </w:pPr>
            <w:r>
              <w:rPr>
                <w:rFonts w:ascii="Arial" w:cs="Arial" w:eastAsia="Arial" w:hAnsi="Arial"/>
                <w:sz w:val="17"/>
                <w:szCs w:val="17"/>
                <w:color w:val="auto"/>
              </w:rPr>
              <w:t>25</w:t>
            </w:r>
          </w:p>
        </w:tc>
      </w:tr>
      <w:tr>
        <w:trPr>
          <w:trHeight w:val="213"/>
        </w:trPr>
        <w:tc>
          <w:tcPr>
            <w:tcW w:w="3200" w:type="dxa"/>
            <w:vAlign w:val="bottom"/>
          </w:tcPr>
          <w:p>
            <w:pPr>
              <w:spacing w:after="0"/>
              <w:rPr>
                <w:sz w:val="18"/>
                <w:szCs w:val="18"/>
                <w:color w:val="auto"/>
              </w:rPr>
            </w:pPr>
          </w:p>
        </w:tc>
        <w:tc>
          <w:tcPr>
            <w:tcW w:w="26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214.5</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212.2</w:t>
            </w: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1 %</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426.7</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351.5</w:t>
            </w: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21 %</w:t>
            </w:r>
          </w:p>
        </w:tc>
      </w:tr>
      <w:tr>
        <w:trPr>
          <w:trHeight w:val="20"/>
        </w:trPr>
        <w:tc>
          <w:tcPr>
            <w:tcW w:w="3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845"/>
        </w:trPr>
        <w:tc>
          <w:tcPr>
            <w:tcW w:w="3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jc w:val="right"/>
              <w:ind w:right="274"/>
              <w:spacing w:after="0"/>
              <w:rPr>
                <w:sz w:val="20"/>
                <w:szCs w:val="20"/>
                <w:color w:val="auto"/>
              </w:rPr>
            </w:pPr>
            <w:r>
              <w:rPr>
                <w:rFonts w:ascii="Arial" w:cs="Arial" w:eastAsia="Arial" w:hAnsi="Arial"/>
                <w:sz w:val="17"/>
                <w:szCs w:val="17"/>
                <w:color w:val="auto"/>
              </w:rPr>
              <w:t>72</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09"/>
        </w:trPr>
        <w:tc>
          <w:tcPr>
            <w:tcW w:w="32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67" w:right="339" w:bottom="1440" w:gutter="0" w:footer="0" w:header="0"/>
          <w:type w:val="continuous"/>
        </w:sectPr>
      </w:pPr>
    </w:p>
    <w:bookmarkStart w:id="74" w:name="page75"/>
    <w:bookmarkEnd w:id="74"/>
    <w:p>
      <w:pPr>
        <w:ind w:right="140"/>
        <w:spacing w:after="0" w:line="268" w:lineRule="auto"/>
        <w:rPr>
          <w:sz w:val="20"/>
          <w:szCs w:val="20"/>
          <w:color w:val="auto"/>
        </w:rPr>
      </w:pPr>
      <w:r>
        <w:rPr>
          <w:rFonts w:ascii="Arial" w:cs="Arial" w:eastAsia="Arial" w:hAnsi="Arial"/>
          <w:sz w:val="17"/>
          <w:szCs w:val="17"/>
          <w:color w:val="auto"/>
        </w:rPr>
        <w:t>The $2.3 million, or 1% increase in total servicing and subservicing fees for the three months ended June 30, 2022 as compared to the three months ended March 31, 2022 is primarily driven by the increase in our average subservicing and MAV portfolios partially offset by the decrease in our average owned servicing portfolio, as further discussed below.</w:t>
      </w:r>
    </w:p>
    <w:p>
      <w:pPr>
        <w:spacing w:after="0" w:line="69" w:lineRule="exact"/>
        <w:rPr>
          <w:sz w:val="20"/>
          <w:szCs w:val="20"/>
          <w:color w:val="auto"/>
        </w:rPr>
      </w:pPr>
    </w:p>
    <w:p>
      <w:pPr>
        <w:jc w:val="both"/>
        <w:ind w:right="180"/>
        <w:spacing w:after="0" w:line="292" w:lineRule="auto"/>
        <w:rPr>
          <w:sz w:val="20"/>
          <w:szCs w:val="20"/>
          <w:color w:val="auto"/>
        </w:rPr>
      </w:pPr>
      <w:r>
        <w:rPr>
          <w:rFonts w:ascii="Arial" w:cs="Arial" w:eastAsia="Arial" w:hAnsi="Arial"/>
          <w:sz w:val="16"/>
          <w:szCs w:val="16"/>
          <w:color w:val="auto"/>
        </w:rPr>
        <w:t>The $75.2 million, or 21% increase in total servicing and subservicing fees in the six months ended June 30, 2022 as compared to the six months ended June 30, 2021 is primarily driven by our successful volume growth strategy, selectively balanced between servicing and subservicing, and the gradual replacement of the NRZ volumes with new relationships and volumes sourced by our Originations business, as further discussed below.</w:t>
      </w:r>
    </w:p>
    <w:p>
      <w:pPr>
        <w:spacing w:after="0" w:line="5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respective drivers of residential loan servicing (owned MSR) and subservicing fees.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1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640" w:type="dxa"/>
            <w:vAlign w:val="bottom"/>
            <w:tcBorders>
              <w:bottom w:val="single" w:sz="8" w:color="auto"/>
            </w:tcBorders>
            <w:gridSpan w:val="4"/>
          </w:tcPr>
          <w:p>
            <w:pPr>
              <w:jc w:val="right"/>
              <w:ind w:right="574"/>
              <w:spacing w:after="0"/>
              <w:rPr>
                <w:sz w:val="20"/>
                <w:szCs w:val="20"/>
                <w:color w:val="auto"/>
              </w:rPr>
            </w:pPr>
            <w:r>
              <w:rPr>
                <w:rFonts w:ascii="Arial" w:cs="Arial" w:eastAsia="Arial" w:hAnsi="Arial"/>
                <w:sz w:val="17"/>
                <w:szCs w:val="17"/>
                <w:b w:val="1"/>
                <w:bCs w:val="1"/>
                <w:color w:val="auto"/>
              </w:rPr>
              <w:t>Three Months Ended</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640" w:type="dxa"/>
            <w:vAlign w:val="bottom"/>
            <w:tcBorders>
              <w:bottom w:val="single" w:sz="8" w:color="auto"/>
            </w:tcBorders>
            <w:gridSpan w:val="4"/>
          </w:tcPr>
          <w:p>
            <w:pPr>
              <w:jc w:val="right"/>
              <w:ind w:right="674"/>
              <w:spacing w:after="0"/>
              <w:rPr>
                <w:sz w:val="20"/>
                <w:szCs w:val="20"/>
                <w:color w:val="auto"/>
              </w:rPr>
            </w:pPr>
            <w:r>
              <w:rPr>
                <w:rFonts w:ascii="Arial" w:cs="Arial" w:eastAsia="Arial" w:hAnsi="Arial"/>
                <w:sz w:val="17"/>
                <w:szCs w:val="17"/>
                <w:b w:val="1"/>
                <w:bCs w:val="1"/>
                <w:color w:val="auto"/>
              </w:rPr>
              <w:t>Six Months Ended</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1"/>
        </w:trPr>
        <w:tc>
          <w:tcPr>
            <w:tcW w:w="3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gridSpan w:val="2"/>
          </w:tcPr>
          <w:p>
            <w:pPr>
              <w:ind w:left="140"/>
              <w:spacing w:after="0"/>
              <w:rPr>
                <w:sz w:val="20"/>
                <w:szCs w:val="20"/>
                <w:color w:val="auto"/>
              </w:rPr>
            </w:pPr>
            <w:r>
              <w:rPr>
                <w:rFonts w:ascii="Arial" w:cs="Arial" w:eastAsia="Arial" w:hAnsi="Arial"/>
                <w:sz w:val="17"/>
                <w:szCs w:val="17"/>
                <w:b w:val="1"/>
                <w:bCs w:val="1"/>
                <w:color w:val="auto"/>
              </w:rPr>
              <w:t>June 30,</w:t>
            </w:r>
          </w:p>
        </w:tc>
        <w:tc>
          <w:tcPr>
            <w:tcW w:w="220" w:type="dxa"/>
            <w:vAlign w:val="bottom"/>
          </w:tcPr>
          <w:p>
            <w:pPr>
              <w:spacing w:after="0"/>
              <w:rPr>
                <w:sz w:val="24"/>
                <w:szCs w:val="24"/>
                <w:color w:val="auto"/>
              </w:rPr>
            </w:pPr>
          </w:p>
        </w:tc>
        <w:tc>
          <w:tcPr>
            <w:tcW w:w="1180" w:type="dxa"/>
            <w:vAlign w:val="bottom"/>
          </w:tcPr>
          <w:p>
            <w:pPr>
              <w:jc w:val="right"/>
              <w:ind w:right="234"/>
              <w:spacing w:after="0"/>
              <w:rPr>
                <w:sz w:val="20"/>
                <w:szCs w:val="20"/>
                <w:color w:val="auto"/>
              </w:rPr>
            </w:pPr>
            <w:r>
              <w:rPr>
                <w:rFonts w:ascii="Arial" w:cs="Arial" w:eastAsia="Arial" w:hAnsi="Arial"/>
                <w:sz w:val="17"/>
                <w:szCs w:val="17"/>
                <w:b w:val="1"/>
                <w:bCs w:val="1"/>
                <w:color w:val="auto"/>
              </w:rPr>
              <w:t>March 31,</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gridSpan w:val="2"/>
          </w:tcPr>
          <w:p>
            <w:pPr>
              <w:ind w:left="140"/>
              <w:spacing w:after="0"/>
              <w:rPr>
                <w:sz w:val="20"/>
                <w:szCs w:val="20"/>
                <w:color w:val="auto"/>
              </w:rPr>
            </w:pPr>
            <w:r>
              <w:rPr>
                <w:rFonts w:ascii="Arial" w:cs="Arial" w:eastAsia="Arial" w:hAnsi="Arial"/>
                <w:sz w:val="17"/>
                <w:szCs w:val="17"/>
                <w:b w:val="1"/>
                <w:bCs w:val="1"/>
                <w:color w:val="auto"/>
              </w:rPr>
              <w:t>June 30,</w:t>
            </w:r>
          </w:p>
        </w:tc>
        <w:tc>
          <w:tcPr>
            <w:tcW w:w="240" w:type="dxa"/>
            <w:vAlign w:val="bottom"/>
          </w:tcPr>
          <w:p>
            <w:pPr>
              <w:spacing w:after="0"/>
              <w:rPr>
                <w:sz w:val="24"/>
                <w:szCs w:val="24"/>
                <w:color w:val="auto"/>
              </w:rPr>
            </w:pPr>
          </w:p>
        </w:tc>
        <w:tc>
          <w:tcPr>
            <w:tcW w:w="1140" w:type="dxa"/>
            <w:vAlign w:val="bottom"/>
          </w:tcPr>
          <w:p>
            <w:pPr>
              <w:jc w:val="right"/>
              <w:ind w:right="294"/>
              <w:spacing w:after="0"/>
              <w:rPr>
                <w:sz w:val="20"/>
                <w:szCs w:val="20"/>
                <w:color w:val="auto"/>
              </w:rPr>
            </w:pPr>
            <w:r>
              <w:rPr>
                <w:rFonts w:ascii="Arial" w:cs="Arial" w:eastAsia="Arial" w:hAnsi="Arial"/>
                <w:sz w:val="17"/>
                <w:szCs w:val="17"/>
                <w:b w:val="1"/>
                <w:bCs w:val="1"/>
                <w:color w:val="auto"/>
              </w:rPr>
              <w:t>June 30,</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jc w:val="right"/>
              <w:ind w:right="434"/>
              <w:spacing w:after="0"/>
              <w:rPr>
                <w:sz w:val="20"/>
                <w:szCs w:val="20"/>
                <w:color w:val="auto"/>
              </w:rPr>
            </w:pPr>
            <w:r>
              <w:rPr>
                <w:rFonts w:ascii="Arial" w:cs="Arial" w:eastAsia="Arial" w:hAnsi="Arial"/>
                <w:sz w:val="17"/>
                <w:szCs w:val="17"/>
                <w:b w:val="1"/>
                <w:bCs w:val="1"/>
                <w:color w:val="auto"/>
              </w:rPr>
              <w:t>2022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80" w:type="dxa"/>
            <w:vAlign w:val="bottom"/>
          </w:tcPr>
          <w:p>
            <w:pPr>
              <w:jc w:val="right"/>
              <w:ind w:right="434"/>
              <w:spacing w:after="0"/>
              <w:rPr>
                <w:sz w:val="20"/>
                <w:szCs w:val="20"/>
                <w:color w:val="auto"/>
              </w:rPr>
            </w:pPr>
            <w:r>
              <w:rPr>
                <w:rFonts w:ascii="Arial" w:cs="Arial" w:eastAsia="Arial" w:hAnsi="Arial"/>
                <w:sz w:val="17"/>
                <w:szCs w:val="17"/>
                <w:b w:val="1"/>
                <w:bCs w:val="1"/>
                <w:color w:val="auto"/>
              </w:rPr>
              <w:t>2022</w:t>
            </w:r>
          </w:p>
        </w:tc>
        <w:tc>
          <w:tcPr>
            <w:tcW w:w="100" w:type="dxa"/>
            <w:vAlign w:val="bottom"/>
          </w:tcPr>
          <w:p>
            <w:pPr>
              <w:spacing w:after="0"/>
              <w:rPr>
                <w:sz w:val="22"/>
                <w:szCs w:val="22"/>
                <w:color w:val="auto"/>
              </w:rPr>
            </w:pPr>
          </w:p>
        </w:tc>
        <w:tc>
          <w:tcPr>
            <w:tcW w:w="1100" w:type="dxa"/>
            <w:vAlign w:val="bottom"/>
            <w:gridSpan w:val="2"/>
          </w:tcPr>
          <w:p>
            <w:pPr>
              <w:ind w:left="100"/>
              <w:spacing w:after="0"/>
              <w:rPr>
                <w:sz w:val="20"/>
                <w:szCs w:val="20"/>
                <w:color w:val="auto"/>
              </w:rPr>
            </w:pPr>
            <w:r>
              <w:rPr>
                <w:rFonts w:ascii="Arial" w:cs="Arial" w:eastAsia="Arial" w:hAnsi="Arial"/>
                <w:sz w:val="17"/>
                <w:szCs w:val="17"/>
                <w:b w:val="1"/>
                <w:bCs w:val="1"/>
                <w:color w:val="auto"/>
              </w:rPr>
              <w:t>% Change</w:t>
            </w:r>
          </w:p>
        </w:tc>
        <w:tc>
          <w:tcPr>
            <w:tcW w:w="240" w:type="dxa"/>
            <w:vAlign w:val="bottom"/>
          </w:tcPr>
          <w:p>
            <w:pPr>
              <w:spacing w:after="0"/>
              <w:rPr>
                <w:sz w:val="22"/>
                <w:szCs w:val="22"/>
                <w:color w:val="auto"/>
              </w:rPr>
            </w:pPr>
          </w:p>
        </w:tc>
        <w:tc>
          <w:tcPr>
            <w:tcW w:w="1140" w:type="dxa"/>
            <w:vAlign w:val="bottom"/>
          </w:tcPr>
          <w:p>
            <w:pPr>
              <w:jc w:val="right"/>
              <w:ind w:right="434"/>
              <w:spacing w:after="0"/>
              <w:rPr>
                <w:sz w:val="20"/>
                <w:szCs w:val="20"/>
                <w:color w:val="auto"/>
              </w:rPr>
            </w:pPr>
            <w:r>
              <w:rPr>
                <w:rFonts w:ascii="Arial" w:cs="Arial" w:eastAsia="Arial" w:hAnsi="Arial"/>
                <w:sz w:val="17"/>
                <w:szCs w:val="17"/>
                <w:b w:val="1"/>
                <w:bCs w:val="1"/>
                <w:color w:val="auto"/>
              </w:rPr>
              <w:t>2022</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jc w:val="right"/>
              <w:ind w:right="434"/>
              <w:spacing w:after="0"/>
              <w:rPr>
                <w:sz w:val="20"/>
                <w:szCs w:val="20"/>
                <w:color w:val="auto"/>
              </w:rPr>
            </w:pPr>
            <w:r>
              <w:rPr>
                <w:rFonts w:ascii="Arial" w:cs="Arial" w:eastAsia="Arial" w:hAnsi="Arial"/>
                <w:sz w:val="17"/>
                <w:szCs w:val="17"/>
                <w:b w:val="1"/>
                <w:bCs w:val="1"/>
                <w:color w:val="auto"/>
              </w:rPr>
              <w:t>2021</w:t>
            </w:r>
          </w:p>
        </w:tc>
        <w:tc>
          <w:tcPr>
            <w:tcW w:w="100" w:type="dxa"/>
            <w:vAlign w:val="bottom"/>
          </w:tcPr>
          <w:p>
            <w:pPr>
              <w:spacing w:after="0"/>
              <w:rPr>
                <w:sz w:val="22"/>
                <w:szCs w:val="22"/>
                <w:color w:val="auto"/>
              </w:rPr>
            </w:pPr>
          </w:p>
        </w:tc>
        <w:tc>
          <w:tcPr>
            <w:tcW w:w="1000" w:type="dxa"/>
            <w:vAlign w:val="bottom"/>
          </w:tcPr>
          <w:p>
            <w:pPr>
              <w:jc w:val="right"/>
              <w:ind w:right="14"/>
              <w:spacing w:after="0"/>
              <w:rPr>
                <w:sz w:val="20"/>
                <w:szCs w:val="20"/>
                <w:color w:val="auto"/>
              </w:rPr>
            </w:pPr>
            <w:r>
              <w:rPr>
                <w:rFonts w:ascii="Arial" w:cs="Arial" w:eastAsia="Arial" w:hAnsi="Arial"/>
                <w:sz w:val="17"/>
                <w:szCs w:val="17"/>
                <w:b w:val="1"/>
                <w:bCs w:val="1"/>
                <w:color w:val="auto"/>
              </w:rPr>
              <w:t>% Change</w:t>
            </w:r>
          </w:p>
        </w:tc>
        <w:tc>
          <w:tcPr>
            <w:tcW w:w="0" w:type="dxa"/>
            <w:vAlign w:val="bottom"/>
          </w:tcPr>
          <w:p>
            <w:pPr>
              <w:spacing w:after="0"/>
              <w:rPr>
                <w:sz w:val="1"/>
                <w:szCs w:val="1"/>
                <w:color w:val="auto"/>
              </w:rPr>
            </w:pPr>
          </w:p>
        </w:tc>
      </w:tr>
      <w:tr>
        <w:trPr>
          <w:trHeight w:val="200"/>
        </w:trPr>
        <w:tc>
          <w:tcPr>
            <w:tcW w:w="3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Servicing and subservicing fee</w:t>
            </w:r>
          </w:p>
        </w:tc>
        <w:tc>
          <w:tcPr>
            <w:tcW w:w="2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180" w:type="dxa"/>
            <w:vAlign w:val="bottom"/>
          </w:tcPr>
          <w:p>
            <w:pPr>
              <w:ind w:left="120"/>
              <w:spacing w:after="0"/>
              <w:rPr>
                <w:sz w:val="20"/>
                <w:szCs w:val="20"/>
                <w:color w:val="auto"/>
              </w:rPr>
            </w:pPr>
            <w:r>
              <w:rPr>
                <w:rFonts w:ascii="Arial" w:cs="Arial" w:eastAsia="Arial" w:hAnsi="Arial"/>
                <w:sz w:val="17"/>
                <w:szCs w:val="17"/>
                <w:color w:val="auto"/>
              </w:rPr>
              <w:t>Servicing fee (owned MSR)</w:t>
            </w: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ind w:right="134"/>
              <w:spacing w:after="0"/>
              <w:rPr>
                <w:sz w:val="20"/>
                <w:szCs w:val="20"/>
                <w:color w:val="auto"/>
              </w:rPr>
            </w:pPr>
            <w:r>
              <w:rPr>
                <w:rFonts w:ascii="Arial" w:cs="Arial" w:eastAsia="Arial" w:hAnsi="Arial"/>
                <w:sz w:val="17"/>
                <w:szCs w:val="17"/>
                <w:color w:val="auto"/>
              </w:rPr>
              <w:t>80.9</w:t>
            </w:r>
          </w:p>
        </w:tc>
        <w:tc>
          <w:tcPr>
            <w:tcW w:w="100" w:type="dxa"/>
            <w:vAlign w:val="bottom"/>
          </w:tcPr>
          <w:p>
            <w:pPr>
              <w:spacing w:after="0"/>
              <w:rPr>
                <w:sz w:val="19"/>
                <w:szCs w:val="19"/>
                <w:color w:val="auto"/>
              </w:rPr>
            </w:pPr>
          </w:p>
        </w:tc>
        <w:tc>
          <w:tcPr>
            <w:tcW w:w="22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1180" w:type="dxa"/>
            <w:vAlign w:val="bottom"/>
          </w:tcPr>
          <w:p>
            <w:pPr>
              <w:jc w:val="right"/>
              <w:ind w:right="154"/>
              <w:spacing w:after="0"/>
              <w:rPr>
                <w:sz w:val="20"/>
                <w:szCs w:val="20"/>
                <w:color w:val="auto"/>
              </w:rPr>
            </w:pPr>
            <w:r>
              <w:rPr>
                <w:rFonts w:ascii="Arial" w:cs="Arial" w:eastAsia="Arial" w:hAnsi="Arial"/>
                <w:sz w:val="17"/>
                <w:szCs w:val="17"/>
                <w:color w:val="auto"/>
              </w:rPr>
              <w:t>88.5</w:t>
            </w:r>
          </w:p>
        </w:tc>
        <w:tc>
          <w:tcPr>
            <w:tcW w:w="1080" w:type="dxa"/>
            <w:vAlign w:val="bottom"/>
            <w:gridSpan w:val="2"/>
          </w:tcPr>
          <w:p>
            <w:pPr>
              <w:ind w:left="720"/>
              <w:spacing w:after="0"/>
              <w:rPr>
                <w:sz w:val="20"/>
                <w:szCs w:val="20"/>
                <w:color w:val="auto"/>
              </w:rPr>
            </w:pPr>
            <w:r>
              <w:rPr>
                <w:rFonts w:ascii="Arial" w:cs="Arial" w:eastAsia="Arial" w:hAnsi="Arial"/>
                <w:sz w:val="17"/>
                <w:szCs w:val="17"/>
                <w:color w:val="auto"/>
                <w:w w:val="94"/>
              </w:rPr>
              <w:t>(9)%</w:t>
            </w:r>
          </w:p>
        </w:tc>
        <w:tc>
          <w:tcPr>
            <w:tcW w:w="12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ind w:right="134"/>
              <w:spacing w:after="0"/>
              <w:rPr>
                <w:sz w:val="20"/>
                <w:szCs w:val="20"/>
                <w:color w:val="auto"/>
              </w:rPr>
            </w:pPr>
            <w:r>
              <w:rPr>
                <w:rFonts w:ascii="Arial" w:cs="Arial" w:eastAsia="Arial" w:hAnsi="Arial"/>
                <w:sz w:val="17"/>
                <w:szCs w:val="17"/>
                <w:color w:val="auto"/>
              </w:rPr>
              <w:t>169.4</w:t>
            </w:r>
          </w:p>
        </w:tc>
        <w:tc>
          <w:tcPr>
            <w:tcW w:w="12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ind w:right="134"/>
              <w:spacing w:after="0"/>
              <w:rPr>
                <w:sz w:val="20"/>
                <w:szCs w:val="20"/>
                <w:color w:val="auto"/>
              </w:rPr>
            </w:pPr>
            <w:r>
              <w:rPr>
                <w:rFonts w:ascii="Arial" w:cs="Arial" w:eastAsia="Arial" w:hAnsi="Arial"/>
                <w:sz w:val="17"/>
                <w:szCs w:val="17"/>
                <w:color w:val="auto"/>
              </w:rPr>
              <w:t>143.3</w:t>
            </w: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18 %</w:t>
            </w:r>
          </w:p>
        </w:tc>
        <w:tc>
          <w:tcPr>
            <w:tcW w:w="0" w:type="dxa"/>
            <w:vAlign w:val="bottom"/>
          </w:tcPr>
          <w:p>
            <w:pPr>
              <w:spacing w:after="0"/>
              <w:rPr>
                <w:sz w:val="1"/>
                <w:szCs w:val="1"/>
                <w:color w:val="auto"/>
              </w:rPr>
            </w:pPr>
          </w:p>
        </w:tc>
      </w:tr>
      <w:tr>
        <w:trPr>
          <w:trHeight w:val="220"/>
        </w:trPr>
        <w:tc>
          <w:tcPr>
            <w:tcW w:w="31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Average servicing fee (% of UPB) (1)</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0.28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0.28</w:t>
            </w:r>
          </w:p>
        </w:tc>
        <w:tc>
          <w:tcPr>
            <w:tcW w:w="1080" w:type="dxa"/>
            <w:vAlign w:val="bottom"/>
            <w:gridSpan w:val="2"/>
            <w:shd w:val="clear" w:color="auto" w:fill="CCEEFF"/>
          </w:tcPr>
          <w:p>
            <w:pPr>
              <w:ind w:left="720"/>
              <w:spacing w:after="0"/>
              <w:rPr>
                <w:sz w:val="20"/>
                <w:szCs w:val="20"/>
                <w:color w:val="auto"/>
              </w:rPr>
            </w:pPr>
            <w:r>
              <w:rPr>
                <w:rFonts w:ascii="Arial" w:cs="Arial" w:eastAsia="Arial" w:hAnsi="Arial"/>
                <w:sz w:val="17"/>
                <w:szCs w:val="17"/>
                <w:color w:val="auto"/>
                <w:w w:val="94"/>
              </w:rPr>
              <w:t>(1)%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0.28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0.28</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58"/>
        </w:trPr>
        <w:tc>
          <w:tcPr>
            <w:tcW w:w="3420" w:type="dxa"/>
            <w:vAlign w:val="bottom"/>
            <w:gridSpan w:val="2"/>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3420" w:type="dxa"/>
            <w:vAlign w:val="bottom"/>
            <w:gridSpan w:val="2"/>
            <w:shd w:val="clear" w:color="auto" w:fill="CCEEFF"/>
          </w:tcPr>
          <w:p>
            <w:pPr>
              <w:jc w:val="right"/>
              <w:ind w:right="54"/>
              <w:spacing w:after="0"/>
              <w:rPr>
                <w:sz w:val="20"/>
                <w:szCs w:val="20"/>
                <w:color w:val="auto"/>
              </w:rPr>
            </w:pPr>
            <w:r>
              <w:rPr>
                <w:rFonts w:ascii="Arial" w:cs="Arial" w:eastAsia="Arial" w:hAnsi="Arial"/>
                <w:sz w:val="17"/>
                <w:szCs w:val="17"/>
                <w:color w:val="auto"/>
                <w:w w:val="95"/>
              </w:rPr>
              <w:t>Subservicing fee (excluding MAV and NRZ) $</w:t>
            </w:r>
          </w:p>
        </w:tc>
        <w:tc>
          <w:tcPr>
            <w:tcW w:w="11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20.4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14.7</w:t>
            </w:r>
          </w:p>
        </w:tc>
        <w:tc>
          <w:tcPr>
            <w:tcW w:w="1080" w:type="dxa"/>
            <w:vAlign w:val="bottom"/>
            <w:gridSpan w:val="2"/>
            <w:shd w:val="clear" w:color="auto" w:fill="CCEEFF"/>
          </w:tcPr>
          <w:p>
            <w:pPr>
              <w:jc w:val="right"/>
              <w:ind w:right="114"/>
              <w:spacing w:after="0"/>
              <w:rPr>
                <w:sz w:val="20"/>
                <w:szCs w:val="20"/>
                <w:color w:val="auto"/>
              </w:rPr>
            </w:pPr>
            <w:r>
              <w:rPr>
                <w:rFonts w:ascii="Arial" w:cs="Arial" w:eastAsia="Arial" w:hAnsi="Arial"/>
                <w:sz w:val="17"/>
                <w:szCs w:val="17"/>
                <w:color w:val="auto"/>
              </w:rPr>
              <w:t>39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35.0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6.1</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474 %</w:t>
            </w:r>
          </w:p>
        </w:tc>
        <w:tc>
          <w:tcPr>
            <w:tcW w:w="0" w:type="dxa"/>
            <w:vAlign w:val="bottom"/>
          </w:tcPr>
          <w:p>
            <w:pPr>
              <w:spacing w:after="0"/>
              <w:rPr>
                <w:sz w:val="1"/>
                <w:szCs w:val="1"/>
                <w:color w:val="auto"/>
              </w:rPr>
            </w:pPr>
          </w:p>
        </w:tc>
      </w:tr>
      <w:tr>
        <w:trPr>
          <w:trHeight w:val="168"/>
        </w:trPr>
        <w:tc>
          <w:tcPr>
            <w:tcW w:w="3180" w:type="dxa"/>
            <w:vAlign w:val="bottom"/>
          </w:tcPr>
          <w:p>
            <w:pPr>
              <w:ind w:left="120"/>
              <w:spacing w:after="0" w:line="168" w:lineRule="exact"/>
              <w:rPr>
                <w:sz w:val="20"/>
                <w:szCs w:val="20"/>
                <w:color w:val="auto"/>
              </w:rPr>
            </w:pPr>
            <w:r>
              <w:rPr>
                <w:rFonts w:ascii="Arial" w:cs="Arial" w:eastAsia="Arial" w:hAnsi="Arial"/>
                <w:sz w:val="17"/>
                <w:szCs w:val="17"/>
                <w:color w:val="auto"/>
                <w:w w:val="99"/>
              </w:rPr>
              <w:t>Average monthly fee per loan (in dollars)</w:t>
            </w:r>
          </w:p>
        </w:tc>
        <w:tc>
          <w:tcPr>
            <w:tcW w:w="240" w:type="dxa"/>
            <w:vAlign w:val="bottom"/>
            <w:vMerge w:val="restart"/>
          </w:tcPr>
          <w:p>
            <w:pPr>
              <w:jc w:val="right"/>
              <w:ind w:right="54"/>
              <w:spacing w:after="0"/>
              <w:rPr>
                <w:sz w:val="20"/>
                <w:szCs w:val="20"/>
                <w:color w:val="auto"/>
              </w:rPr>
            </w:pPr>
            <w:r>
              <w:rPr>
                <w:rFonts w:ascii="Arial" w:cs="Arial" w:eastAsia="Arial" w:hAnsi="Arial"/>
                <w:sz w:val="17"/>
                <w:szCs w:val="17"/>
                <w:color w:val="auto"/>
                <w:w w:val="84"/>
              </w:rPr>
              <w:t>$</w:t>
            </w:r>
          </w:p>
        </w:tc>
        <w:tc>
          <w:tcPr>
            <w:tcW w:w="1140" w:type="dxa"/>
            <w:vAlign w:val="bottom"/>
            <w:vMerge w:val="restart"/>
          </w:tcPr>
          <w:p>
            <w:pPr>
              <w:jc w:val="right"/>
              <w:ind w:right="134"/>
              <w:spacing w:after="0"/>
              <w:rPr>
                <w:sz w:val="20"/>
                <w:szCs w:val="20"/>
                <w:color w:val="auto"/>
              </w:rPr>
            </w:pPr>
            <w:r>
              <w:rPr>
                <w:rFonts w:ascii="Arial" w:cs="Arial" w:eastAsia="Arial" w:hAnsi="Arial"/>
                <w:sz w:val="17"/>
                <w:szCs w:val="17"/>
                <w:color w:val="auto"/>
              </w:rPr>
              <w:t>27</w:t>
            </w:r>
          </w:p>
        </w:tc>
        <w:tc>
          <w:tcPr>
            <w:tcW w:w="100" w:type="dxa"/>
            <w:vAlign w:val="bottom"/>
          </w:tcPr>
          <w:p>
            <w:pPr>
              <w:spacing w:after="0"/>
              <w:rPr>
                <w:sz w:val="14"/>
                <w:szCs w:val="14"/>
                <w:color w:val="auto"/>
              </w:rPr>
            </w:pPr>
          </w:p>
        </w:tc>
        <w:tc>
          <w:tcPr>
            <w:tcW w:w="220" w:type="dxa"/>
            <w:vAlign w:val="bottom"/>
            <w:vMerge w:val="restart"/>
          </w:tcPr>
          <w:p>
            <w:pPr>
              <w:jc w:val="right"/>
              <w:ind w:right="14"/>
              <w:spacing w:after="0"/>
              <w:rPr>
                <w:sz w:val="20"/>
                <w:szCs w:val="20"/>
                <w:color w:val="auto"/>
              </w:rPr>
            </w:pPr>
            <w:r>
              <w:rPr>
                <w:rFonts w:ascii="Arial" w:cs="Arial" w:eastAsia="Arial" w:hAnsi="Arial"/>
                <w:sz w:val="17"/>
                <w:szCs w:val="17"/>
                <w:color w:val="auto"/>
              </w:rPr>
              <w:t>$</w:t>
            </w:r>
          </w:p>
        </w:tc>
        <w:tc>
          <w:tcPr>
            <w:tcW w:w="1180" w:type="dxa"/>
            <w:vAlign w:val="bottom"/>
            <w:vMerge w:val="restart"/>
          </w:tcPr>
          <w:p>
            <w:pPr>
              <w:jc w:val="right"/>
              <w:ind w:right="154"/>
              <w:spacing w:after="0"/>
              <w:rPr>
                <w:sz w:val="20"/>
                <w:szCs w:val="20"/>
                <w:color w:val="auto"/>
              </w:rPr>
            </w:pPr>
            <w:r>
              <w:rPr>
                <w:rFonts w:ascii="Arial" w:cs="Arial" w:eastAsia="Arial" w:hAnsi="Arial"/>
                <w:sz w:val="17"/>
                <w:szCs w:val="17"/>
                <w:color w:val="auto"/>
              </w:rPr>
              <w:t>27</w:t>
            </w:r>
          </w:p>
        </w:tc>
        <w:tc>
          <w:tcPr>
            <w:tcW w:w="1080" w:type="dxa"/>
            <w:vAlign w:val="bottom"/>
            <w:gridSpan w:val="2"/>
            <w:vMerge w:val="restart"/>
          </w:tcPr>
          <w:p>
            <w:pPr>
              <w:ind w:left="720"/>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14"/>
                <w:szCs w:val="14"/>
                <w:color w:val="auto"/>
              </w:rPr>
            </w:pPr>
          </w:p>
        </w:tc>
        <w:tc>
          <w:tcPr>
            <w:tcW w:w="240" w:type="dxa"/>
            <w:vAlign w:val="bottom"/>
            <w:vMerge w:val="restart"/>
          </w:tcPr>
          <w:p>
            <w:pPr>
              <w:jc w:val="right"/>
              <w:ind w:right="54"/>
              <w:spacing w:after="0"/>
              <w:rPr>
                <w:sz w:val="20"/>
                <w:szCs w:val="20"/>
                <w:color w:val="auto"/>
              </w:rPr>
            </w:pPr>
            <w:r>
              <w:rPr>
                <w:rFonts w:ascii="Arial" w:cs="Arial" w:eastAsia="Arial" w:hAnsi="Arial"/>
                <w:sz w:val="17"/>
                <w:szCs w:val="17"/>
                <w:color w:val="auto"/>
                <w:w w:val="84"/>
              </w:rPr>
              <w:t>$</w:t>
            </w:r>
          </w:p>
        </w:tc>
        <w:tc>
          <w:tcPr>
            <w:tcW w:w="1140" w:type="dxa"/>
            <w:vAlign w:val="bottom"/>
            <w:vMerge w:val="restart"/>
          </w:tcPr>
          <w:p>
            <w:pPr>
              <w:jc w:val="right"/>
              <w:ind w:right="134"/>
              <w:spacing w:after="0"/>
              <w:rPr>
                <w:sz w:val="20"/>
                <w:szCs w:val="20"/>
                <w:color w:val="auto"/>
              </w:rPr>
            </w:pPr>
            <w:r>
              <w:rPr>
                <w:rFonts w:ascii="Arial" w:cs="Arial" w:eastAsia="Arial" w:hAnsi="Arial"/>
                <w:sz w:val="17"/>
                <w:szCs w:val="17"/>
                <w:color w:val="auto"/>
              </w:rPr>
              <w:t>27</w:t>
            </w:r>
          </w:p>
        </w:tc>
        <w:tc>
          <w:tcPr>
            <w:tcW w:w="120" w:type="dxa"/>
            <w:vAlign w:val="bottom"/>
          </w:tcPr>
          <w:p>
            <w:pPr>
              <w:spacing w:after="0"/>
              <w:rPr>
                <w:sz w:val="14"/>
                <w:szCs w:val="14"/>
                <w:color w:val="auto"/>
              </w:rPr>
            </w:pPr>
          </w:p>
        </w:tc>
        <w:tc>
          <w:tcPr>
            <w:tcW w:w="240" w:type="dxa"/>
            <w:vAlign w:val="bottom"/>
            <w:vMerge w:val="restart"/>
          </w:tcPr>
          <w:p>
            <w:pPr>
              <w:jc w:val="right"/>
              <w:ind w:right="54"/>
              <w:spacing w:after="0"/>
              <w:rPr>
                <w:sz w:val="20"/>
                <w:szCs w:val="20"/>
                <w:color w:val="auto"/>
              </w:rPr>
            </w:pPr>
            <w:r>
              <w:rPr>
                <w:rFonts w:ascii="Arial" w:cs="Arial" w:eastAsia="Arial" w:hAnsi="Arial"/>
                <w:sz w:val="17"/>
                <w:szCs w:val="17"/>
                <w:color w:val="auto"/>
                <w:w w:val="84"/>
              </w:rPr>
              <w:t>$</w:t>
            </w:r>
          </w:p>
        </w:tc>
        <w:tc>
          <w:tcPr>
            <w:tcW w:w="1140" w:type="dxa"/>
            <w:vAlign w:val="bottom"/>
            <w:vMerge w:val="restart"/>
          </w:tcPr>
          <w:p>
            <w:pPr>
              <w:jc w:val="right"/>
              <w:ind w:right="134"/>
              <w:spacing w:after="0"/>
              <w:rPr>
                <w:sz w:val="20"/>
                <w:szCs w:val="20"/>
                <w:color w:val="auto"/>
              </w:rPr>
            </w:pPr>
            <w:r>
              <w:rPr>
                <w:rFonts w:ascii="Arial" w:cs="Arial" w:eastAsia="Arial" w:hAnsi="Arial"/>
                <w:sz w:val="17"/>
                <w:szCs w:val="17"/>
                <w:color w:val="auto"/>
              </w:rPr>
              <w:t>12</w:t>
            </w:r>
          </w:p>
        </w:tc>
        <w:tc>
          <w:tcPr>
            <w:tcW w:w="1100" w:type="dxa"/>
            <w:vAlign w:val="bottom"/>
            <w:gridSpan w:val="2"/>
            <w:vMerge w:val="restart"/>
          </w:tcPr>
          <w:p>
            <w:pPr>
              <w:jc w:val="right"/>
              <w:spacing w:after="0"/>
              <w:rPr>
                <w:sz w:val="20"/>
                <w:szCs w:val="20"/>
                <w:color w:val="auto"/>
              </w:rPr>
            </w:pPr>
            <w:r>
              <w:rPr>
                <w:rFonts w:ascii="Arial" w:cs="Arial" w:eastAsia="Arial" w:hAnsi="Arial"/>
                <w:sz w:val="17"/>
                <w:szCs w:val="17"/>
                <w:color w:val="auto"/>
              </w:rPr>
              <w:t>122 %</w:t>
            </w:r>
          </w:p>
        </w:tc>
        <w:tc>
          <w:tcPr>
            <w:tcW w:w="0" w:type="dxa"/>
            <w:vAlign w:val="bottom"/>
          </w:tcPr>
          <w:p>
            <w:pPr>
              <w:spacing w:after="0"/>
              <w:rPr>
                <w:sz w:val="1"/>
                <w:szCs w:val="1"/>
                <w:color w:val="auto"/>
              </w:rPr>
            </w:pPr>
          </w:p>
        </w:tc>
      </w:tr>
      <w:tr>
        <w:trPr>
          <w:trHeight w:val="219"/>
        </w:trPr>
        <w:tc>
          <w:tcPr>
            <w:tcW w:w="3180" w:type="dxa"/>
            <w:vAlign w:val="bottom"/>
          </w:tcPr>
          <w:p>
            <w:pPr>
              <w:ind w:left="280"/>
              <w:spacing w:after="0"/>
              <w:rPr>
                <w:sz w:val="20"/>
                <w:szCs w:val="20"/>
                <w:color w:val="auto"/>
              </w:rPr>
            </w:pPr>
            <w:r>
              <w:rPr>
                <w:rFonts w:ascii="Arial" w:cs="Arial" w:eastAsia="Arial" w:hAnsi="Arial"/>
                <w:sz w:val="17"/>
                <w:szCs w:val="17"/>
                <w:color w:val="auto"/>
              </w:rPr>
              <w:t>(2)</w:t>
            </w:r>
          </w:p>
        </w:tc>
        <w:tc>
          <w:tcPr>
            <w:tcW w:w="240" w:type="dxa"/>
            <w:vAlign w:val="bottom"/>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31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3180" w:type="dxa"/>
            <w:vAlign w:val="bottom"/>
          </w:tcPr>
          <w:p>
            <w:pPr>
              <w:ind w:left="40"/>
              <w:spacing w:after="0"/>
              <w:rPr>
                <w:sz w:val="20"/>
                <w:szCs w:val="20"/>
                <w:color w:val="auto"/>
              </w:rPr>
            </w:pPr>
            <w:r>
              <w:rPr>
                <w:rFonts w:ascii="Arial" w:cs="Arial" w:eastAsia="Arial" w:hAnsi="Arial"/>
                <w:sz w:val="17"/>
                <w:szCs w:val="17"/>
                <w:b w:val="1"/>
                <w:bCs w:val="1"/>
                <w:color w:val="auto"/>
              </w:rPr>
              <w:t>Residential assets serviced</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180" w:type="dxa"/>
            <w:vAlign w:val="bottom"/>
            <w:shd w:val="clear" w:color="auto" w:fill="CCEEFF"/>
          </w:tcPr>
          <w:p>
            <w:pPr>
              <w:ind w:left="140"/>
              <w:spacing w:after="0"/>
              <w:rPr>
                <w:sz w:val="20"/>
                <w:szCs w:val="20"/>
                <w:color w:val="auto"/>
              </w:rPr>
            </w:pPr>
            <w:r>
              <w:rPr>
                <w:rFonts w:ascii="Arial" w:cs="Arial" w:eastAsia="Arial" w:hAnsi="Arial"/>
                <w:sz w:val="17"/>
                <w:szCs w:val="17"/>
                <w:i w:val="1"/>
                <w:iCs w:val="1"/>
                <w:color w:val="auto"/>
              </w:rPr>
              <w:t>Average UPB ($ in billions):</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180" w:type="dxa"/>
            <w:vAlign w:val="bottom"/>
          </w:tcPr>
          <w:p>
            <w:pPr>
              <w:ind w:left="220"/>
              <w:spacing w:after="0"/>
              <w:rPr>
                <w:sz w:val="20"/>
                <w:szCs w:val="20"/>
                <w:color w:val="auto"/>
              </w:rPr>
            </w:pPr>
            <w:r>
              <w:rPr>
                <w:rFonts w:ascii="Arial" w:cs="Arial" w:eastAsia="Arial" w:hAnsi="Arial"/>
                <w:sz w:val="17"/>
                <w:szCs w:val="17"/>
                <w:color w:val="auto"/>
              </w:rPr>
              <w:t>Servicing portfolio - Owned</w:t>
            </w: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ind w:right="134"/>
              <w:spacing w:after="0"/>
              <w:rPr>
                <w:sz w:val="20"/>
                <w:szCs w:val="20"/>
                <w:color w:val="auto"/>
              </w:rPr>
            </w:pPr>
            <w:r>
              <w:rPr>
                <w:rFonts w:ascii="Arial" w:cs="Arial" w:eastAsia="Arial" w:hAnsi="Arial"/>
                <w:sz w:val="17"/>
                <w:szCs w:val="17"/>
                <w:color w:val="auto"/>
              </w:rPr>
              <w:t>123.7</w:t>
            </w:r>
          </w:p>
        </w:tc>
        <w:tc>
          <w:tcPr>
            <w:tcW w:w="100" w:type="dxa"/>
            <w:vAlign w:val="bottom"/>
          </w:tcPr>
          <w:p>
            <w:pPr>
              <w:spacing w:after="0"/>
              <w:rPr>
                <w:sz w:val="19"/>
                <w:szCs w:val="19"/>
                <w:color w:val="auto"/>
              </w:rPr>
            </w:pPr>
          </w:p>
        </w:tc>
        <w:tc>
          <w:tcPr>
            <w:tcW w:w="22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1180" w:type="dxa"/>
            <w:vAlign w:val="bottom"/>
          </w:tcPr>
          <w:p>
            <w:pPr>
              <w:jc w:val="right"/>
              <w:ind w:right="154"/>
              <w:spacing w:after="0"/>
              <w:rPr>
                <w:sz w:val="20"/>
                <w:szCs w:val="20"/>
                <w:color w:val="auto"/>
              </w:rPr>
            </w:pPr>
            <w:r>
              <w:rPr>
                <w:rFonts w:ascii="Arial" w:cs="Arial" w:eastAsia="Arial" w:hAnsi="Arial"/>
                <w:sz w:val="17"/>
                <w:szCs w:val="17"/>
                <w:color w:val="auto"/>
              </w:rPr>
              <w:t>133.0</w:t>
            </w:r>
          </w:p>
        </w:tc>
        <w:tc>
          <w:tcPr>
            <w:tcW w:w="1080" w:type="dxa"/>
            <w:vAlign w:val="bottom"/>
            <w:gridSpan w:val="2"/>
          </w:tcPr>
          <w:p>
            <w:pPr>
              <w:ind w:left="720"/>
              <w:spacing w:after="0"/>
              <w:rPr>
                <w:sz w:val="20"/>
                <w:szCs w:val="20"/>
                <w:color w:val="auto"/>
              </w:rPr>
            </w:pPr>
            <w:r>
              <w:rPr>
                <w:rFonts w:ascii="Arial" w:cs="Arial" w:eastAsia="Arial" w:hAnsi="Arial"/>
                <w:sz w:val="17"/>
                <w:szCs w:val="17"/>
                <w:color w:val="auto"/>
                <w:w w:val="94"/>
              </w:rPr>
              <w:t>(7)%</w:t>
            </w:r>
          </w:p>
        </w:tc>
        <w:tc>
          <w:tcPr>
            <w:tcW w:w="12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ind w:right="134"/>
              <w:spacing w:after="0"/>
              <w:rPr>
                <w:sz w:val="20"/>
                <w:szCs w:val="20"/>
                <w:color w:val="auto"/>
              </w:rPr>
            </w:pPr>
            <w:r>
              <w:rPr>
                <w:rFonts w:ascii="Arial" w:cs="Arial" w:eastAsia="Arial" w:hAnsi="Arial"/>
                <w:sz w:val="17"/>
                <w:szCs w:val="17"/>
                <w:color w:val="auto"/>
              </w:rPr>
              <w:t>129.0</w:t>
            </w:r>
          </w:p>
        </w:tc>
        <w:tc>
          <w:tcPr>
            <w:tcW w:w="12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ind w:right="134"/>
              <w:spacing w:after="0"/>
              <w:rPr>
                <w:sz w:val="20"/>
                <w:szCs w:val="20"/>
                <w:color w:val="auto"/>
              </w:rPr>
            </w:pPr>
            <w:r>
              <w:rPr>
                <w:rFonts w:ascii="Arial" w:cs="Arial" w:eastAsia="Arial" w:hAnsi="Arial"/>
                <w:sz w:val="17"/>
                <w:szCs w:val="17"/>
                <w:color w:val="auto"/>
              </w:rPr>
              <w:t>108.0</w:t>
            </w: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19 %</w:t>
            </w:r>
          </w:p>
        </w:tc>
        <w:tc>
          <w:tcPr>
            <w:tcW w:w="0" w:type="dxa"/>
            <w:vAlign w:val="bottom"/>
          </w:tcPr>
          <w:p>
            <w:pPr>
              <w:spacing w:after="0"/>
              <w:rPr>
                <w:sz w:val="1"/>
                <w:szCs w:val="1"/>
                <w:color w:val="auto"/>
              </w:rPr>
            </w:pPr>
          </w:p>
        </w:tc>
      </w:tr>
      <w:tr>
        <w:trPr>
          <w:trHeight w:val="220"/>
        </w:trPr>
        <w:tc>
          <w:tcPr>
            <w:tcW w:w="31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Subservicing portfolio</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180" w:type="dxa"/>
            <w:vAlign w:val="bottom"/>
          </w:tcPr>
          <w:p>
            <w:pPr>
              <w:ind w:left="320"/>
              <w:spacing w:after="0"/>
              <w:rPr>
                <w:sz w:val="20"/>
                <w:szCs w:val="20"/>
                <w:color w:val="auto"/>
              </w:rPr>
            </w:pPr>
            <w:r>
              <w:rPr>
                <w:rFonts w:ascii="Arial" w:cs="Arial" w:eastAsia="Arial" w:hAnsi="Arial"/>
                <w:sz w:val="17"/>
                <w:szCs w:val="17"/>
                <w:color w:val="auto"/>
              </w:rPr>
              <w:t>Subservicing - forward</w:t>
            </w:r>
          </w:p>
        </w:tc>
        <w:tc>
          <w:tcPr>
            <w:tcW w:w="240" w:type="dxa"/>
            <w:vAlign w:val="bottom"/>
          </w:tcPr>
          <w:p>
            <w:pPr>
              <w:spacing w:after="0"/>
              <w:rPr>
                <w:sz w:val="19"/>
                <w:szCs w:val="19"/>
                <w:color w:val="auto"/>
              </w:rPr>
            </w:pPr>
          </w:p>
        </w:tc>
        <w:tc>
          <w:tcPr>
            <w:tcW w:w="1140" w:type="dxa"/>
            <w:vAlign w:val="bottom"/>
          </w:tcPr>
          <w:p>
            <w:pPr>
              <w:jc w:val="right"/>
              <w:ind w:right="134"/>
              <w:spacing w:after="0"/>
              <w:rPr>
                <w:sz w:val="20"/>
                <w:szCs w:val="20"/>
                <w:color w:val="auto"/>
              </w:rPr>
            </w:pPr>
            <w:r>
              <w:rPr>
                <w:rFonts w:ascii="Arial" w:cs="Arial" w:eastAsia="Arial" w:hAnsi="Arial"/>
                <w:sz w:val="17"/>
                <w:szCs w:val="17"/>
                <w:color w:val="auto"/>
              </w:rPr>
              <w:t>42.9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ind w:right="154"/>
              <w:spacing w:after="0"/>
              <w:rPr>
                <w:sz w:val="20"/>
                <w:szCs w:val="20"/>
                <w:color w:val="auto"/>
              </w:rPr>
            </w:pPr>
            <w:r>
              <w:rPr>
                <w:rFonts w:ascii="Arial" w:cs="Arial" w:eastAsia="Arial" w:hAnsi="Arial"/>
                <w:sz w:val="17"/>
                <w:szCs w:val="17"/>
                <w:color w:val="auto"/>
              </w:rPr>
              <w:t>32.6</w:t>
            </w:r>
          </w:p>
        </w:tc>
        <w:tc>
          <w:tcPr>
            <w:tcW w:w="1080" w:type="dxa"/>
            <w:vAlign w:val="bottom"/>
            <w:gridSpan w:val="2"/>
          </w:tcPr>
          <w:p>
            <w:pPr>
              <w:jc w:val="right"/>
              <w:ind w:right="114"/>
              <w:spacing w:after="0"/>
              <w:rPr>
                <w:sz w:val="20"/>
                <w:szCs w:val="20"/>
                <w:color w:val="auto"/>
              </w:rPr>
            </w:pPr>
            <w:r>
              <w:rPr>
                <w:rFonts w:ascii="Arial" w:cs="Arial" w:eastAsia="Arial" w:hAnsi="Arial"/>
                <w:sz w:val="17"/>
                <w:szCs w:val="17"/>
                <w:color w:val="auto"/>
              </w:rPr>
              <w:t>32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ind w:right="134"/>
              <w:spacing w:after="0"/>
              <w:rPr>
                <w:sz w:val="20"/>
                <w:szCs w:val="20"/>
                <w:color w:val="auto"/>
              </w:rPr>
            </w:pPr>
            <w:r>
              <w:rPr>
                <w:rFonts w:ascii="Arial" w:cs="Arial" w:eastAsia="Arial" w:hAnsi="Arial"/>
                <w:sz w:val="17"/>
                <w:szCs w:val="17"/>
                <w:color w:val="auto"/>
              </w:rPr>
              <w:t>37.3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ind w:right="134"/>
              <w:spacing w:after="0"/>
              <w:rPr>
                <w:sz w:val="20"/>
                <w:szCs w:val="20"/>
                <w:color w:val="auto"/>
              </w:rPr>
            </w:pPr>
            <w:r>
              <w:rPr>
                <w:rFonts w:ascii="Arial" w:cs="Arial" w:eastAsia="Arial" w:hAnsi="Arial"/>
                <w:sz w:val="17"/>
                <w:szCs w:val="17"/>
                <w:color w:val="auto"/>
              </w:rPr>
              <w:t>20.9</w:t>
            </w: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79 %</w:t>
            </w:r>
          </w:p>
        </w:tc>
        <w:tc>
          <w:tcPr>
            <w:tcW w:w="0" w:type="dxa"/>
            <w:vAlign w:val="bottom"/>
          </w:tcPr>
          <w:p>
            <w:pPr>
              <w:spacing w:after="0"/>
              <w:rPr>
                <w:sz w:val="1"/>
                <w:szCs w:val="1"/>
                <w:color w:val="auto"/>
              </w:rPr>
            </w:pPr>
          </w:p>
        </w:tc>
      </w:tr>
      <w:tr>
        <w:trPr>
          <w:trHeight w:val="220"/>
        </w:trPr>
        <w:tc>
          <w:tcPr>
            <w:tcW w:w="31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Subservicing - reverse</w:t>
            </w: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24.6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rPr>
              <w:t>16.3</w:t>
            </w:r>
          </w:p>
        </w:tc>
        <w:tc>
          <w:tcPr>
            <w:tcW w:w="1080" w:type="dxa"/>
            <w:vAlign w:val="bottom"/>
            <w:gridSpan w:val="2"/>
            <w:shd w:val="clear" w:color="auto" w:fill="CCEEFF"/>
          </w:tcPr>
          <w:p>
            <w:pPr>
              <w:jc w:val="right"/>
              <w:ind w:right="114"/>
              <w:spacing w:after="0"/>
              <w:rPr>
                <w:sz w:val="20"/>
                <w:szCs w:val="20"/>
                <w:color w:val="auto"/>
              </w:rPr>
            </w:pPr>
            <w:r>
              <w:rPr>
                <w:rFonts w:ascii="Arial" w:cs="Arial" w:eastAsia="Arial" w:hAnsi="Arial"/>
                <w:sz w:val="17"/>
                <w:szCs w:val="17"/>
                <w:color w:val="auto"/>
              </w:rPr>
              <w:t>51</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20.2</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n/m</w:t>
            </w:r>
          </w:p>
        </w:tc>
        <w:tc>
          <w:tcPr>
            <w:tcW w:w="0" w:type="dxa"/>
            <w:vAlign w:val="bottom"/>
          </w:tcPr>
          <w:p>
            <w:pPr>
              <w:spacing w:after="0"/>
              <w:rPr>
                <w:sz w:val="1"/>
                <w:szCs w:val="1"/>
                <w:color w:val="auto"/>
              </w:rPr>
            </w:pPr>
          </w:p>
        </w:tc>
      </w:tr>
      <w:tr>
        <w:trPr>
          <w:trHeight w:val="213"/>
        </w:trPr>
        <w:tc>
          <w:tcPr>
            <w:tcW w:w="3180" w:type="dxa"/>
            <w:vAlign w:val="bottom"/>
          </w:tcPr>
          <w:p>
            <w:pPr>
              <w:ind w:left="420"/>
              <w:spacing w:after="0"/>
              <w:rPr>
                <w:sz w:val="20"/>
                <w:szCs w:val="20"/>
                <w:color w:val="auto"/>
              </w:rPr>
            </w:pPr>
            <w:r>
              <w:rPr>
                <w:rFonts w:ascii="Arial" w:cs="Arial" w:eastAsia="Arial" w:hAnsi="Arial"/>
                <w:sz w:val="17"/>
                <w:szCs w:val="17"/>
                <w:color w:val="auto"/>
              </w:rPr>
              <w:t>Total subservicing</w:t>
            </w:r>
          </w:p>
        </w:tc>
        <w:tc>
          <w:tcPr>
            <w:tcW w:w="240" w:type="dxa"/>
            <w:vAlign w:val="bottom"/>
          </w:tcPr>
          <w:p>
            <w:pPr>
              <w:spacing w:after="0"/>
              <w:rPr>
                <w:sz w:val="18"/>
                <w:szCs w:val="18"/>
                <w:color w:val="auto"/>
              </w:rPr>
            </w:pPr>
          </w:p>
        </w:tc>
        <w:tc>
          <w:tcPr>
            <w:tcW w:w="1140" w:type="dxa"/>
            <w:vAlign w:val="bottom"/>
          </w:tcPr>
          <w:p>
            <w:pPr>
              <w:jc w:val="right"/>
              <w:ind w:right="134"/>
              <w:spacing w:after="0"/>
              <w:rPr>
                <w:sz w:val="20"/>
                <w:szCs w:val="20"/>
                <w:color w:val="auto"/>
              </w:rPr>
            </w:pPr>
            <w:r>
              <w:rPr>
                <w:rFonts w:ascii="Arial" w:cs="Arial" w:eastAsia="Arial" w:hAnsi="Arial"/>
                <w:sz w:val="17"/>
                <w:szCs w:val="17"/>
                <w:color w:val="auto"/>
              </w:rPr>
              <w:t>67.5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ind w:right="154"/>
              <w:spacing w:after="0"/>
              <w:rPr>
                <w:sz w:val="20"/>
                <w:szCs w:val="20"/>
                <w:color w:val="auto"/>
              </w:rPr>
            </w:pPr>
            <w:r>
              <w:rPr>
                <w:rFonts w:ascii="Arial" w:cs="Arial" w:eastAsia="Arial" w:hAnsi="Arial"/>
                <w:sz w:val="17"/>
                <w:szCs w:val="17"/>
                <w:color w:val="auto"/>
              </w:rPr>
              <w:t>48.8</w:t>
            </w:r>
          </w:p>
        </w:tc>
        <w:tc>
          <w:tcPr>
            <w:tcW w:w="1080" w:type="dxa"/>
            <w:vAlign w:val="bottom"/>
            <w:gridSpan w:val="2"/>
          </w:tcPr>
          <w:p>
            <w:pPr>
              <w:jc w:val="right"/>
              <w:ind w:right="114"/>
              <w:spacing w:after="0"/>
              <w:rPr>
                <w:sz w:val="20"/>
                <w:szCs w:val="20"/>
                <w:color w:val="auto"/>
              </w:rPr>
            </w:pPr>
            <w:r>
              <w:rPr>
                <w:rFonts w:ascii="Arial" w:cs="Arial" w:eastAsia="Arial" w:hAnsi="Arial"/>
                <w:sz w:val="17"/>
                <w:szCs w:val="17"/>
                <w:color w:val="auto"/>
              </w:rPr>
              <w:t>38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ind w:right="134"/>
              <w:spacing w:after="0"/>
              <w:rPr>
                <w:sz w:val="20"/>
                <w:szCs w:val="20"/>
                <w:color w:val="auto"/>
              </w:rPr>
            </w:pPr>
            <w:r>
              <w:rPr>
                <w:rFonts w:ascii="Arial" w:cs="Arial" w:eastAsia="Arial" w:hAnsi="Arial"/>
                <w:sz w:val="17"/>
                <w:szCs w:val="17"/>
                <w:color w:val="auto"/>
              </w:rPr>
              <w:t>57.5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ind w:right="134"/>
              <w:spacing w:after="0"/>
              <w:rPr>
                <w:sz w:val="20"/>
                <w:szCs w:val="20"/>
                <w:color w:val="auto"/>
              </w:rPr>
            </w:pPr>
            <w:r>
              <w:rPr>
                <w:rFonts w:ascii="Arial" w:cs="Arial" w:eastAsia="Arial" w:hAnsi="Arial"/>
                <w:sz w:val="17"/>
                <w:szCs w:val="17"/>
                <w:color w:val="auto"/>
              </w:rPr>
              <w:t>20.9</w:t>
            </w: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175 %</w:t>
            </w:r>
          </w:p>
        </w:tc>
        <w:tc>
          <w:tcPr>
            <w:tcW w:w="0" w:type="dxa"/>
            <w:vAlign w:val="bottom"/>
          </w:tcPr>
          <w:p>
            <w:pPr>
              <w:spacing w:after="0"/>
              <w:rPr>
                <w:sz w:val="1"/>
                <w:szCs w:val="1"/>
                <w:color w:val="auto"/>
              </w:rPr>
            </w:pPr>
          </w:p>
        </w:tc>
      </w:tr>
      <w:tr>
        <w:trPr>
          <w:trHeight w:val="220"/>
        </w:trPr>
        <w:tc>
          <w:tcPr>
            <w:tcW w:w="31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MAV</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42.3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34.0</w:t>
            </w:r>
          </w:p>
        </w:tc>
        <w:tc>
          <w:tcPr>
            <w:tcW w:w="1080" w:type="dxa"/>
            <w:vAlign w:val="bottom"/>
            <w:gridSpan w:val="2"/>
            <w:shd w:val="clear" w:color="auto" w:fill="CCEEFF"/>
          </w:tcPr>
          <w:p>
            <w:pPr>
              <w:jc w:val="right"/>
              <w:ind w:right="114"/>
              <w:spacing w:after="0"/>
              <w:rPr>
                <w:sz w:val="20"/>
                <w:szCs w:val="20"/>
                <w:color w:val="auto"/>
              </w:rPr>
            </w:pPr>
            <w:r>
              <w:rPr>
                <w:rFonts w:ascii="Arial" w:cs="Arial" w:eastAsia="Arial" w:hAnsi="Arial"/>
                <w:sz w:val="17"/>
                <w:szCs w:val="17"/>
                <w:color w:val="auto"/>
              </w:rPr>
              <w:t>24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38.6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n/m</w:t>
            </w:r>
          </w:p>
        </w:tc>
        <w:tc>
          <w:tcPr>
            <w:tcW w:w="0" w:type="dxa"/>
            <w:vAlign w:val="bottom"/>
          </w:tcPr>
          <w:p>
            <w:pPr>
              <w:spacing w:after="0"/>
              <w:rPr>
                <w:sz w:val="1"/>
                <w:szCs w:val="1"/>
                <w:color w:val="auto"/>
              </w:rPr>
            </w:pPr>
          </w:p>
        </w:tc>
      </w:tr>
      <w:tr>
        <w:trPr>
          <w:trHeight w:val="220"/>
        </w:trPr>
        <w:tc>
          <w:tcPr>
            <w:tcW w:w="318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NRZ</w:t>
            </w: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52.6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rPr>
              <w:t>54.7</w:t>
            </w:r>
          </w:p>
        </w:tc>
        <w:tc>
          <w:tcPr>
            <w:tcW w:w="1080" w:type="dxa"/>
            <w:vAlign w:val="bottom"/>
            <w:tcBorders>
              <w:bottom w:val="single" w:sz="8" w:color="CCEEFF"/>
            </w:tcBorders>
            <w:gridSpan w:val="2"/>
          </w:tcPr>
          <w:p>
            <w:pPr>
              <w:ind w:left="720"/>
              <w:spacing w:after="0"/>
              <w:rPr>
                <w:sz w:val="20"/>
                <w:szCs w:val="20"/>
                <w:color w:val="auto"/>
              </w:rPr>
            </w:pPr>
            <w:r>
              <w:rPr>
                <w:rFonts w:ascii="Arial" w:cs="Arial" w:eastAsia="Arial" w:hAnsi="Arial"/>
                <w:sz w:val="17"/>
                <w:szCs w:val="17"/>
                <w:color w:val="auto"/>
              </w:rPr>
              <w:t>(4)</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53.6</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64.3</w:t>
            </w:r>
          </w:p>
        </w:tc>
        <w:tc>
          <w:tcPr>
            <w:tcW w:w="1100" w:type="dxa"/>
            <w:vAlign w:val="bottom"/>
            <w:tcBorders>
              <w:bottom w:val="single" w:sz="8" w:color="CCEEFF"/>
            </w:tcBorders>
            <w:gridSpan w:val="2"/>
          </w:tcPr>
          <w:p>
            <w:pPr>
              <w:jc w:val="right"/>
              <w:spacing w:after="0"/>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r>
        <w:trPr>
          <w:trHeight w:val="212"/>
        </w:trPr>
        <w:tc>
          <w:tcPr>
            <w:tcW w:w="3180" w:type="dxa"/>
            <w:vAlign w:val="bottom"/>
            <w:tcBorders>
              <w:bottom w:val="single" w:sz="8" w:color="CCEEFF"/>
            </w:tcBorders>
            <w:shd w:val="clear" w:color="auto" w:fill="CCEEFF"/>
          </w:tcPr>
          <w:p>
            <w:pPr>
              <w:ind w:left="340"/>
              <w:spacing w:after="0" w:line="187" w:lineRule="exact"/>
              <w:rPr>
                <w:sz w:val="20"/>
                <w:szCs w:val="20"/>
                <w:color w:val="auto"/>
              </w:rPr>
            </w:pPr>
            <w:r>
              <w:rPr>
                <w:rFonts w:ascii="Arial" w:cs="Arial" w:eastAsia="Arial" w:hAnsi="Arial"/>
                <w:sz w:val="17"/>
                <w:szCs w:val="17"/>
                <w:color w:val="auto"/>
              </w:rPr>
              <w:t>Total</w:t>
            </w:r>
          </w:p>
        </w:tc>
        <w:tc>
          <w:tcPr>
            <w:tcW w:w="240" w:type="dxa"/>
            <w:vAlign w:val="bottom"/>
            <w:tcBorders>
              <w:bottom w:val="single" w:sz="8" w:color="auto"/>
            </w:tcBorders>
            <w:shd w:val="clear" w:color="auto" w:fill="CCEEFF"/>
          </w:tcPr>
          <w:p>
            <w:pPr>
              <w:jc w:val="right"/>
              <w:ind w:right="54"/>
              <w:spacing w:after="0" w:line="187" w:lineRule="exact"/>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ind w:right="134"/>
              <w:spacing w:after="0" w:line="187" w:lineRule="exact"/>
              <w:rPr>
                <w:sz w:val="20"/>
                <w:szCs w:val="20"/>
                <w:color w:val="auto"/>
              </w:rPr>
            </w:pPr>
            <w:r>
              <w:rPr>
                <w:rFonts w:ascii="Arial" w:cs="Arial" w:eastAsia="Arial" w:hAnsi="Arial"/>
                <w:sz w:val="17"/>
                <w:szCs w:val="17"/>
                <w:color w:val="auto"/>
              </w:rPr>
              <w:t>286.1</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14"/>
              <w:spacing w:after="0" w:line="187" w:lineRule="exact"/>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shd w:val="clear" w:color="auto" w:fill="CCEEFF"/>
          </w:tcPr>
          <w:p>
            <w:pPr>
              <w:jc w:val="right"/>
              <w:ind w:right="154"/>
              <w:spacing w:after="0" w:line="187" w:lineRule="exact"/>
              <w:rPr>
                <w:sz w:val="20"/>
                <w:szCs w:val="20"/>
                <w:color w:val="auto"/>
              </w:rPr>
            </w:pPr>
            <w:r>
              <w:rPr>
                <w:rFonts w:ascii="Arial" w:cs="Arial" w:eastAsia="Arial" w:hAnsi="Arial"/>
                <w:sz w:val="17"/>
                <w:szCs w:val="17"/>
                <w:color w:val="auto"/>
              </w:rPr>
              <w:t>270.5</w:t>
            </w:r>
          </w:p>
        </w:tc>
        <w:tc>
          <w:tcPr>
            <w:tcW w:w="1080" w:type="dxa"/>
            <w:vAlign w:val="bottom"/>
            <w:tcBorders>
              <w:bottom w:val="single" w:sz="8" w:color="CCEEFF"/>
            </w:tcBorders>
            <w:gridSpan w:val="2"/>
            <w:shd w:val="clear" w:color="auto" w:fill="CCEEFF"/>
          </w:tcPr>
          <w:p>
            <w:pPr>
              <w:jc w:val="right"/>
              <w:spacing w:after="0" w:line="187" w:lineRule="exact"/>
              <w:rPr>
                <w:sz w:val="20"/>
                <w:szCs w:val="20"/>
                <w:color w:val="auto"/>
              </w:rPr>
            </w:pPr>
            <w:r>
              <w:rPr>
                <w:rFonts w:ascii="Arial" w:cs="Arial" w:eastAsia="Arial" w:hAnsi="Arial"/>
                <w:sz w:val="17"/>
                <w:szCs w:val="17"/>
                <w:color w:val="auto"/>
              </w:rPr>
              <w:t>6 %</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54"/>
              <w:spacing w:after="0" w:line="187" w:lineRule="exact"/>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ind w:right="134"/>
              <w:spacing w:after="0" w:line="187" w:lineRule="exact"/>
              <w:rPr>
                <w:sz w:val="20"/>
                <w:szCs w:val="20"/>
                <w:color w:val="auto"/>
              </w:rPr>
            </w:pPr>
            <w:r>
              <w:rPr>
                <w:rFonts w:ascii="Arial" w:cs="Arial" w:eastAsia="Arial" w:hAnsi="Arial"/>
                <w:sz w:val="17"/>
                <w:szCs w:val="17"/>
                <w:color w:val="auto"/>
              </w:rPr>
              <w:t>278.7</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54"/>
              <w:spacing w:after="0" w:line="187" w:lineRule="exact"/>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ind w:right="134"/>
              <w:spacing w:after="0" w:line="187" w:lineRule="exact"/>
              <w:rPr>
                <w:sz w:val="20"/>
                <w:szCs w:val="20"/>
                <w:color w:val="auto"/>
              </w:rPr>
            </w:pPr>
            <w:r>
              <w:rPr>
                <w:rFonts w:ascii="Arial" w:cs="Arial" w:eastAsia="Arial" w:hAnsi="Arial"/>
                <w:sz w:val="17"/>
                <w:szCs w:val="17"/>
                <w:color w:val="auto"/>
              </w:rPr>
              <w:t>193.2</w:t>
            </w:r>
          </w:p>
        </w:tc>
        <w:tc>
          <w:tcPr>
            <w:tcW w:w="1100" w:type="dxa"/>
            <w:vAlign w:val="bottom"/>
            <w:tcBorders>
              <w:bottom w:val="single" w:sz="8" w:color="CCEEFF"/>
            </w:tcBorders>
            <w:gridSpan w:val="2"/>
            <w:shd w:val="clear" w:color="auto" w:fill="CCEEFF"/>
          </w:tcPr>
          <w:p>
            <w:pPr>
              <w:jc w:val="right"/>
              <w:spacing w:after="0" w:line="187" w:lineRule="exact"/>
              <w:rPr>
                <w:sz w:val="20"/>
                <w:szCs w:val="20"/>
                <w:color w:val="auto"/>
              </w:rPr>
            </w:pPr>
            <w:r>
              <w:rPr>
                <w:rFonts w:ascii="Arial" w:cs="Arial" w:eastAsia="Arial" w:hAnsi="Arial"/>
                <w:sz w:val="17"/>
                <w:szCs w:val="17"/>
                <w:color w:val="auto"/>
              </w:rPr>
              <w:t>44 %</w:t>
            </w:r>
          </w:p>
        </w:tc>
        <w:tc>
          <w:tcPr>
            <w:tcW w:w="0" w:type="dxa"/>
            <w:vAlign w:val="bottom"/>
          </w:tcPr>
          <w:p>
            <w:pPr>
              <w:spacing w:after="0"/>
              <w:rPr>
                <w:sz w:val="1"/>
                <w:szCs w:val="1"/>
                <w:color w:val="auto"/>
              </w:rPr>
            </w:pPr>
          </w:p>
        </w:tc>
      </w:tr>
      <w:tr>
        <w:trPr>
          <w:trHeight w:val="20"/>
        </w:trPr>
        <w:tc>
          <w:tcPr>
            <w:tcW w:w="3180" w:type="dxa"/>
            <w:vAlign w:val="bottom"/>
            <w:tcBorders>
              <w:top w:val="single" w:sz="8" w:color="CCEEFF"/>
              <w:bottom w:val="single" w:sz="8" w:color="CCEEFF"/>
            </w:tcBorders>
            <w:vMerge w:val="restart"/>
          </w:tcPr>
          <w:p>
            <w:pPr>
              <w:ind w:left="140"/>
              <w:spacing w:after="0"/>
              <w:rPr>
                <w:sz w:val="20"/>
                <w:szCs w:val="20"/>
                <w:color w:val="auto"/>
              </w:rPr>
            </w:pPr>
            <w:r>
              <w:rPr>
                <w:rFonts w:ascii="Arial" w:cs="Arial" w:eastAsia="Arial" w:hAnsi="Arial"/>
                <w:sz w:val="17"/>
                <w:szCs w:val="17"/>
                <w:i w:val="1"/>
                <w:iCs w:val="1"/>
                <w:color w:val="auto"/>
              </w:rPr>
              <w:t>Average number (in 000’s):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31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31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Servicing portfolio</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583.9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623.6</w:t>
            </w:r>
          </w:p>
        </w:tc>
        <w:tc>
          <w:tcPr>
            <w:tcW w:w="1080" w:type="dxa"/>
            <w:vAlign w:val="bottom"/>
            <w:gridSpan w:val="2"/>
            <w:shd w:val="clear" w:color="auto" w:fill="CCEEFF"/>
          </w:tcPr>
          <w:p>
            <w:pPr>
              <w:ind w:left="720"/>
              <w:spacing w:after="0"/>
              <w:rPr>
                <w:sz w:val="20"/>
                <w:szCs w:val="20"/>
                <w:color w:val="auto"/>
              </w:rPr>
            </w:pPr>
            <w:r>
              <w:rPr>
                <w:rFonts w:ascii="Arial" w:cs="Arial" w:eastAsia="Arial" w:hAnsi="Arial"/>
                <w:sz w:val="17"/>
                <w:szCs w:val="17"/>
                <w:color w:val="auto"/>
                <w:w w:val="94"/>
              </w:rPr>
              <w:t>(6)%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605.8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547.7</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11 %</w:t>
            </w:r>
          </w:p>
        </w:tc>
        <w:tc>
          <w:tcPr>
            <w:tcW w:w="0" w:type="dxa"/>
            <w:vAlign w:val="bottom"/>
          </w:tcPr>
          <w:p>
            <w:pPr>
              <w:spacing w:after="0"/>
              <w:rPr>
                <w:sz w:val="1"/>
                <w:szCs w:val="1"/>
                <w:color w:val="auto"/>
              </w:rPr>
            </w:pPr>
          </w:p>
        </w:tc>
      </w:tr>
      <w:tr>
        <w:trPr>
          <w:trHeight w:val="220"/>
        </w:trPr>
        <w:tc>
          <w:tcPr>
            <w:tcW w:w="3180" w:type="dxa"/>
            <w:vAlign w:val="bottom"/>
          </w:tcPr>
          <w:p>
            <w:pPr>
              <w:ind w:left="220"/>
              <w:spacing w:after="0"/>
              <w:rPr>
                <w:sz w:val="20"/>
                <w:szCs w:val="20"/>
                <w:color w:val="auto"/>
              </w:rPr>
            </w:pPr>
            <w:r>
              <w:rPr>
                <w:rFonts w:ascii="Arial" w:cs="Arial" w:eastAsia="Arial" w:hAnsi="Arial"/>
                <w:sz w:val="17"/>
                <w:szCs w:val="17"/>
                <w:color w:val="auto"/>
              </w:rPr>
              <w:t>Subservicing portfolio</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1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Subservicing - forward</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152.2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116.1</w:t>
            </w:r>
          </w:p>
        </w:tc>
        <w:tc>
          <w:tcPr>
            <w:tcW w:w="1080" w:type="dxa"/>
            <w:vAlign w:val="bottom"/>
            <w:gridSpan w:val="2"/>
            <w:shd w:val="clear" w:color="auto" w:fill="CCEEFF"/>
          </w:tcPr>
          <w:p>
            <w:pPr>
              <w:jc w:val="right"/>
              <w:ind w:right="114"/>
              <w:spacing w:after="0"/>
              <w:rPr>
                <w:sz w:val="20"/>
                <w:szCs w:val="20"/>
                <w:color w:val="auto"/>
              </w:rPr>
            </w:pPr>
            <w:r>
              <w:rPr>
                <w:rFonts w:ascii="Arial" w:cs="Arial" w:eastAsia="Arial" w:hAnsi="Arial"/>
                <w:sz w:val="17"/>
                <w:szCs w:val="17"/>
                <w:color w:val="auto"/>
              </w:rPr>
              <w:t>31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132.9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83.7</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59 %</w:t>
            </w:r>
          </w:p>
        </w:tc>
        <w:tc>
          <w:tcPr>
            <w:tcW w:w="0" w:type="dxa"/>
            <w:vAlign w:val="bottom"/>
          </w:tcPr>
          <w:p>
            <w:pPr>
              <w:spacing w:after="0"/>
              <w:rPr>
                <w:sz w:val="1"/>
                <w:szCs w:val="1"/>
                <w:color w:val="auto"/>
              </w:rPr>
            </w:pPr>
          </w:p>
        </w:tc>
      </w:tr>
      <w:tr>
        <w:trPr>
          <w:trHeight w:val="220"/>
        </w:trPr>
        <w:tc>
          <w:tcPr>
            <w:tcW w:w="3180" w:type="dxa"/>
            <w:vAlign w:val="bottom"/>
            <w:tcBorders>
              <w:bottom w:val="single" w:sz="8" w:color="CCEEFF"/>
            </w:tcBorders>
          </w:tcPr>
          <w:p>
            <w:pPr>
              <w:ind w:left="320"/>
              <w:spacing w:after="0"/>
              <w:rPr>
                <w:sz w:val="20"/>
                <w:szCs w:val="20"/>
                <w:color w:val="auto"/>
              </w:rPr>
            </w:pPr>
            <w:r>
              <w:rPr>
                <w:rFonts w:ascii="Arial" w:cs="Arial" w:eastAsia="Arial" w:hAnsi="Arial"/>
                <w:sz w:val="17"/>
                <w:szCs w:val="17"/>
                <w:color w:val="auto"/>
              </w:rPr>
              <w:t>Subservicing - reverse</w:t>
            </w: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102.7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rPr>
              <w:t>65.1</w:t>
            </w:r>
          </w:p>
        </w:tc>
        <w:tc>
          <w:tcPr>
            <w:tcW w:w="1080" w:type="dxa"/>
            <w:vAlign w:val="bottom"/>
            <w:tcBorders>
              <w:bottom w:val="single" w:sz="8" w:color="CCEEFF"/>
            </w:tcBorders>
            <w:gridSpan w:val="2"/>
          </w:tcPr>
          <w:p>
            <w:pPr>
              <w:jc w:val="right"/>
              <w:ind w:right="114"/>
              <w:spacing w:after="0"/>
              <w:rPr>
                <w:sz w:val="20"/>
                <w:szCs w:val="20"/>
                <w:color w:val="auto"/>
              </w:rPr>
            </w:pPr>
            <w:r>
              <w:rPr>
                <w:rFonts w:ascii="Arial" w:cs="Arial" w:eastAsia="Arial" w:hAnsi="Arial"/>
                <w:sz w:val="17"/>
                <w:szCs w:val="17"/>
                <w:color w:val="auto"/>
              </w:rPr>
              <w:t>58</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82.8</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n/m</w:t>
            </w:r>
          </w:p>
        </w:tc>
        <w:tc>
          <w:tcPr>
            <w:tcW w:w="0" w:type="dxa"/>
            <w:vAlign w:val="bottom"/>
          </w:tcPr>
          <w:p>
            <w:pPr>
              <w:spacing w:after="0"/>
              <w:rPr>
                <w:sz w:val="1"/>
                <w:szCs w:val="1"/>
                <w:color w:val="auto"/>
              </w:rPr>
            </w:pPr>
          </w:p>
        </w:tc>
      </w:tr>
      <w:tr>
        <w:trPr>
          <w:trHeight w:val="213"/>
        </w:trPr>
        <w:tc>
          <w:tcPr>
            <w:tcW w:w="31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Total subservicing</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254.9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181.2</w:t>
            </w:r>
          </w:p>
        </w:tc>
        <w:tc>
          <w:tcPr>
            <w:tcW w:w="1080" w:type="dxa"/>
            <w:vAlign w:val="bottom"/>
            <w:gridSpan w:val="2"/>
            <w:shd w:val="clear" w:color="auto" w:fill="CCEEFF"/>
          </w:tcPr>
          <w:p>
            <w:pPr>
              <w:jc w:val="right"/>
              <w:ind w:right="114"/>
              <w:spacing w:after="0"/>
              <w:rPr>
                <w:sz w:val="20"/>
                <w:szCs w:val="20"/>
                <w:color w:val="auto"/>
              </w:rPr>
            </w:pPr>
            <w:r>
              <w:rPr>
                <w:rFonts w:ascii="Arial" w:cs="Arial" w:eastAsia="Arial" w:hAnsi="Arial"/>
                <w:sz w:val="17"/>
                <w:szCs w:val="17"/>
                <w:color w:val="auto"/>
              </w:rPr>
              <w:t>41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215.7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83.7</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158 %</w:t>
            </w:r>
          </w:p>
        </w:tc>
        <w:tc>
          <w:tcPr>
            <w:tcW w:w="0" w:type="dxa"/>
            <w:vAlign w:val="bottom"/>
          </w:tcPr>
          <w:p>
            <w:pPr>
              <w:spacing w:after="0"/>
              <w:rPr>
                <w:sz w:val="1"/>
                <w:szCs w:val="1"/>
                <w:color w:val="auto"/>
              </w:rPr>
            </w:pPr>
          </w:p>
        </w:tc>
      </w:tr>
      <w:tr>
        <w:trPr>
          <w:trHeight w:val="220"/>
        </w:trPr>
        <w:tc>
          <w:tcPr>
            <w:tcW w:w="3180" w:type="dxa"/>
            <w:vAlign w:val="bottom"/>
          </w:tcPr>
          <w:p>
            <w:pPr>
              <w:ind w:left="220"/>
              <w:spacing w:after="0"/>
              <w:rPr>
                <w:sz w:val="20"/>
                <w:szCs w:val="20"/>
                <w:color w:val="auto"/>
              </w:rPr>
            </w:pPr>
            <w:r>
              <w:rPr>
                <w:rFonts w:ascii="Arial" w:cs="Arial" w:eastAsia="Arial" w:hAnsi="Arial"/>
                <w:sz w:val="17"/>
                <w:szCs w:val="17"/>
                <w:color w:val="auto"/>
              </w:rPr>
              <w:t>MAV</w:t>
            </w:r>
          </w:p>
        </w:tc>
        <w:tc>
          <w:tcPr>
            <w:tcW w:w="240" w:type="dxa"/>
            <w:vAlign w:val="bottom"/>
          </w:tcPr>
          <w:p>
            <w:pPr>
              <w:spacing w:after="0"/>
              <w:rPr>
                <w:sz w:val="19"/>
                <w:szCs w:val="19"/>
                <w:color w:val="auto"/>
              </w:rPr>
            </w:pPr>
          </w:p>
        </w:tc>
        <w:tc>
          <w:tcPr>
            <w:tcW w:w="1140" w:type="dxa"/>
            <w:vAlign w:val="bottom"/>
          </w:tcPr>
          <w:p>
            <w:pPr>
              <w:jc w:val="right"/>
              <w:ind w:right="134"/>
              <w:spacing w:after="0"/>
              <w:rPr>
                <w:sz w:val="20"/>
                <w:szCs w:val="20"/>
                <w:color w:val="auto"/>
              </w:rPr>
            </w:pPr>
            <w:r>
              <w:rPr>
                <w:rFonts w:ascii="Arial" w:cs="Arial" w:eastAsia="Arial" w:hAnsi="Arial"/>
                <w:sz w:val="17"/>
                <w:szCs w:val="17"/>
                <w:color w:val="auto"/>
              </w:rPr>
              <w:t>160.9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ind w:right="154"/>
              <w:spacing w:after="0"/>
              <w:rPr>
                <w:sz w:val="20"/>
                <w:szCs w:val="20"/>
                <w:color w:val="auto"/>
              </w:rPr>
            </w:pPr>
            <w:r>
              <w:rPr>
                <w:rFonts w:ascii="Arial" w:cs="Arial" w:eastAsia="Arial" w:hAnsi="Arial"/>
                <w:sz w:val="17"/>
                <w:szCs w:val="17"/>
                <w:color w:val="auto"/>
              </w:rPr>
              <w:t>135.4</w:t>
            </w:r>
          </w:p>
        </w:tc>
        <w:tc>
          <w:tcPr>
            <w:tcW w:w="1080" w:type="dxa"/>
            <w:vAlign w:val="bottom"/>
            <w:gridSpan w:val="2"/>
          </w:tcPr>
          <w:p>
            <w:pPr>
              <w:jc w:val="right"/>
              <w:ind w:right="114"/>
              <w:spacing w:after="0"/>
              <w:rPr>
                <w:sz w:val="20"/>
                <w:szCs w:val="20"/>
                <w:color w:val="auto"/>
              </w:rPr>
            </w:pPr>
            <w:r>
              <w:rPr>
                <w:rFonts w:ascii="Arial" w:cs="Arial" w:eastAsia="Arial" w:hAnsi="Arial"/>
                <w:sz w:val="17"/>
                <w:szCs w:val="17"/>
                <w:color w:val="auto"/>
              </w:rPr>
              <w:t>19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ind w:right="134"/>
              <w:spacing w:after="0"/>
              <w:rPr>
                <w:sz w:val="20"/>
                <w:szCs w:val="20"/>
                <w:color w:val="auto"/>
              </w:rPr>
            </w:pPr>
            <w:r>
              <w:rPr>
                <w:rFonts w:ascii="Arial" w:cs="Arial" w:eastAsia="Arial" w:hAnsi="Arial"/>
                <w:sz w:val="17"/>
                <w:szCs w:val="17"/>
                <w:color w:val="auto"/>
              </w:rPr>
              <w:t>149.3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n/m</w:t>
            </w:r>
          </w:p>
        </w:tc>
        <w:tc>
          <w:tcPr>
            <w:tcW w:w="0" w:type="dxa"/>
            <w:vAlign w:val="bottom"/>
          </w:tcPr>
          <w:p>
            <w:pPr>
              <w:spacing w:after="0"/>
              <w:rPr>
                <w:sz w:val="1"/>
                <w:szCs w:val="1"/>
                <w:color w:val="auto"/>
              </w:rPr>
            </w:pPr>
          </w:p>
        </w:tc>
      </w:tr>
      <w:tr>
        <w:trPr>
          <w:trHeight w:val="220"/>
        </w:trPr>
        <w:tc>
          <w:tcPr>
            <w:tcW w:w="31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NRZ</w:t>
            </w: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405.1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rPr>
              <w:t>422.3</w:t>
            </w:r>
          </w:p>
        </w:tc>
        <w:tc>
          <w:tcPr>
            <w:tcW w:w="1080" w:type="dxa"/>
            <w:vAlign w:val="bottom"/>
            <w:gridSpan w:val="2"/>
            <w:shd w:val="clear" w:color="auto" w:fill="CCEEFF"/>
          </w:tcPr>
          <w:p>
            <w:pPr>
              <w:ind w:left="720"/>
              <w:spacing w:after="0"/>
              <w:rPr>
                <w:sz w:val="20"/>
                <w:szCs w:val="20"/>
                <w:color w:val="auto"/>
              </w:rPr>
            </w:pPr>
            <w:r>
              <w:rPr>
                <w:rFonts w:ascii="Arial" w:cs="Arial" w:eastAsia="Arial" w:hAnsi="Arial"/>
                <w:sz w:val="17"/>
                <w:szCs w:val="17"/>
                <w:color w:val="auto"/>
              </w:rPr>
              <w:t>(4)</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414.0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482.2</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213"/>
        </w:trPr>
        <w:tc>
          <w:tcPr>
            <w:tcW w:w="3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1,404.8</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rPr>
              <w:t>1,362.4</w:t>
            </w: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3 %</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1,384.9</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1,113.6</w:t>
            </w: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24 %</w:t>
            </w: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left="320" w:hanging="317"/>
        <w:spacing w:after="0"/>
        <w:tabs>
          <w:tab w:leader="none" w:pos="320" w:val="left"/>
        </w:tabs>
        <w:numPr>
          <w:ilvl w:val="0"/>
          <w:numId w:val="47"/>
        </w:numPr>
        <w:rPr>
          <w:rFonts w:ascii="Arial" w:cs="Arial" w:eastAsia="Arial" w:hAnsi="Arial"/>
          <w:sz w:val="14"/>
          <w:szCs w:val="14"/>
          <w:color w:val="auto"/>
        </w:rPr>
      </w:pPr>
      <w:r>
        <w:rPr>
          <w:rFonts w:ascii="Arial" w:cs="Arial" w:eastAsia="Arial" w:hAnsi="Arial"/>
          <w:sz w:val="14"/>
          <w:szCs w:val="14"/>
          <w:color w:val="auto"/>
        </w:rPr>
        <w:t>Excludes owned reverse mortgages effective with the three months ended June 30, 2022, Prior periods have been recast to conform to the current presentation.</w:t>
      </w:r>
    </w:p>
    <w:p>
      <w:pPr>
        <w:spacing w:after="0" w:line="31" w:lineRule="exact"/>
        <w:rPr>
          <w:rFonts w:ascii="Arial" w:cs="Arial" w:eastAsia="Arial" w:hAnsi="Arial"/>
          <w:sz w:val="14"/>
          <w:szCs w:val="14"/>
          <w:color w:val="auto"/>
        </w:rPr>
      </w:pPr>
    </w:p>
    <w:p>
      <w:pPr>
        <w:ind w:left="320" w:hanging="317"/>
        <w:spacing w:after="0"/>
        <w:tabs>
          <w:tab w:leader="none" w:pos="320" w:val="left"/>
        </w:tabs>
        <w:numPr>
          <w:ilvl w:val="0"/>
          <w:numId w:val="47"/>
        </w:numPr>
        <w:rPr>
          <w:rFonts w:ascii="Arial" w:cs="Arial" w:eastAsia="Arial" w:hAnsi="Arial"/>
          <w:sz w:val="16"/>
          <w:szCs w:val="16"/>
          <w:color w:val="auto"/>
        </w:rPr>
      </w:pPr>
      <w:r>
        <w:rPr>
          <w:rFonts w:ascii="Arial" w:cs="Arial" w:eastAsia="Arial" w:hAnsi="Arial"/>
          <w:sz w:val="16"/>
          <w:szCs w:val="16"/>
          <w:color w:val="auto"/>
        </w:rPr>
        <w:t>Excludes MAV portfolio and includes reverse subservicing in the three and six months ended June 30, 2022 and three months ended March 31, 2022.</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15" w:right="339" w:bottom="1440" w:gutter="0" w:footer="0" w:header="0"/>
        </w:sectPr>
      </w:pPr>
    </w:p>
    <w:bookmarkStart w:id="75" w:name="page76"/>
    <w:bookmarkEnd w:id="75"/>
    <w:p>
      <w:pPr>
        <w:ind w:right="160"/>
        <w:spacing w:after="0" w:line="259" w:lineRule="auto"/>
        <w:rPr>
          <w:sz w:val="20"/>
          <w:szCs w:val="20"/>
          <w:color w:val="auto"/>
        </w:rPr>
      </w:pPr>
      <w:r>
        <w:rPr>
          <w:rFonts w:ascii="Arial" w:cs="Arial" w:eastAsia="Arial" w:hAnsi="Arial"/>
          <w:sz w:val="17"/>
          <w:szCs w:val="17"/>
          <w:color w:val="auto"/>
        </w:rPr>
        <w:t>The table above and fee structure reflects our strategy to grow our subservicing business, with a $5.7 million, or 39% increase in subservicing fees and the increased use of MAV to grow our servicing volume when comparing the first and second quarters of 2022. The $7.6 million, or 9% decline in servicing fee income on our owned MSRs is due to a 7% decrease in our average UPB serviced, primarily driven by the transfer of owned MSRs to MAV with a UPB of $2.4 billion (that did not achieve sale accounting). Subservicing fees increased primarily due to the boarding of approximately 19,000 additional reverse mortgage loans in the second quarter of 2022 under the subservicing agreement with MAM (RMS). This boarding is in addition to approximately 40,000 reverse mortgage loans boarded during the first quarter of 2022.</w:t>
      </w:r>
    </w:p>
    <w:p>
      <w:pPr>
        <w:spacing w:after="0" w:line="26" w:lineRule="exact"/>
        <w:rPr>
          <w:sz w:val="20"/>
          <w:szCs w:val="20"/>
          <w:color w:val="auto"/>
        </w:rPr>
      </w:pPr>
    </w:p>
    <w:p>
      <w:pPr>
        <w:ind w:right="100"/>
        <w:spacing w:after="0" w:line="277" w:lineRule="auto"/>
        <w:rPr>
          <w:sz w:val="20"/>
          <w:szCs w:val="20"/>
          <w:color w:val="auto"/>
        </w:rPr>
      </w:pPr>
      <w:r>
        <w:rPr>
          <w:rFonts w:ascii="Arial" w:cs="Arial" w:eastAsia="Arial" w:hAnsi="Arial"/>
          <w:sz w:val="16"/>
          <w:szCs w:val="16"/>
          <w:color w:val="auto"/>
        </w:rPr>
        <w:t>Year over year, when comparing the six months ended June 30, 2022 with the six months ended June 30, 2021, our servicing fee income increased by $26.2 million or 18% in our owned MSR portfolio, our subservicing fee income grew by $28.9 million, and we generated a new source of fee income with the $35.5 million servicing fee from MAV. We achieved a total $64.3 million fee increase, or 21%, despite a $26.2 million reduction in fees collected on behalf of NRZ due to portfolio runoff. The increase in servicing fees on our owned MSRs is due to a 19% increase in our average volume serviced, primarily driven by bulk acquisitions and the growth in our correspondent lending volumes. The $28.9 million increase in subservicing fees is mostly due to boarding of reverse mortgage loans under the subservicing agreement with MAM (RMS). The average subservicing fee per loan increased from $12 to $27 dollars, driven by the inclusion of reverse mortgage loans that yield relatively higher compensation for both active and inactive loans.</w:t>
      </w:r>
    </w:p>
    <w:p>
      <w:pPr>
        <w:spacing w:after="0" w:line="12" w:lineRule="exact"/>
        <w:rPr>
          <w:sz w:val="20"/>
          <w:szCs w:val="20"/>
          <w:color w:val="auto"/>
        </w:rPr>
      </w:pPr>
    </w:p>
    <w:p>
      <w:pPr>
        <w:ind w:right="40"/>
        <w:spacing w:after="0" w:line="283" w:lineRule="auto"/>
        <w:rPr>
          <w:sz w:val="20"/>
          <w:szCs w:val="20"/>
          <w:color w:val="auto"/>
        </w:rPr>
      </w:pPr>
      <w:r>
        <w:rPr>
          <w:rFonts w:ascii="Arial" w:cs="Arial" w:eastAsia="Arial" w:hAnsi="Arial"/>
          <w:sz w:val="17"/>
          <w:szCs w:val="17"/>
          <w:color w:val="auto"/>
        </w:rPr>
        <w:t>The following table presents both servicing fees collected and subservicing fees retained by Ocwen under the NRZ agreements. See Note 8 — MSR Transfers Not Qualifying for Sale Accounting for additional information.</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920" w:type="dxa"/>
            <w:vAlign w:val="bottom"/>
          </w:tcPr>
          <w:p>
            <w:pPr>
              <w:ind w:left="20"/>
              <w:spacing w:after="0"/>
              <w:rPr>
                <w:sz w:val="20"/>
                <w:szCs w:val="20"/>
                <w:color w:val="auto"/>
              </w:rPr>
            </w:pPr>
            <w:r>
              <w:rPr>
                <w:rFonts w:ascii="Arial" w:cs="Arial" w:eastAsia="Arial" w:hAnsi="Arial"/>
                <w:sz w:val="17"/>
                <w:szCs w:val="17"/>
                <w:b w:val="1"/>
                <w:bCs w:val="1"/>
                <w:color w:val="auto"/>
              </w:rPr>
              <w:t>NRZ servicing and subservicing fees</w:t>
            </w:r>
          </w:p>
        </w:tc>
        <w:tc>
          <w:tcPr>
            <w:tcW w:w="260" w:type="dxa"/>
            <w:vAlign w:val="bottom"/>
          </w:tcPr>
          <w:p>
            <w:pPr>
              <w:spacing w:after="0"/>
              <w:rPr>
                <w:sz w:val="19"/>
                <w:szCs w:val="19"/>
                <w:color w:val="auto"/>
              </w:rPr>
            </w:pPr>
          </w:p>
        </w:tc>
        <w:tc>
          <w:tcPr>
            <w:tcW w:w="2940" w:type="dxa"/>
            <w:vAlign w:val="bottom"/>
            <w:gridSpan w:val="5"/>
          </w:tcPr>
          <w:p>
            <w:pPr>
              <w:ind w:left="500"/>
              <w:spacing w:after="0"/>
              <w:rPr>
                <w:sz w:val="20"/>
                <w:szCs w:val="20"/>
                <w:color w:val="auto"/>
              </w:rPr>
            </w:pPr>
            <w:r>
              <w:rPr>
                <w:rFonts w:ascii="Arial" w:cs="Arial" w:eastAsia="Arial" w:hAnsi="Arial"/>
                <w:sz w:val="17"/>
                <w:szCs w:val="17"/>
                <w:b w:val="1"/>
                <w:bCs w:val="1"/>
                <w:color w:val="auto"/>
              </w:rPr>
              <w:t>Three Months Ended</w:t>
            </w:r>
          </w:p>
        </w:tc>
        <w:tc>
          <w:tcPr>
            <w:tcW w:w="280" w:type="dxa"/>
            <w:vAlign w:val="bottom"/>
          </w:tcPr>
          <w:p>
            <w:pPr>
              <w:spacing w:after="0"/>
              <w:rPr>
                <w:sz w:val="19"/>
                <w:szCs w:val="19"/>
                <w:color w:val="auto"/>
              </w:rPr>
            </w:pPr>
          </w:p>
        </w:tc>
        <w:tc>
          <w:tcPr>
            <w:tcW w:w="2840" w:type="dxa"/>
            <w:vAlign w:val="bottom"/>
            <w:gridSpan w:val="4"/>
          </w:tcPr>
          <w:p>
            <w:pPr>
              <w:jc w:val="right"/>
              <w:ind w:right="794"/>
              <w:spacing w:after="0"/>
              <w:rPr>
                <w:sz w:val="20"/>
                <w:szCs w:val="20"/>
                <w:color w:val="auto"/>
              </w:rPr>
            </w:pPr>
            <w:r>
              <w:rPr>
                <w:rFonts w:ascii="Arial" w:cs="Arial" w:eastAsia="Arial" w:hAnsi="Arial"/>
                <w:sz w:val="17"/>
                <w:szCs w:val="17"/>
                <w:b w:val="1"/>
                <w:bCs w:val="1"/>
                <w:color w:val="auto"/>
              </w:rPr>
              <w:t>Six Months Ended</w:t>
            </w:r>
          </w:p>
        </w:tc>
      </w:tr>
      <w:tr>
        <w:trPr>
          <w:trHeight w:val="207"/>
        </w:trPr>
        <w:tc>
          <w:tcPr>
            <w:tcW w:w="49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gridSpan w:val="2"/>
          </w:tcPr>
          <w:p>
            <w:pPr>
              <w:ind w:left="180"/>
              <w:spacing w:after="0"/>
              <w:rPr>
                <w:sz w:val="20"/>
                <w:szCs w:val="20"/>
                <w:color w:val="auto"/>
              </w:rPr>
            </w:pPr>
            <w:r>
              <w:rPr>
                <w:rFonts w:ascii="Arial" w:cs="Arial" w:eastAsia="Arial" w:hAnsi="Arial"/>
                <w:sz w:val="17"/>
                <w:szCs w:val="17"/>
                <w:b w:val="1"/>
                <w:bCs w:val="1"/>
                <w:color w:val="auto"/>
              </w:rPr>
              <w:t>June 30,</w:t>
            </w:r>
          </w:p>
        </w:tc>
        <w:tc>
          <w:tcPr>
            <w:tcW w:w="2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ind w:left="120"/>
              <w:spacing w:after="0"/>
              <w:rPr>
                <w:sz w:val="20"/>
                <w:szCs w:val="20"/>
                <w:color w:val="auto"/>
              </w:rPr>
            </w:pPr>
            <w:r>
              <w:rPr>
                <w:rFonts w:ascii="Arial" w:cs="Arial" w:eastAsia="Arial" w:hAnsi="Arial"/>
                <w:sz w:val="17"/>
                <w:szCs w:val="17"/>
                <w:b w:val="1"/>
                <w:bCs w:val="1"/>
                <w:color w:val="auto"/>
              </w:rPr>
              <w:t>March 31,</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gridSpan w:val="2"/>
          </w:tcPr>
          <w:p>
            <w:pPr>
              <w:ind w:left="160"/>
              <w:spacing w:after="0"/>
              <w:rPr>
                <w:sz w:val="20"/>
                <w:szCs w:val="20"/>
                <w:color w:val="auto"/>
              </w:rPr>
            </w:pPr>
            <w:r>
              <w:rPr>
                <w:rFonts w:ascii="Arial" w:cs="Arial" w:eastAsia="Arial" w:hAnsi="Arial"/>
                <w:sz w:val="17"/>
                <w:szCs w:val="17"/>
                <w:b w:val="1"/>
                <w:bCs w:val="1"/>
                <w:color w:val="auto"/>
              </w:rPr>
              <w:t>June 30,</w:t>
            </w:r>
          </w:p>
        </w:tc>
        <w:tc>
          <w:tcPr>
            <w:tcW w:w="2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354"/>
              <w:spacing w:after="0"/>
              <w:rPr>
                <w:sz w:val="20"/>
                <w:szCs w:val="20"/>
                <w:color w:val="auto"/>
              </w:rPr>
            </w:pPr>
            <w:r>
              <w:rPr>
                <w:rFonts w:ascii="Arial" w:cs="Arial" w:eastAsia="Arial" w:hAnsi="Arial"/>
                <w:sz w:val="17"/>
                <w:szCs w:val="17"/>
                <w:b w:val="1"/>
                <w:bCs w:val="1"/>
                <w:color w:val="auto"/>
              </w:rPr>
              <w:t>June 30,</w:t>
            </w:r>
          </w:p>
        </w:tc>
      </w:tr>
      <w:tr>
        <w:trPr>
          <w:trHeight w:val="225"/>
        </w:trPr>
        <w:tc>
          <w:tcPr>
            <w:tcW w:w="49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ind w:left="320"/>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ind w:left="340"/>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94"/>
              <w:spacing w:after="0"/>
              <w:rPr>
                <w:sz w:val="20"/>
                <w:szCs w:val="20"/>
                <w:color w:val="auto"/>
              </w:rPr>
            </w:pPr>
            <w:r>
              <w:rPr>
                <w:rFonts w:ascii="Arial" w:cs="Arial" w:eastAsia="Arial" w:hAnsi="Arial"/>
                <w:sz w:val="17"/>
                <w:szCs w:val="17"/>
                <w:b w:val="1"/>
                <w:bCs w:val="1"/>
                <w:color w:val="auto"/>
              </w:rPr>
              <w:t>2022</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94"/>
              <w:spacing w:after="0"/>
              <w:rPr>
                <w:sz w:val="20"/>
                <w:szCs w:val="20"/>
                <w:color w:val="auto"/>
              </w:rPr>
            </w:pPr>
            <w:r>
              <w:rPr>
                <w:rFonts w:ascii="Arial" w:cs="Arial" w:eastAsia="Arial" w:hAnsi="Arial"/>
                <w:sz w:val="17"/>
                <w:szCs w:val="17"/>
                <w:b w:val="1"/>
                <w:bCs w:val="1"/>
                <w:color w:val="auto"/>
              </w:rPr>
              <w:t>2021</w:t>
            </w:r>
          </w:p>
        </w:tc>
      </w:tr>
      <w:tr>
        <w:trPr>
          <w:trHeight w:val="213"/>
        </w:trPr>
        <w:tc>
          <w:tcPr>
            <w:tcW w:w="4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Servicing fees collected on behalf of NRZ</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ind w:left="720"/>
              <w:spacing w:after="0"/>
              <w:rPr>
                <w:sz w:val="20"/>
                <w:szCs w:val="20"/>
                <w:color w:val="auto"/>
              </w:rPr>
            </w:pPr>
            <w:r>
              <w:rPr>
                <w:rFonts w:ascii="Arial" w:cs="Arial" w:eastAsia="Arial" w:hAnsi="Arial"/>
                <w:sz w:val="17"/>
                <w:szCs w:val="17"/>
                <w:color w:val="auto"/>
              </w:rPr>
              <w:t>64.7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ind w:left="740"/>
              <w:spacing w:after="0"/>
              <w:rPr>
                <w:sz w:val="20"/>
                <w:szCs w:val="20"/>
                <w:color w:val="auto"/>
              </w:rPr>
            </w:pPr>
            <w:r>
              <w:rPr>
                <w:rFonts w:ascii="Arial" w:cs="Arial" w:eastAsia="Arial" w:hAnsi="Arial"/>
                <w:sz w:val="17"/>
                <w:szCs w:val="17"/>
                <w:color w:val="auto"/>
              </w:rPr>
              <w:t>67.1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131.9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158.1</w:t>
            </w:r>
          </w:p>
        </w:tc>
      </w:tr>
      <w:tr>
        <w:trPr>
          <w:trHeight w:val="220"/>
        </w:trPr>
        <w:tc>
          <w:tcPr>
            <w:tcW w:w="49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Servicing fees remitted to NRZ (1)</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ind w:left="640"/>
              <w:spacing w:after="0"/>
              <w:rPr>
                <w:sz w:val="20"/>
                <w:szCs w:val="20"/>
                <w:color w:val="auto"/>
              </w:rPr>
            </w:pPr>
            <w:r>
              <w:rPr>
                <w:rFonts w:ascii="Arial" w:cs="Arial" w:eastAsia="Arial" w:hAnsi="Arial"/>
                <w:sz w:val="17"/>
                <w:szCs w:val="17"/>
                <w:color w:val="auto"/>
              </w:rPr>
              <w:t>(46.0)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ind w:left="680"/>
              <w:spacing w:after="0"/>
              <w:rPr>
                <w:sz w:val="20"/>
                <w:szCs w:val="20"/>
                <w:color w:val="auto"/>
              </w:rPr>
            </w:pPr>
            <w:r>
              <w:rPr>
                <w:rFonts w:ascii="Arial" w:cs="Arial" w:eastAsia="Arial" w:hAnsi="Arial"/>
                <w:sz w:val="17"/>
                <w:szCs w:val="17"/>
                <w:color w:val="auto"/>
              </w:rPr>
              <w:t>(47.8)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rPr>
              <w:t>(93.7)</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rPr>
              <w:t>(111.6)</w:t>
            </w:r>
          </w:p>
        </w:tc>
      </w:tr>
      <w:tr>
        <w:trPr>
          <w:trHeight w:val="212"/>
        </w:trPr>
        <w:tc>
          <w:tcPr>
            <w:tcW w:w="4920" w:type="dxa"/>
            <w:vAlign w:val="bottom"/>
            <w:tcBorders>
              <w:bottom w:val="single" w:sz="8" w:color="CCEEFF"/>
            </w:tcBorders>
            <w:shd w:val="clear" w:color="auto" w:fill="CCEEFF"/>
          </w:tcPr>
          <w:p>
            <w:pPr>
              <w:ind w:left="20"/>
              <w:spacing w:after="0" w:line="187" w:lineRule="exact"/>
              <w:rPr>
                <w:sz w:val="20"/>
                <w:szCs w:val="20"/>
                <w:color w:val="auto"/>
              </w:rPr>
            </w:pPr>
            <w:r>
              <w:rPr>
                <w:rFonts w:ascii="Arial" w:cs="Arial" w:eastAsia="Arial" w:hAnsi="Arial"/>
                <w:sz w:val="17"/>
                <w:szCs w:val="17"/>
                <w:color w:val="auto"/>
              </w:rPr>
              <w:t>Retained subservicing fees on NRZ agreements (2)</w:t>
            </w:r>
          </w:p>
        </w:tc>
        <w:tc>
          <w:tcPr>
            <w:tcW w:w="260" w:type="dxa"/>
            <w:vAlign w:val="bottom"/>
            <w:tcBorders>
              <w:bottom w:val="single" w:sz="8" w:color="auto"/>
            </w:tcBorders>
            <w:shd w:val="clear" w:color="auto" w:fill="CCEEFF"/>
          </w:tcPr>
          <w:p>
            <w:pPr>
              <w:jc w:val="right"/>
              <w:ind w:right="74"/>
              <w:spacing w:after="0" w:line="187" w:lineRule="exact"/>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shd w:val="clear" w:color="auto" w:fill="CCEEFF"/>
          </w:tcPr>
          <w:p>
            <w:pPr>
              <w:ind w:left="720"/>
              <w:spacing w:after="0" w:line="187" w:lineRule="exact"/>
              <w:rPr>
                <w:sz w:val="20"/>
                <w:szCs w:val="20"/>
                <w:color w:val="auto"/>
              </w:rPr>
            </w:pPr>
            <w:r>
              <w:rPr>
                <w:rFonts w:ascii="Arial" w:cs="Arial" w:eastAsia="Arial" w:hAnsi="Arial"/>
                <w:sz w:val="17"/>
                <w:szCs w:val="17"/>
                <w:color w:val="auto"/>
              </w:rPr>
              <w:t>18.8</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54"/>
              <w:spacing w:after="0" w:line="187" w:lineRule="exact"/>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shd w:val="clear" w:color="auto" w:fill="CCEEFF"/>
          </w:tcPr>
          <w:p>
            <w:pPr>
              <w:ind w:left="740"/>
              <w:spacing w:after="0" w:line="187" w:lineRule="exact"/>
              <w:rPr>
                <w:sz w:val="20"/>
                <w:szCs w:val="20"/>
                <w:color w:val="auto"/>
              </w:rPr>
            </w:pPr>
            <w:r>
              <w:rPr>
                <w:rFonts w:ascii="Arial" w:cs="Arial" w:eastAsia="Arial" w:hAnsi="Arial"/>
                <w:sz w:val="17"/>
                <w:szCs w:val="17"/>
                <w:color w:val="auto"/>
              </w:rPr>
              <w:t>19.4</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94"/>
              <w:spacing w:after="0" w:line="187" w:lineRule="exact"/>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shd w:val="clear" w:color="auto" w:fill="CCEEFF"/>
          </w:tcPr>
          <w:p>
            <w:pPr>
              <w:jc w:val="right"/>
              <w:ind w:right="114"/>
              <w:spacing w:after="0" w:line="187" w:lineRule="exact"/>
              <w:rPr>
                <w:sz w:val="20"/>
                <w:szCs w:val="20"/>
                <w:color w:val="auto"/>
              </w:rPr>
            </w:pPr>
            <w:r>
              <w:rPr>
                <w:rFonts w:ascii="Arial" w:cs="Arial" w:eastAsia="Arial" w:hAnsi="Arial"/>
                <w:sz w:val="17"/>
                <w:szCs w:val="17"/>
                <w:color w:val="auto"/>
              </w:rPr>
              <w:t>38.1</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74"/>
              <w:spacing w:after="0" w:line="187" w:lineRule="exact"/>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shd w:val="clear" w:color="auto" w:fill="CCEEFF"/>
          </w:tcPr>
          <w:p>
            <w:pPr>
              <w:jc w:val="right"/>
              <w:ind w:right="114"/>
              <w:spacing w:after="0" w:line="187" w:lineRule="exact"/>
              <w:rPr>
                <w:sz w:val="20"/>
                <w:szCs w:val="20"/>
                <w:color w:val="auto"/>
              </w:rPr>
            </w:pPr>
            <w:r>
              <w:rPr>
                <w:rFonts w:ascii="Arial" w:cs="Arial" w:eastAsia="Arial" w:hAnsi="Arial"/>
                <w:sz w:val="17"/>
                <w:szCs w:val="17"/>
                <w:color w:val="auto"/>
              </w:rPr>
              <w:t>46.5</w:t>
            </w: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4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20"/>
        </w:trPr>
        <w:tc>
          <w:tcPr>
            <w:tcW w:w="4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Average NRZ UPB ($ in billions)</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ind w:left="720"/>
              <w:spacing w:after="0"/>
              <w:rPr>
                <w:sz w:val="20"/>
                <w:szCs w:val="20"/>
                <w:color w:val="auto"/>
              </w:rPr>
            </w:pPr>
            <w:r>
              <w:rPr>
                <w:rFonts w:ascii="Arial" w:cs="Arial" w:eastAsia="Arial" w:hAnsi="Arial"/>
                <w:sz w:val="17"/>
                <w:szCs w:val="17"/>
                <w:color w:val="auto"/>
              </w:rPr>
              <w:t>52.6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ind w:left="740"/>
              <w:spacing w:after="0"/>
              <w:rPr>
                <w:sz w:val="20"/>
                <w:szCs w:val="20"/>
                <w:color w:val="auto"/>
              </w:rPr>
            </w:pPr>
            <w:r>
              <w:rPr>
                <w:rFonts w:ascii="Arial" w:cs="Arial" w:eastAsia="Arial" w:hAnsi="Arial"/>
                <w:sz w:val="17"/>
                <w:szCs w:val="17"/>
                <w:color w:val="auto"/>
              </w:rPr>
              <w:t>54.7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53.6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64.3</w:t>
            </w:r>
          </w:p>
        </w:tc>
      </w:tr>
      <w:tr>
        <w:trPr>
          <w:trHeight w:val="220"/>
        </w:trPr>
        <w:tc>
          <w:tcPr>
            <w:tcW w:w="4920" w:type="dxa"/>
            <w:vAlign w:val="bottom"/>
          </w:tcPr>
          <w:p>
            <w:pPr>
              <w:ind w:left="20"/>
              <w:spacing w:after="0"/>
              <w:rPr>
                <w:sz w:val="20"/>
                <w:szCs w:val="20"/>
                <w:color w:val="auto"/>
              </w:rPr>
            </w:pPr>
            <w:r>
              <w:rPr>
                <w:rFonts w:ascii="Arial" w:cs="Arial" w:eastAsia="Arial" w:hAnsi="Arial"/>
                <w:sz w:val="17"/>
                <w:szCs w:val="17"/>
                <w:color w:val="auto"/>
                <w:w w:val="96"/>
              </w:rPr>
              <w:t>Average annualized retained subservicing fees as a % of NRZ UPB</w:t>
            </w:r>
          </w:p>
        </w:tc>
        <w:tc>
          <w:tcPr>
            <w:tcW w:w="260" w:type="dxa"/>
            <w:vAlign w:val="bottom"/>
          </w:tcPr>
          <w:p>
            <w:pPr>
              <w:spacing w:after="0"/>
              <w:rPr>
                <w:sz w:val="19"/>
                <w:szCs w:val="19"/>
                <w:color w:val="auto"/>
              </w:rPr>
            </w:pPr>
          </w:p>
        </w:tc>
        <w:tc>
          <w:tcPr>
            <w:tcW w:w="1240" w:type="dxa"/>
            <w:vAlign w:val="bottom"/>
          </w:tcPr>
          <w:p>
            <w:pPr>
              <w:ind w:left="720"/>
              <w:spacing w:after="0"/>
              <w:rPr>
                <w:sz w:val="20"/>
                <w:szCs w:val="20"/>
                <w:color w:val="auto"/>
              </w:rPr>
            </w:pPr>
            <w:r>
              <w:rPr>
                <w:rFonts w:ascii="Arial" w:cs="Arial" w:eastAsia="Arial" w:hAnsi="Arial"/>
                <w:sz w:val="17"/>
                <w:szCs w:val="17"/>
                <w:color w:val="auto"/>
                <w:w w:val="94"/>
              </w:rPr>
              <w:t>0.14 %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ind w:left="740"/>
              <w:spacing w:after="0"/>
              <w:rPr>
                <w:sz w:val="20"/>
                <w:szCs w:val="20"/>
                <w:color w:val="auto"/>
              </w:rPr>
            </w:pPr>
            <w:r>
              <w:rPr>
                <w:rFonts w:ascii="Arial" w:cs="Arial" w:eastAsia="Arial" w:hAnsi="Arial"/>
                <w:sz w:val="17"/>
                <w:szCs w:val="17"/>
                <w:color w:val="auto"/>
                <w:w w:val="94"/>
              </w:rPr>
              <w:t>0.14 %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0.14 %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0.14 %</w:t>
            </w:r>
          </w:p>
        </w:tc>
      </w:tr>
    </w:tbl>
    <w:p>
      <w:pPr>
        <w:spacing w:after="0" w:line="121" w:lineRule="exact"/>
        <w:rPr>
          <w:sz w:val="20"/>
          <w:szCs w:val="20"/>
          <w:color w:val="auto"/>
        </w:rPr>
      </w:pPr>
    </w:p>
    <w:p>
      <w:pPr>
        <w:ind w:left="320" w:right="460" w:hanging="317"/>
        <w:spacing w:after="0" w:line="241" w:lineRule="auto"/>
        <w:tabs>
          <w:tab w:leader="none" w:pos="320" w:val="left"/>
        </w:tabs>
        <w:numPr>
          <w:ilvl w:val="0"/>
          <w:numId w:val="48"/>
        </w:numPr>
        <w:rPr>
          <w:rFonts w:ascii="Arial" w:cs="Arial" w:eastAsia="Arial" w:hAnsi="Arial"/>
          <w:sz w:val="16"/>
          <w:szCs w:val="16"/>
          <w:color w:val="auto"/>
        </w:rPr>
      </w:pPr>
      <w:r>
        <w:rPr>
          <w:rFonts w:ascii="Arial" w:cs="Arial" w:eastAsia="Arial" w:hAnsi="Arial"/>
          <w:sz w:val="16"/>
          <w:szCs w:val="16"/>
          <w:color w:val="auto"/>
        </w:rPr>
        <w:t>Reported within Pledged MSR liability expense. The NRZ servicing fee includes the total servicing fees collected on behalf of NRZ relating to the MSR sold but not derecognized from our balance sheet. Under GAAP, we separately present servicing fees collected and remitted on a gross basis, with the servicing fees remitted to NRZ reported as Pledged MSR liability expense.</w:t>
      </w:r>
    </w:p>
    <w:p>
      <w:pPr>
        <w:ind w:left="320" w:hanging="317"/>
        <w:spacing w:after="0"/>
        <w:tabs>
          <w:tab w:leader="none" w:pos="320" w:val="left"/>
        </w:tabs>
        <w:numPr>
          <w:ilvl w:val="0"/>
          <w:numId w:val="48"/>
        </w:numPr>
        <w:rPr>
          <w:rFonts w:ascii="Arial" w:cs="Arial" w:eastAsia="Arial" w:hAnsi="Arial"/>
          <w:sz w:val="16"/>
          <w:szCs w:val="16"/>
          <w:color w:val="auto"/>
        </w:rPr>
      </w:pPr>
      <w:r>
        <w:rPr>
          <w:rFonts w:ascii="Arial" w:cs="Arial" w:eastAsia="Arial" w:hAnsi="Arial"/>
          <w:sz w:val="16"/>
          <w:szCs w:val="16"/>
          <w:color w:val="auto"/>
        </w:rPr>
        <w:t>Excludes ancillary income.</w:t>
      </w:r>
    </w:p>
    <w:p>
      <w:pPr>
        <w:spacing w:after="0" w:line="84"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For the three months ended June 30, 2022, the net retained fee on our NRZ portfolio declined $0.6 million as compared to the three months ended March 31, 2022. The net retained fee on our NRZ portfolio decreased $8.4 million in the six months ended June 30, 2022 as compared to the six months ended June 30, 2021. The decline in the NRZ fee collection and remittance is primarily driven by the decline in the average UPB of 4% and 17% in the three and six months ended June 30, 2022, respectively, due to portfolio runoff and prepayments. As the NRZ relationship is effectively a subservicing agreement, the COVID-19 environment, loans under forbearance and the fee collection do not impact our financial results to the same extent as for serviced loans with our owned MSRs.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15" w:right="339" w:bottom="1440" w:gutter="0" w:footer="0" w:header="0"/>
        </w:sectPr>
      </w:pPr>
    </w:p>
    <w:bookmarkStart w:id="76" w:name="page77"/>
    <w:bookmarkEnd w:id="76"/>
    <w:p>
      <w:pPr>
        <w:spacing w:after="0"/>
        <w:rPr>
          <w:sz w:val="20"/>
          <w:szCs w:val="20"/>
          <w:color w:val="auto"/>
        </w:rPr>
      </w:pPr>
      <w:r>
        <w:rPr>
          <w:rFonts w:ascii="Arial" w:cs="Arial" w:eastAsia="Arial" w:hAnsi="Arial"/>
          <w:sz w:val="17"/>
          <w:szCs w:val="17"/>
          <w:color w:val="auto"/>
        </w:rPr>
        <w:t>The following table presents the detail of our ancillary income:</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220" w:type="dxa"/>
            <w:vAlign w:val="bottom"/>
          </w:tcPr>
          <w:p>
            <w:pPr>
              <w:ind w:left="20"/>
              <w:spacing w:after="0"/>
              <w:rPr>
                <w:sz w:val="20"/>
                <w:szCs w:val="20"/>
                <w:color w:val="auto"/>
              </w:rPr>
            </w:pPr>
            <w:r>
              <w:rPr>
                <w:rFonts w:ascii="Arial" w:cs="Arial" w:eastAsia="Arial" w:hAnsi="Arial"/>
                <w:sz w:val="17"/>
                <w:szCs w:val="17"/>
                <w:b w:val="1"/>
                <w:bCs w:val="1"/>
                <w:color w:val="auto"/>
              </w:rPr>
              <w:t>Ancillary Income</w:t>
            </w:r>
          </w:p>
        </w:tc>
        <w:tc>
          <w:tcPr>
            <w:tcW w:w="2860" w:type="dxa"/>
            <w:vAlign w:val="bottom"/>
            <w:tcBorders>
              <w:bottom w:val="single" w:sz="8" w:color="auto"/>
            </w:tcBorders>
            <w:gridSpan w:val="5"/>
          </w:tcPr>
          <w:p>
            <w:pPr>
              <w:jc w:val="right"/>
              <w:ind w:right="554"/>
              <w:spacing w:after="0"/>
              <w:rPr>
                <w:sz w:val="20"/>
                <w:szCs w:val="20"/>
                <w:color w:val="auto"/>
              </w:rPr>
            </w:pPr>
            <w:r>
              <w:rPr>
                <w:rFonts w:ascii="Arial" w:cs="Arial" w:eastAsia="Arial" w:hAnsi="Arial"/>
                <w:sz w:val="17"/>
                <w:szCs w:val="17"/>
                <w:b w:val="1"/>
                <w:bCs w:val="1"/>
                <w:color w:val="auto"/>
              </w:rPr>
              <w:t>Three Months Ended</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620" w:type="dxa"/>
            <w:vAlign w:val="bottom"/>
            <w:tcBorders>
              <w:bottom w:val="single" w:sz="8" w:color="auto"/>
            </w:tcBorders>
            <w:gridSpan w:val="4"/>
          </w:tcPr>
          <w:p>
            <w:pPr>
              <w:jc w:val="right"/>
              <w:ind w:right="654"/>
              <w:spacing w:after="0"/>
              <w:rPr>
                <w:sz w:val="20"/>
                <w:szCs w:val="20"/>
                <w:color w:val="auto"/>
              </w:rPr>
            </w:pPr>
            <w:r>
              <w:rPr>
                <w:rFonts w:ascii="Arial" w:cs="Arial" w:eastAsia="Arial" w:hAnsi="Arial"/>
                <w:sz w:val="17"/>
                <w:szCs w:val="17"/>
                <w:b w:val="1"/>
                <w:bCs w:val="1"/>
                <w:color w:val="auto"/>
              </w:rPr>
              <w:t>Six Months Ended</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9"/>
        </w:trPr>
        <w:tc>
          <w:tcPr>
            <w:tcW w:w="3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June 30,</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ind w:right="234"/>
              <w:spacing w:after="0"/>
              <w:rPr>
                <w:sz w:val="20"/>
                <w:szCs w:val="20"/>
                <w:color w:val="auto"/>
              </w:rPr>
            </w:pPr>
            <w:r>
              <w:rPr>
                <w:rFonts w:ascii="Arial" w:cs="Arial" w:eastAsia="Arial" w:hAnsi="Arial"/>
                <w:sz w:val="17"/>
                <w:szCs w:val="17"/>
                <w:b w:val="1"/>
                <w:bCs w:val="1"/>
                <w:color w:val="auto"/>
              </w:rPr>
              <w:t>March 31,</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gridSpan w:val="2"/>
          </w:tcPr>
          <w:p>
            <w:pPr>
              <w:ind w:left="140"/>
              <w:spacing w:after="0"/>
              <w:rPr>
                <w:sz w:val="20"/>
                <w:szCs w:val="20"/>
                <w:color w:val="auto"/>
              </w:rPr>
            </w:pPr>
            <w:r>
              <w:rPr>
                <w:rFonts w:ascii="Arial" w:cs="Arial" w:eastAsia="Arial" w:hAnsi="Arial"/>
                <w:sz w:val="17"/>
                <w:szCs w:val="17"/>
                <w:b w:val="1"/>
                <w:bCs w:val="1"/>
                <w:color w:val="auto"/>
              </w:rPr>
              <w:t>June 30,</w:t>
            </w:r>
          </w:p>
        </w:tc>
        <w:tc>
          <w:tcPr>
            <w:tcW w:w="240" w:type="dxa"/>
            <w:vAlign w:val="bottom"/>
          </w:tcPr>
          <w:p>
            <w:pPr>
              <w:spacing w:after="0"/>
              <w:rPr>
                <w:sz w:val="20"/>
                <w:szCs w:val="20"/>
                <w:color w:val="auto"/>
              </w:rPr>
            </w:pPr>
          </w:p>
        </w:tc>
        <w:tc>
          <w:tcPr>
            <w:tcW w:w="1140" w:type="dxa"/>
            <w:vAlign w:val="bottom"/>
          </w:tcPr>
          <w:p>
            <w:pPr>
              <w:jc w:val="right"/>
              <w:ind w:right="294"/>
              <w:spacing w:after="0"/>
              <w:rPr>
                <w:sz w:val="20"/>
                <w:szCs w:val="20"/>
                <w:color w:val="auto"/>
              </w:rPr>
            </w:pPr>
            <w:r>
              <w:rPr>
                <w:rFonts w:ascii="Arial" w:cs="Arial" w:eastAsia="Arial" w:hAnsi="Arial"/>
                <w:sz w:val="17"/>
                <w:szCs w:val="17"/>
                <w:b w:val="1"/>
                <w:bCs w:val="1"/>
                <w:color w:val="auto"/>
              </w:rPr>
              <w:t>June 30,</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58"/>
        </w:trPr>
        <w:tc>
          <w:tcPr>
            <w:tcW w:w="322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b w:val="1"/>
                <w:bCs w:val="1"/>
                <w:color w:val="auto"/>
              </w:rPr>
              <w:t>2022</w:t>
            </w:r>
          </w:p>
        </w:tc>
        <w:tc>
          <w:tcPr>
            <w:tcW w:w="3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34"/>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b w:val="1"/>
                <w:bCs w:val="1"/>
                <w:color w:val="auto"/>
              </w:rPr>
              <w:t>% Change</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34"/>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34"/>
              <w:spacing w:after="0"/>
              <w:rPr>
                <w:sz w:val="20"/>
                <w:szCs w:val="20"/>
                <w:color w:val="auto"/>
              </w:rPr>
            </w:pPr>
            <w:r>
              <w:rPr>
                <w:rFonts w:ascii="Arial" w:cs="Arial" w:eastAsia="Arial" w:hAnsi="Arial"/>
                <w:sz w:val="17"/>
                <w:szCs w:val="17"/>
                <w:b w:val="1"/>
                <w:bCs w:val="1"/>
                <w:color w:val="auto"/>
              </w:rPr>
              <w:t>2021</w:t>
            </w:r>
          </w:p>
        </w:tc>
        <w:tc>
          <w:tcPr>
            <w:tcW w:w="1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b w:val="1"/>
                <w:bCs w:val="1"/>
                <w:color w:val="auto"/>
              </w:rPr>
              <w:t>% Change</w:t>
            </w:r>
          </w:p>
        </w:tc>
      </w:tr>
      <w:tr>
        <w:trPr>
          <w:trHeight w:val="213"/>
        </w:trPr>
        <w:tc>
          <w:tcPr>
            <w:tcW w:w="32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Late charges</w:t>
            </w:r>
          </w:p>
        </w:tc>
        <w:tc>
          <w:tcPr>
            <w:tcW w:w="1000" w:type="dxa"/>
            <w:vAlign w:val="bottom"/>
            <w:shd w:val="clear" w:color="auto" w:fill="CCEEFF"/>
          </w:tcPr>
          <w:p>
            <w:pPr>
              <w:jc w:val="right"/>
              <w:ind w:right="814"/>
              <w:spacing w:after="0"/>
              <w:rPr>
                <w:sz w:val="20"/>
                <w:szCs w:val="20"/>
                <w:color w:val="auto"/>
              </w:rPr>
            </w:pPr>
            <w:r>
              <w:rPr>
                <w:rFonts w:ascii="Arial" w:cs="Arial" w:eastAsia="Arial" w:hAnsi="Arial"/>
                <w:sz w:val="17"/>
                <w:szCs w:val="17"/>
                <w:color w:val="auto"/>
                <w:w w:val="84"/>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0"/>
              </w:rPr>
              <w:t>11.7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17 %</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20.7</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5 %</w:t>
            </w:r>
          </w:p>
        </w:tc>
      </w:tr>
      <w:tr>
        <w:trPr>
          <w:trHeight w:val="220"/>
        </w:trPr>
        <w:tc>
          <w:tcPr>
            <w:tcW w:w="3220" w:type="dxa"/>
            <w:vAlign w:val="bottom"/>
          </w:tcPr>
          <w:p>
            <w:pPr>
              <w:ind w:left="140"/>
              <w:spacing w:after="0"/>
              <w:rPr>
                <w:sz w:val="20"/>
                <w:szCs w:val="20"/>
                <w:color w:val="auto"/>
              </w:rPr>
            </w:pPr>
            <w:r>
              <w:rPr>
                <w:rFonts w:ascii="Arial" w:cs="Arial" w:eastAsia="Arial" w:hAnsi="Arial"/>
                <w:sz w:val="17"/>
                <w:szCs w:val="17"/>
                <w:color w:val="auto"/>
              </w:rPr>
              <w:t>Reverse subservicing ancillary fees</w:t>
            </w:r>
          </w:p>
        </w:tc>
        <w:tc>
          <w:tcPr>
            <w:tcW w:w="10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6.3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3.1</w:t>
            </w:r>
          </w:p>
        </w:tc>
        <w:tc>
          <w:tcPr>
            <w:tcW w:w="1100" w:type="dxa"/>
            <w:vAlign w:val="bottom"/>
            <w:gridSpan w:val="2"/>
          </w:tcPr>
          <w:p>
            <w:pPr>
              <w:jc w:val="right"/>
              <w:ind w:right="134"/>
              <w:spacing w:after="0"/>
              <w:rPr>
                <w:sz w:val="20"/>
                <w:szCs w:val="20"/>
                <w:color w:val="auto"/>
              </w:rPr>
            </w:pPr>
            <w:r>
              <w:rPr>
                <w:rFonts w:ascii="Arial" w:cs="Arial" w:eastAsia="Arial" w:hAnsi="Arial"/>
                <w:sz w:val="17"/>
                <w:szCs w:val="17"/>
                <w:color w:val="auto"/>
              </w:rPr>
              <w:t>100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9.4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n/m</w:t>
            </w:r>
          </w:p>
        </w:tc>
      </w:tr>
      <w:tr>
        <w:trPr>
          <w:trHeight w:val="220"/>
        </w:trPr>
        <w:tc>
          <w:tcPr>
            <w:tcW w:w="32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Loan collection fees</w:t>
            </w:r>
          </w:p>
        </w:tc>
        <w:tc>
          <w:tcPr>
            <w:tcW w:w="100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w:t>
            </w:r>
          </w:p>
        </w:tc>
        <w:tc>
          <w:tcPr>
            <w:tcW w:w="1100" w:type="dxa"/>
            <w:vAlign w:val="bottom"/>
            <w:gridSpan w:val="2"/>
            <w:shd w:val="clear" w:color="auto" w:fill="CCEEFF"/>
          </w:tcPr>
          <w:p>
            <w:pPr>
              <w:jc w:val="right"/>
              <w:ind w:right="94"/>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w:t>
            </w:r>
          </w:p>
        </w:tc>
        <w:tc>
          <w:tcPr>
            <w:tcW w:w="1100" w:type="dxa"/>
            <w:vAlign w:val="bottom"/>
            <w:gridSpan w:val="2"/>
            <w:shd w:val="clear" w:color="auto" w:fill="CCEEFF"/>
          </w:tcPr>
          <w:p>
            <w:pPr>
              <w:jc w:val="right"/>
              <w:ind w:right="114"/>
              <w:spacing w:after="0"/>
              <w:rPr>
                <w:sz w:val="20"/>
                <w:szCs w:val="20"/>
                <w:color w:val="auto"/>
              </w:rPr>
            </w:pPr>
            <w:r>
              <w:rPr>
                <w:rFonts w:ascii="Arial" w:cs="Arial" w:eastAsia="Arial" w:hAnsi="Arial"/>
                <w:sz w:val="17"/>
                <w:szCs w:val="17"/>
                <w:color w:val="auto"/>
              </w:rPr>
              <w:t>2</w:t>
            </w:r>
          </w:p>
        </w:tc>
      </w:tr>
      <w:tr>
        <w:trPr>
          <w:trHeight w:val="220"/>
        </w:trPr>
        <w:tc>
          <w:tcPr>
            <w:tcW w:w="3220" w:type="dxa"/>
            <w:vAlign w:val="bottom"/>
          </w:tcPr>
          <w:p>
            <w:pPr>
              <w:ind w:left="140"/>
              <w:spacing w:after="0"/>
              <w:rPr>
                <w:sz w:val="20"/>
                <w:szCs w:val="20"/>
                <w:color w:val="auto"/>
              </w:rPr>
            </w:pPr>
            <w:r>
              <w:rPr>
                <w:rFonts w:ascii="Arial" w:cs="Arial" w:eastAsia="Arial" w:hAnsi="Arial"/>
                <w:sz w:val="17"/>
                <w:szCs w:val="17"/>
                <w:color w:val="auto"/>
              </w:rPr>
              <w:t>Recording fees</w:t>
            </w:r>
          </w:p>
        </w:tc>
        <w:tc>
          <w:tcPr>
            <w:tcW w:w="10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2.6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3.3</w:t>
            </w:r>
          </w:p>
        </w:tc>
        <w:tc>
          <w:tcPr>
            <w:tcW w:w="1100" w:type="dxa"/>
            <w:vAlign w:val="bottom"/>
            <w:gridSpan w:val="2"/>
          </w:tcPr>
          <w:p>
            <w:pPr>
              <w:jc w:val="right"/>
              <w:ind w:right="94"/>
              <w:spacing w:after="0"/>
              <w:rPr>
                <w:sz w:val="20"/>
                <w:szCs w:val="20"/>
                <w:color w:val="auto"/>
              </w:rPr>
            </w:pPr>
            <w:r>
              <w:rPr>
                <w:rFonts w:ascii="Arial" w:cs="Arial" w:eastAsia="Arial" w:hAnsi="Arial"/>
                <w:sz w:val="17"/>
                <w:szCs w:val="17"/>
                <w:color w:val="auto"/>
              </w:rPr>
              <w:t>(19)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5.9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6.9</w:t>
            </w:r>
          </w:p>
        </w:tc>
        <w:tc>
          <w:tcPr>
            <w:tcW w:w="1100" w:type="dxa"/>
            <w:vAlign w:val="bottom"/>
            <w:gridSpan w:val="2"/>
          </w:tcPr>
          <w:p>
            <w:pPr>
              <w:jc w:val="right"/>
              <w:ind w:right="74"/>
              <w:spacing w:after="0"/>
              <w:rPr>
                <w:sz w:val="20"/>
                <w:szCs w:val="20"/>
                <w:color w:val="auto"/>
              </w:rPr>
            </w:pPr>
            <w:r>
              <w:rPr>
                <w:rFonts w:ascii="Arial" w:cs="Arial" w:eastAsia="Arial" w:hAnsi="Arial"/>
                <w:sz w:val="17"/>
                <w:szCs w:val="17"/>
                <w:color w:val="auto"/>
              </w:rPr>
              <w:t>(14)</w:t>
            </w:r>
          </w:p>
        </w:tc>
      </w:tr>
      <w:tr>
        <w:trPr>
          <w:trHeight w:val="220"/>
        </w:trPr>
        <w:tc>
          <w:tcPr>
            <w:tcW w:w="32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Custodial accounts (float earnings)</w:t>
            </w:r>
          </w:p>
        </w:tc>
        <w:tc>
          <w:tcPr>
            <w:tcW w:w="100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100" w:type="dxa"/>
            <w:vAlign w:val="bottom"/>
            <w:gridSpan w:val="2"/>
            <w:shd w:val="clear" w:color="auto" w:fill="CCEEFF"/>
          </w:tcPr>
          <w:p>
            <w:pPr>
              <w:jc w:val="right"/>
              <w:ind w:right="134"/>
              <w:spacing w:after="0"/>
              <w:rPr>
                <w:sz w:val="20"/>
                <w:szCs w:val="20"/>
                <w:color w:val="auto"/>
              </w:rPr>
            </w:pPr>
            <w:r>
              <w:rPr>
                <w:rFonts w:ascii="Arial" w:cs="Arial" w:eastAsia="Arial" w:hAnsi="Arial"/>
                <w:sz w:val="17"/>
                <w:szCs w:val="17"/>
                <w:color w:val="auto"/>
              </w:rPr>
              <w:t>83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1100" w:type="dxa"/>
            <w:vAlign w:val="bottom"/>
            <w:gridSpan w:val="2"/>
            <w:shd w:val="clear" w:color="auto" w:fill="CCEEFF"/>
          </w:tcPr>
          <w:p>
            <w:pPr>
              <w:jc w:val="right"/>
              <w:ind w:right="114"/>
              <w:spacing w:after="0"/>
              <w:rPr>
                <w:sz w:val="20"/>
                <w:szCs w:val="20"/>
                <w:color w:val="auto"/>
              </w:rPr>
            </w:pPr>
            <w:r>
              <w:rPr>
                <w:rFonts w:ascii="Arial" w:cs="Arial" w:eastAsia="Arial" w:hAnsi="Arial"/>
                <w:sz w:val="17"/>
                <w:szCs w:val="17"/>
                <w:color w:val="auto"/>
              </w:rPr>
              <w:t>20</w:t>
            </w:r>
          </w:p>
        </w:tc>
      </w:tr>
      <w:tr>
        <w:trPr>
          <w:trHeight w:val="220"/>
        </w:trPr>
        <w:tc>
          <w:tcPr>
            <w:tcW w:w="3220" w:type="dxa"/>
            <w:vAlign w:val="bottom"/>
          </w:tcPr>
          <w:p>
            <w:pPr>
              <w:ind w:left="140"/>
              <w:spacing w:after="0"/>
              <w:rPr>
                <w:sz w:val="20"/>
                <w:szCs w:val="20"/>
                <w:color w:val="auto"/>
              </w:rPr>
            </w:pPr>
            <w:r>
              <w:rPr>
                <w:rFonts w:ascii="Arial" w:cs="Arial" w:eastAsia="Arial" w:hAnsi="Arial"/>
                <w:sz w:val="17"/>
                <w:szCs w:val="17"/>
                <w:color w:val="auto"/>
              </w:rPr>
              <w:t>Boarding and deboarding fees</w:t>
            </w:r>
          </w:p>
        </w:tc>
        <w:tc>
          <w:tcPr>
            <w:tcW w:w="10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1.3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1.3</w:t>
            </w:r>
          </w:p>
        </w:tc>
        <w:tc>
          <w:tcPr>
            <w:tcW w:w="1100" w:type="dxa"/>
            <w:vAlign w:val="bottom"/>
            <w:gridSpan w:val="2"/>
          </w:tcPr>
          <w:p>
            <w:pPr>
              <w:jc w:val="right"/>
              <w:ind w:right="134"/>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1.0</w:t>
            </w:r>
          </w:p>
        </w:tc>
        <w:tc>
          <w:tcPr>
            <w:tcW w:w="1100" w:type="dxa"/>
            <w:vAlign w:val="bottom"/>
            <w:gridSpan w:val="2"/>
          </w:tcPr>
          <w:p>
            <w:pPr>
              <w:jc w:val="right"/>
              <w:ind w:right="114"/>
              <w:spacing w:after="0"/>
              <w:rPr>
                <w:sz w:val="20"/>
                <w:szCs w:val="20"/>
                <w:color w:val="auto"/>
              </w:rPr>
            </w:pPr>
            <w:r>
              <w:rPr>
                <w:rFonts w:ascii="Arial" w:cs="Arial" w:eastAsia="Arial" w:hAnsi="Arial"/>
                <w:sz w:val="17"/>
                <w:szCs w:val="17"/>
                <w:color w:val="auto"/>
              </w:rPr>
              <w:t>161</w:t>
            </w:r>
          </w:p>
        </w:tc>
      </w:tr>
      <w:tr>
        <w:trPr>
          <w:trHeight w:val="220"/>
        </w:trPr>
        <w:tc>
          <w:tcPr>
            <w:tcW w:w="32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GSE forbearance fees</w:t>
            </w:r>
          </w:p>
        </w:tc>
        <w:tc>
          <w:tcPr>
            <w:tcW w:w="100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1100" w:type="dxa"/>
            <w:vAlign w:val="bottom"/>
            <w:gridSpan w:val="2"/>
            <w:shd w:val="clear" w:color="auto" w:fill="CCEEFF"/>
          </w:tcPr>
          <w:p>
            <w:pPr>
              <w:jc w:val="right"/>
              <w:ind w:right="94"/>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w:t>
            </w:r>
          </w:p>
        </w:tc>
        <w:tc>
          <w:tcPr>
            <w:tcW w:w="110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(33)</w:t>
            </w:r>
          </w:p>
        </w:tc>
      </w:tr>
      <w:tr>
        <w:trPr>
          <w:trHeight w:val="220"/>
        </w:trPr>
        <w:tc>
          <w:tcPr>
            <w:tcW w:w="322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Other</w:t>
            </w:r>
          </w:p>
        </w:tc>
        <w:tc>
          <w:tcPr>
            <w:tcW w:w="10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w:t>
            </w:r>
          </w:p>
        </w:tc>
        <w:tc>
          <w:tcPr>
            <w:tcW w:w="1100" w:type="dxa"/>
            <w:vAlign w:val="bottom"/>
            <w:tcBorders>
              <w:bottom w:val="single" w:sz="8" w:color="CCEEFF"/>
            </w:tcBorders>
            <w:gridSpan w:val="2"/>
          </w:tcPr>
          <w:p>
            <w:pPr>
              <w:jc w:val="right"/>
              <w:ind w:right="94"/>
              <w:spacing w:after="0"/>
              <w:rPr>
                <w:sz w:val="20"/>
                <w:szCs w:val="20"/>
                <w:color w:val="auto"/>
              </w:rPr>
            </w:pPr>
            <w:r>
              <w:rPr>
                <w:rFonts w:ascii="Arial" w:cs="Arial" w:eastAsia="Arial" w:hAnsi="Arial"/>
                <w:sz w:val="17"/>
                <w:szCs w:val="17"/>
                <w:color w:val="auto"/>
              </w:rPr>
              <w:t>(13)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w:t>
            </w:r>
          </w:p>
        </w:tc>
        <w:tc>
          <w:tcPr>
            <w:tcW w:w="1100" w:type="dxa"/>
            <w:vAlign w:val="bottom"/>
            <w:tcBorders>
              <w:bottom w:val="single" w:sz="8" w:color="CCEEFF"/>
            </w:tcBorders>
            <w:gridSpan w:val="2"/>
          </w:tcPr>
          <w:p>
            <w:pPr>
              <w:jc w:val="right"/>
              <w:ind w:right="74"/>
              <w:spacing w:after="0"/>
              <w:rPr>
                <w:sz w:val="20"/>
                <w:szCs w:val="20"/>
                <w:color w:val="auto"/>
              </w:rPr>
            </w:pPr>
            <w:r>
              <w:rPr>
                <w:rFonts w:ascii="Arial" w:cs="Arial" w:eastAsia="Arial" w:hAnsi="Arial"/>
                <w:sz w:val="17"/>
                <w:szCs w:val="17"/>
                <w:color w:val="auto"/>
              </w:rPr>
              <w:t>(9)</w:t>
            </w:r>
          </w:p>
        </w:tc>
      </w:tr>
      <w:tr>
        <w:trPr>
          <w:trHeight w:val="238"/>
        </w:trPr>
        <w:tc>
          <w:tcPr>
            <w:tcW w:w="32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Ancillary income</w:t>
            </w:r>
          </w:p>
        </w:tc>
        <w:tc>
          <w:tcPr>
            <w:tcW w:w="1000" w:type="dxa"/>
            <w:vAlign w:val="bottom"/>
            <w:tcBorders>
              <w:bottom w:val="single" w:sz="8" w:color="auto"/>
            </w:tcBorders>
            <w:shd w:val="clear" w:color="auto" w:fill="CCEEFF"/>
          </w:tcPr>
          <w:p>
            <w:pPr>
              <w:jc w:val="right"/>
              <w:ind w:right="814"/>
              <w:spacing w:after="0"/>
              <w:rPr>
                <w:sz w:val="20"/>
                <w:szCs w:val="20"/>
                <w:color w:val="auto"/>
              </w:rPr>
            </w:pPr>
            <w:r>
              <w:rPr>
                <w:rFonts w:ascii="Arial" w:cs="Arial" w:eastAsia="Arial" w:hAnsi="Arial"/>
                <w:sz w:val="17"/>
                <w:szCs w:val="17"/>
                <w:color w:val="auto"/>
                <w:w w:val="84"/>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0"/>
              </w:rPr>
              <w:t>29.7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25.2</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18 %</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44.0</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25 %</w:t>
            </w:r>
          </w:p>
        </w:tc>
      </w:tr>
      <w:tr>
        <w:trPr>
          <w:trHeight w:val="20"/>
        </w:trPr>
        <w:tc>
          <w:tcPr>
            <w:tcW w:w="32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r>
    </w:tbl>
    <w:p>
      <w:pPr>
        <w:spacing w:after="0" w:line="156" w:lineRule="exact"/>
        <w:rPr>
          <w:sz w:val="20"/>
          <w:szCs w:val="20"/>
          <w:color w:val="auto"/>
        </w:rPr>
      </w:pPr>
    </w:p>
    <w:p>
      <w:pPr>
        <w:jc w:val="both"/>
        <w:ind w:right="20"/>
        <w:spacing w:after="0" w:line="292" w:lineRule="auto"/>
        <w:rPr>
          <w:sz w:val="20"/>
          <w:szCs w:val="20"/>
          <w:color w:val="auto"/>
        </w:rPr>
      </w:pPr>
      <w:r>
        <w:rPr>
          <w:rFonts w:ascii="Arial" w:cs="Arial" w:eastAsia="Arial" w:hAnsi="Arial"/>
          <w:sz w:val="16"/>
          <w:szCs w:val="16"/>
          <w:color w:val="auto"/>
        </w:rPr>
        <w:t>Ancillary income for the three months ended June 30, 2022 increased by $4.5 million as compared to the three months ended March 31, 2022 primarily because of a $3.2 million increase in reverse subservicing ancillary fees due to the additional boarding of reverse mortgage loans during the second quarter of 2022 under the subservicing agreement with MAM (RMS) and a $1.7 million increase in late charges due to borrower payment behavior.</w:t>
      </w:r>
    </w:p>
    <w:p>
      <w:pPr>
        <w:spacing w:after="0" w:line="52" w:lineRule="exact"/>
        <w:rPr>
          <w:sz w:val="20"/>
          <w:szCs w:val="20"/>
          <w:color w:val="auto"/>
        </w:rPr>
      </w:pPr>
    </w:p>
    <w:p>
      <w:pPr>
        <w:ind w:right="260"/>
        <w:spacing w:after="0" w:line="268" w:lineRule="auto"/>
        <w:rPr>
          <w:sz w:val="20"/>
          <w:szCs w:val="20"/>
          <w:color w:val="auto"/>
        </w:rPr>
      </w:pPr>
      <w:r>
        <w:rPr>
          <w:rFonts w:ascii="Arial" w:cs="Arial" w:eastAsia="Arial" w:hAnsi="Arial"/>
          <w:sz w:val="17"/>
          <w:szCs w:val="17"/>
          <w:color w:val="auto"/>
        </w:rPr>
        <w:t>As compared to the six months ended June 30, 2021, ancillary income increased by $10.9 million largely due to $9.4 million of reverse subservicing fees recognized during the six months ended June 30, 2022 on reverse mortgage loans boarded during the first and second quarters of 2022 and the fourth quarter of 2021.</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Gain (loss) on Loans Held for Sale, Net</w:t>
      </w:r>
    </w:p>
    <w:p>
      <w:pPr>
        <w:spacing w:after="0" w:line="115"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Loss on loans held for sale, net for the three months ended June 30, 2022 increased $8.8 million as compared to the three months ended March 31, 2022 due to the loss on certain delinquent and aged loans repurchased in connection with the Ginnie Mae EBO program, net of the associated Ginnie Mae MSR fair value adjustment and advances.</w:t>
      </w:r>
    </w:p>
    <w:p>
      <w:pPr>
        <w:spacing w:after="0" w:line="69" w:lineRule="exact"/>
        <w:rPr>
          <w:sz w:val="20"/>
          <w:szCs w:val="20"/>
          <w:color w:val="auto"/>
        </w:rPr>
      </w:pPr>
    </w:p>
    <w:p>
      <w:pPr>
        <w:ind w:right="20"/>
        <w:spacing w:after="0" w:line="263" w:lineRule="auto"/>
        <w:rPr>
          <w:sz w:val="20"/>
          <w:szCs w:val="20"/>
          <w:color w:val="auto"/>
        </w:rPr>
      </w:pPr>
      <w:r>
        <w:rPr>
          <w:rFonts w:ascii="Arial" w:cs="Arial" w:eastAsia="Arial" w:hAnsi="Arial"/>
          <w:sz w:val="17"/>
          <w:szCs w:val="17"/>
          <w:color w:val="auto"/>
        </w:rPr>
        <w:t>Loss on loans held for sale, net for the six months ended June 30, 2022 was $14.2 million, a $21.9 million unfavorable change as compared to Gain on loans held for sale, net of $7.7 million recognized in the six months ended June 30, 2021. Losses on repurchased loans in connection with Ginnie Mae loan modifications and EBO activities increased $18.0 million due to the $8.8 million loss recognized in the second quarter of 2022 as disclosed above, and the decreased volume and margins on redelivery gains that became minimal in 2022, as a result of higher market interest rates.</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Reverse Mortgage Revenue, Net</w:t>
      </w:r>
    </w:p>
    <w:p>
      <w:pPr>
        <w:spacing w:after="0" w:line="115" w:lineRule="exact"/>
        <w:rPr>
          <w:sz w:val="20"/>
          <w:szCs w:val="20"/>
          <w:color w:val="auto"/>
        </w:rPr>
      </w:pPr>
    </w:p>
    <w:p>
      <w:pPr>
        <w:ind w:right="60"/>
        <w:spacing w:after="0" w:line="277" w:lineRule="auto"/>
        <w:rPr>
          <w:sz w:val="20"/>
          <w:szCs w:val="20"/>
          <w:color w:val="auto"/>
        </w:rPr>
      </w:pPr>
      <w:r>
        <w:rPr>
          <w:rFonts w:ascii="Arial" w:cs="Arial" w:eastAsia="Arial" w:hAnsi="Arial"/>
          <w:sz w:val="16"/>
          <w:szCs w:val="16"/>
          <w:color w:val="auto"/>
        </w:rPr>
        <w:t>Reverse mortgage revenue, net reported in the Servicing segment is the net change in fair value of securitized loans held for investment and HMBS-related borrowings. Reverse mortgage revenue, net excludes reverse subservicing that is reflected in Servicing and subservicing fees. The following table presents the components of the net fair value change and is comprised of net interest income and other fair value gains or losses. Net interest income is primarily driven by the volume of securitized UPB as it is the interest income earned on the securitized loans offset against interest expense incurred on the HMBS-related borrowings, and represents a component of our compensation for servicing the portfolio, that is a percentage of the outstanding UPB. Other fair value changes are primarily driven by changes in market-based inputs or assumptions. Lower interest rates generally result in favorable net fair value impacts on our HECM reverse mortgage loans and the related HMBS financing liability and higher interest rates generally result in unfavorable net fair value impacts.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620" w:type="dxa"/>
            <w:vAlign w:val="bottom"/>
            <w:tcBorders>
              <w:bottom w:val="single" w:sz="8" w:color="auto"/>
            </w:tcBorders>
            <w:gridSpan w:val="4"/>
          </w:tcPr>
          <w:p>
            <w:pPr>
              <w:jc w:val="right"/>
              <w:ind w:right="554"/>
              <w:spacing w:after="0"/>
              <w:rPr>
                <w:sz w:val="20"/>
                <w:szCs w:val="20"/>
                <w:color w:val="auto"/>
              </w:rPr>
            </w:pPr>
            <w:r>
              <w:rPr>
                <w:rFonts w:ascii="Arial" w:cs="Arial" w:eastAsia="Arial" w:hAnsi="Arial"/>
                <w:sz w:val="17"/>
                <w:szCs w:val="17"/>
                <w:b w:val="1"/>
                <w:bCs w:val="1"/>
                <w:color w:val="auto"/>
              </w:rPr>
              <w:t>Three Months Ended</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620" w:type="dxa"/>
            <w:vAlign w:val="bottom"/>
            <w:tcBorders>
              <w:bottom w:val="single" w:sz="8" w:color="auto"/>
            </w:tcBorders>
            <w:gridSpan w:val="4"/>
          </w:tcPr>
          <w:p>
            <w:pPr>
              <w:jc w:val="right"/>
              <w:ind w:right="654"/>
              <w:spacing w:after="0"/>
              <w:rPr>
                <w:sz w:val="20"/>
                <w:szCs w:val="20"/>
                <w:color w:val="auto"/>
              </w:rPr>
            </w:pPr>
            <w:r>
              <w:rPr>
                <w:rFonts w:ascii="Arial" w:cs="Arial" w:eastAsia="Arial" w:hAnsi="Arial"/>
                <w:sz w:val="17"/>
                <w:szCs w:val="17"/>
                <w:b w:val="1"/>
                <w:bCs w:val="1"/>
                <w:color w:val="auto"/>
              </w:rPr>
              <w:t>Six Months Ended</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9"/>
        </w:trPr>
        <w:tc>
          <w:tcPr>
            <w:tcW w:w="3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gridSpan w:val="2"/>
          </w:tcPr>
          <w:p>
            <w:pPr>
              <w:ind w:left="140"/>
              <w:spacing w:after="0"/>
              <w:rPr>
                <w:sz w:val="20"/>
                <w:szCs w:val="20"/>
                <w:color w:val="auto"/>
              </w:rPr>
            </w:pPr>
            <w:r>
              <w:rPr>
                <w:rFonts w:ascii="Arial" w:cs="Arial" w:eastAsia="Arial" w:hAnsi="Arial"/>
                <w:sz w:val="17"/>
                <w:szCs w:val="17"/>
                <w:b w:val="1"/>
                <w:bCs w:val="1"/>
                <w:color w:val="auto"/>
              </w:rPr>
              <w:t>June 30,</w:t>
            </w:r>
          </w:p>
        </w:tc>
        <w:tc>
          <w:tcPr>
            <w:tcW w:w="200" w:type="dxa"/>
            <w:vAlign w:val="bottom"/>
          </w:tcPr>
          <w:p>
            <w:pPr>
              <w:spacing w:after="0"/>
              <w:rPr>
                <w:sz w:val="20"/>
                <w:szCs w:val="20"/>
                <w:color w:val="auto"/>
              </w:rPr>
            </w:pPr>
          </w:p>
        </w:tc>
        <w:tc>
          <w:tcPr>
            <w:tcW w:w="1180" w:type="dxa"/>
            <w:vAlign w:val="bottom"/>
          </w:tcPr>
          <w:p>
            <w:pPr>
              <w:jc w:val="right"/>
              <w:ind w:right="234"/>
              <w:spacing w:after="0"/>
              <w:rPr>
                <w:sz w:val="20"/>
                <w:szCs w:val="20"/>
                <w:color w:val="auto"/>
              </w:rPr>
            </w:pPr>
            <w:r>
              <w:rPr>
                <w:rFonts w:ascii="Arial" w:cs="Arial" w:eastAsia="Arial" w:hAnsi="Arial"/>
                <w:sz w:val="17"/>
                <w:szCs w:val="17"/>
                <w:b w:val="1"/>
                <w:bCs w:val="1"/>
                <w:color w:val="auto"/>
              </w:rPr>
              <w:t>March 31,</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91"/>
              </w:rPr>
              <w:t>June 30,</w:t>
            </w:r>
          </w:p>
        </w:tc>
        <w:tc>
          <w:tcPr>
            <w:tcW w:w="240" w:type="dxa"/>
            <w:vAlign w:val="bottom"/>
          </w:tcPr>
          <w:p>
            <w:pPr>
              <w:spacing w:after="0"/>
              <w:rPr>
                <w:sz w:val="20"/>
                <w:szCs w:val="20"/>
                <w:color w:val="auto"/>
              </w:rPr>
            </w:pPr>
          </w:p>
        </w:tc>
        <w:tc>
          <w:tcPr>
            <w:tcW w:w="1140" w:type="dxa"/>
            <w:vAlign w:val="bottom"/>
          </w:tcPr>
          <w:p>
            <w:pPr>
              <w:jc w:val="right"/>
              <w:ind w:right="294"/>
              <w:spacing w:after="0"/>
              <w:rPr>
                <w:sz w:val="20"/>
                <w:szCs w:val="20"/>
                <w:color w:val="auto"/>
              </w:rPr>
            </w:pPr>
            <w:r>
              <w:rPr>
                <w:rFonts w:ascii="Arial" w:cs="Arial" w:eastAsia="Arial" w:hAnsi="Arial"/>
                <w:sz w:val="17"/>
                <w:szCs w:val="17"/>
                <w:b w:val="1"/>
                <w:bCs w:val="1"/>
                <w:color w:val="auto"/>
              </w:rPr>
              <w:t>June 30,</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58"/>
        </w:trPr>
        <w:tc>
          <w:tcPr>
            <w:tcW w:w="32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34"/>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34"/>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b w:val="1"/>
                <w:bCs w:val="1"/>
                <w:color w:val="auto"/>
              </w:rPr>
              <w:t>% Change</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34"/>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34"/>
              <w:spacing w:after="0"/>
              <w:rPr>
                <w:sz w:val="20"/>
                <w:szCs w:val="20"/>
                <w:color w:val="auto"/>
              </w:rPr>
            </w:pPr>
            <w:r>
              <w:rPr>
                <w:rFonts w:ascii="Arial" w:cs="Arial" w:eastAsia="Arial" w:hAnsi="Arial"/>
                <w:sz w:val="17"/>
                <w:szCs w:val="17"/>
                <w:b w:val="1"/>
                <w:bCs w:val="1"/>
                <w:color w:val="auto"/>
              </w:rPr>
              <w:t>2021</w:t>
            </w:r>
          </w:p>
        </w:tc>
        <w:tc>
          <w:tcPr>
            <w:tcW w:w="1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b w:val="1"/>
                <w:bCs w:val="1"/>
                <w:color w:val="auto"/>
              </w:rPr>
              <w:t>% Change</w:t>
            </w:r>
          </w:p>
        </w:tc>
      </w:tr>
      <w:tr>
        <w:trPr>
          <w:trHeight w:val="213"/>
        </w:trPr>
        <w:tc>
          <w:tcPr>
            <w:tcW w:w="3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interest income (servicing fee)</w:t>
            </w: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2 %</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center"/>
              <w:ind w:left="634"/>
              <w:spacing w:after="0"/>
              <w:rPr>
                <w:sz w:val="20"/>
                <w:szCs w:val="20"/>
                <w:color w:val="auto"/>
              </w:rPr>
            </w:pPr>
            <w:r>
              <w:rPr>
                <w:rFonts w:ascii="Arial" w:cs="Arial" w:eastAsia="Arial" w:hAnsi="Arial"/>
                <w:sz w:val="17"/>
                <w:szCs w:val="17"/>
                <w:color w:val="auto"/>
                <w:w w:val="90"/>
              </w:rPr>
              <w:t>10.7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8 %</w:t>
            </w:r>
          </w:p>
        </w:tc>
      </w:tr>
      <w:tr>
        <w:trPr>
          <w:trHeight w:val="220"/>
        </w:trPr>
        <w:tc>
          <w:tcPr>
            <w:tcW w:w="3220" w:type="dxa"/>
            <w:vAlign w:val="bottom"/>
            <w:tcBorders>
              <w:bottom w:val="single" w:sz="8" w:color="CCEEFF"/>
            </w:tcBorders>
          </w:tcPr>
          <w:p>
            <w:pPr>
              <w:ind w:left="40"/>
              <w:spacing w:after="0"/>
              <w:rPr>
                <w:sz w:val="20"/>
                <w:szCs w:val="20"/>
                <w:color w:val="auto"/>
              </w:rPr>
            </w:pPr>
            <w:r>
              <w:rPr>
                <w:rFonts w:ascii="Arial" w:cs="Arial" w:eastAsia="Arial" w:hAnsi="Arial"/>
                <w:sz w:val="17"/>
                <w:szCs w:val="17"/>
                <w:color w:val="auto"/>
              </w:rPr>
              <w:t>Other fair value changes (1)</w:t>
            </w: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(17.2)</w:t>
            </w:r>
          </w:p>
        </w:tc>
        <w:tc>
          <w:tcPr>
            <w:tcW w:w="1100" w:type="dxa"/>
            <w:vAlign w:val="bottom"/>
            <w:tcBorders>
              <w:bottom w:val="single" w:sz="8" w:color="CCEEFF"/>
            </w:tcBorders>
            <w:gridSpan w:val="2"/>
          </w:tcPr>
          <w:p>
            <w:pPr>
              <w:jc w:val="right"/>
              <w:ind w:right="134"/>
              <w:spacing w:after="0"/>
              <w:rPr>
                <w:sz w:val="20"/>
                <w:szCs w:val="20"/>
                <w:color w:val="auto"/>
              </w:rPr>
            </w:pPr>
            <w:r>
              <w:rPr>
                <w:rFonts w:ascii="Arial" w:cs="Arial" w:eastAsia="Arial" w:hAnsi="Arial"/>
                <w:sz w:val="17"/>
                <w:szCs w:val="17"/>
                <w:color w:val="auto"/>
              </w:rPr>
              <w:t>42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ind w:left="594"/>
              <w:spacing w:after="0"/>
              <w:rPr>
                <w:sz w:val="20"/>
                <w:szCs w:val="20"/>
                <w:color w:val="auto"/>
              </w:rPr>
            </w:pPr>
            <w:r>
              <w:rPr>
                <w:rFonts w:ascii="Arial" w:cs="Arial" w:eastAsia="Arial" w:hAnsi="Arial"/>
                <w:sz w:val="17"/>
                <w:szCs w:val="17"/>
                <w:color w:val="auto"/>
                <w:w w:val="94"/>
              </w:rPr>
              <w:t>(41.6)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w:t>
            </w: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n/m</w:t>
            </w:r>
          </w:p>
        </w:tc>
      </w:tr>
      <w:tr>
        <w:trPr>
          <w:trHeight w:val="238"/>
        </w:trPr>
        <w:tc>
          <w:tcPr>
            <w:tcW w:w="32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w w:val="94"/>
              </w:rPr>
              <w:t>Reverse mortgage revenue, net (Servicing)</w:t>
            </w: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(11.9)</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60 %</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center"/>
              <w:ind w:left="594"/>
              <w:spacing w:after="0"/>
              <w:rPr>
                <w:sz w:val="20"/>
                <w:szCs w:val="20"/>
                <w:color w:val="auto"/>
              </w:rPr>
            </w:pPr>
            <w:r>
              <w:rPr>
                <w:rFonts w:ascii="Arial" w:cs="Arial" w:eastAsia="Arial" w:hAnsi="Arial"/>
                <w:sz w:val="17"/>
                <w:szCs w:val="17"/>
                <w:color w:val="auto"/>
                <w:w w:val="94"/>
              </w:rPr>
              <w:t>(30.9)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12.5</w:t>
            </w:r>
          </w:p>
        </w:tc>
        <w:tc>
          <w:tcPr>
            <w:tcW w:w="1100" w:type="dxa"/>
            <w:vAlign w:val="bottom"/>
            <w:tcBorders>
              <w:bottom w:val="single" w:sz="8" w:color="CCEEFF"/>
            </w:tcBorders>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(347)</w:t>
            </w:r>
          </w:p>
        </w:tc>
      </w:tr>
      <w:tr>
        <w:trPr>
          <w:trHeight w:val="20"/>
        </w:trPr>
        <w:tc>
          <w:tcPr>
            <w:tcW w:w="3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r>
    </w:tbl>
    <w:p>
      <w:pPr>
        <w:spacing w:after="0" w:line="173" w:lineRule="exact"/>
        <w:rPr>
          <w:sz w:val="20"/>
          <w:szCs w:val="20"/>
          <w:color w:val="auto"/>
        </w:rPr>
      </w:pPr>
    </w:p>
    <w:p>
      <w:pPr>
        <w:ind w:left="320" w:right="100" w:hanging="317"/>
        <w:spacing w:after="0" w:line="251" w:lineRule="auto"/>
        <w:tabs>
          <w:tab w:leader="none" w:pos="320" w:val="left"/>
        </w:tabs>
        <w:numPr>
          <w:ilvl w:val="0"/>
          <w:numId w:val="49"/>
        </w:numPr>
        <w:rPr>
          <w:rFonts w:ascii="Arial" w:cs="Arial" w:eastAsia="Arial" w:hAnsi="Arial"/>
          <w:sz w:val="16"/>
          <w:szCs w:val="16"/>
          <w:color w:val="auto"/>
        </w:rPr>
      </w:pPr>
      <w:r>
        <w:rPr>
          <w:rFonts w:ascii="Arial" w:cs="Arial" w:eastAsia="Arial" w:hAnsi="Arial"/>
          <w:sz w:val="16"/>
          <w:szCs w:val="16"/>
          <w:color w:val="auto"/>
        </w:rPr>
        <w:t>Includes $2.8 million and $3.8 million of realized gains on tail securitization for the three months ended June 30, 2022 and March 31, 2022, respectively, and $6.7 million and $12.0 million for the six months ended June 30,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7" w:right="339" w:bottom="1440" w:gutter="0" w:footer="0" w:header="0"/>
        </w:sectPr>
      </w:pPr>
    </w:p>
    <w:bookmarkStart w:id="77" w:name="page78"/>
    <w:bookmarkEnd w:id="77"/>
    <w:p>
      <w:pPr>
        <w:ind w:right="80"/>
        <w:spacing w:after="0" w:line="274" w:lineRule="auto"/>
        <w:rPr>
          <w:sz w:val="20"/>
          <w:szCs w:val="20"/>
          <w:color w:val="auto"/>
        </w:rPr>
      </w:pPr>
      <w:r>
        <w:rPr>
          <w:rFonts w:ascii="Arial" w:cs="Arial" w:eastAsia="Arial" w:hAnsi="Arial"/>
          <w:sz w:val="16"/>
          <w:szCs w:val="16"/>
          <w:color w:val="auto"/>
        </w:rPr>
        <w:t>Reverse mortgage revenue, net declined $7.1 million for the three months ended June 30, 2022 as compared to the three months ended March 31, 2022, and declined $43.4 million for the six months ended June 30, 2022 as compared to the six months ended June 30, 2021. The declines are primarily due to unrealized fair value losses on the HECM loan portfolio, net of HMBS, attributable to market conditions. Specifically, fair value losses are driven by increasing interest rates and widening yield spread directly impacting projected asset life and the tail value of the HECM reverse mortgage loans. Tail value declined by $1.0 million and $5.3 million in the three and six months ended June 30, 2022, respectively. Tails represent the future draws of borrowers, scheduled and unscheduled, as well as capitalized interest and are included in the fair value of the underlying loans. As our HECM loan portfolio is predominantly comprised of ARMs, higher interest rates cause the loan balance to accrue and reach the 98% maximum claim amount liquidation event more quickly. Tails are securitized on a monthly basis and a widening yield spread results in lower cash gain on securitization. Note that the fair value changes of the net asset value between securitized HECM loans and HMBS (referred to as our reverse MSR) attributable to interest rate changes are effectively used as a hedge of our forward MSR portfolio. See further description of our hedging strategy in Item 3. Quantitative and Qualitative Disclosures about Market Risk.</w:t>
      </w:r>
    </w:p>
    <w:p>
      <w:pPr>
        <w:spacing w:after="0" w:line="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MSR Valuation Adjustments, Net</w:t>
      </w:r>
    </w:p>
    <w:p>
      <w:pPr>
        <w:spacing w:after="0" w:line="115" w:lineRule="exact"/>
        <w:rPr>
          <w:sz w:val="20"/>
          <w:szCs w:val="20"/>
          <w:color w:val="auto"/>
        </w:rPr>
      </w:pPr>
    </w:p>
    <w:p>
      <w:pPr>
        <w:ind w:right="260"/>
        <w:spacing w:after="0" w:line="315" w:lineRule="auto"/>
        <w:rPr>
          <w:sz w:val="20"/>
          <w:szCs w:val="20"/>
          <w:color w:val="auto"/>
        </w:rPr>
      </w:pPr>
      <w:r>
        <w:rPr>
          <w:rFonts w:ascii="Arial" w:cs="Arial" w:eastAsia="Arial" w:hAnsi="Arial"/>
          <w:sz w:val="16"/>
          <w:szCs w:val="16"/>
          <w:color w:val="auto"/>
        </w:rPr>
        <w:t>The following tables summarize the MSR valuation adjustments, net reported in our Servicing segment, with the breakdown of the total MSRs recorded on our balance sheet between our owned MSRs and the MSRs transferred to NRZ and MAV that did not achieve sale accounting treatment:</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220" w:type="dxa"/>
            <w:vAlign w:val="bottom"/>
            <w:tcBorders>
              <w:bottom w:val="single" w:sz="8" w:color="auto"/>
            </w:tcBorders>
            <w:gridSpan w:val="4"/>
          </w:tcPr>
          <w:p>
            <w:pPr>
              <w:jc w:val="center"/>
              <w:ind w:left="174"/>
              <w:spacing w:after="0"/>
              <w:rPr>
                <w:sz w:val="20"/>
                <w:szCs w:val="20"/>
                <w:color w:val="auto"/>
              </w:rPr>
            </w:pPr>
            <w:r>
              <w:rPr>
                <w:rFonts w:ascii="Arial" w:cs="Arial" w:eastAsia="Arial" w:hAnsi="Arial"/>
                <w:sz w:val="17"/>
                <w:szCs w:val="17"/>
                <w:b w:val="1"/>
                <w:bCs w:val="1"/>
                <w:color w:val="auto"/>
                <w:w w:val="91"/>
              </w:rPr>
              <w:t>Three Months Ended June 30, 2022</w:t>
            </w:r>
          </w:p>
        </w:tc>
        <w:tc>
          <w:tcPr>
            <w:tcW w:w="5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220" w:type="dxa"/>
            <w:vAlign w:val="bottom"/>
            <w:tcBorders>
              <w:bottom w:val="single" w:sz="8" w:color="auto"/>
            </w:tcBorders>
            <w:gridSpan w:val="4"/>
          </w:tcPr>
          <w:p>
            <w:pPr>
              <w:jc w:val="center"/>
              <w:ind w:left="194"/>
              <w:spacing w:after="0"/>
              <w:rPr>
                <w:sz w:val="20"/>
                <w:szCs w:val="20"/>
                <w:color w:val="auto"/>
              </w:rPr>
            </w:pPr>
            <w:r>
              <w:rPr>
                <w:rFonts w:ascii="Arial" w:cs="Arial" w:eastAsia="Arial" w:hAnsi="Arial"/>
                <w:sz w:val="17"/>
                <w:szCs w:val="17"/>
                <w:b w:val="1"/>
                <w:bCs w:val="1"/>
                <w:color w:val="auto"/>
                <w:w w:val="93"/>
              </w:rPr>
              <w:t>Three Months Ended March 31, 2022</w:t>
            </w:r>
          </w:p>
        </w:tc>
        <w:tc>
          <w:tcPr>
            <w:tcW w:w="5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1"/>
        </w:trPr>
        <w:tc>
          <w:tcPr>
            <w:tcW w:w="3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20" w:type="dxa"/>
            <w:vAlign w:val="bottom"/>
            <w:gridSpan w:val="2"/>
          </w:tcPr>
          <w:p>
            <w:pPr>
              <w:jc w:val="center"/>
              <w:spacing w:after="0" w:line="161" w:lineRule="exact"/>
              <w:rPr>
                <w:sz w:val="20"/>
                <w:szCs w:val="20"/>
                <w:color w:val="auto"/>
              </w:rPr>
            </w:pPr>
            <w:r>
              <w:rPr>
                <w:rFonts w:ascii="Arial" w:cs="Arial" w:eastAsia="Arial" w:hAnsi="Arial"/>
                <w:sz w:val="17"/>
                <w:szCs w:val="17"/>
                <w:b w:val="1"/>
                <w:bCs w:val="1"/>
                <w:color w:val="auto"/>
                <w:w w:val="92"/>
              </w:rPr>
              <w:t>Pledged MSR</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20" w:type="dxa"/>
            <w:vAlign w:val="bottom"/>
            <w:gridSpan w:val="2"/>
          </w:tcPr>
          <w:p>
            <w:pPr>
              <w:jc w:val="center"/>
              <w:spacing w:after="0" w:line="161" w:lineRule="exact"/>
              <w:rPr>
                <w:sz w:val="20"/>
                <w:szCs w:val="20"/>
                <w:color w:val="auto"/>
              </w:rPr>
            </w:pPr>
            <w:r>
              <w:rPr>
                <w:rFonts w:ascii="Arial" w:cs="Arial" w:eastAsia="Arial" w:hAnsi="Arial"/>
                <w:sz w:val="17"/>
                <w:szCs w:val="17"/>
                <w:b w:val="1"/>
                <w:bCs w:val="1"/>
                <w:color w:val="auto"/>
                <w:w w:val="93"/>
              </w:rPr>
              <w:t>Pledged MSR</w:t>
            </w:r>
          </w:p>
        </w:tc>
        <w:tc>
          <w:tcPr>
            <w:tcW w:w="0" w:type="dxa"/>
            <w:vAlign w:val="bottom"/>
          </w:tcPr>
          <w:p>
            <w:pPr>
              <w:spacing w:after="0"/>
              <w:rPr>
                <w:sz w:val="1"/>
                <w:szCs w:val="1"/>
                <w:color w:val="auto"/>
              </w:rPr>
            </w:pPr>
          </w:p>
        </w:tc>
      </w:tr>
      <w:tr>
        <w:trPr>
          <w:trHeight w:val="168"/>
        </w:trPr>
        <w:tc>
          <w:tcPr>
            <w:tcW w:w="3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vMerge w:val="restart"/>
          </w:tcPr>
          <w:p>
            <w:pPr>
              <w:jc w:val="right"/>
              <w:ind w:right="254"/>
              <w:spacing w:after="0"/>
              <w:rPr>
                <w:sz w:val="20"/>
                <w:szCs w:val="20"/>
                <w:color w:val="auto"/>
              </w:rPr>
            </w:pPr>
            <w:r>
              <w:rPr>
                <w:rFonts w:ascii="Arial" w:cs="Arial" w:eastAsia="Arial" w:hAnsi="Arial"/>
                <w:sz w:val="17"/>
                <w:szCs w:val="17"/>
                <w:b w:val="1"/>
                <w:bCs w:val="1"/>
                <w:color w:val="auto"/>
              </w:rPr>
              <w:t>Total (1)</w:t>
            </w:r>
          </w:p>
        </w:tc>
        <w:tc>
          <w:tcPr>
            <w:tcW w:w="1320" w:type="dxa"/>
            <w:vAlign w:val="bottom"/>
            <w:gridSpan w:val="2"/>
            <w:vMerge w:val="restart"/>
          </w:tcPr>
          <w:p>
            <w:pPr>
              <w:jc w:val="center"/>
              <w:spacing w:after="0"/>
              <w:rPr>
                <w:sz w:val="20"/>
                <w:szCs w:val="20"/>
                <w:color w:val="auto"/>
              </w:rPr>
            </w:pPr>
            <w:r>
              <w:rPr>
                <w:rFonts w:ascii="Arial" w:cs="Arial" w:eastAsia="Arial" w:hAnsi="Arial"/>
                <w:sz w:val="17"/>
                <w:szCs w:val="17"/>
                <w:b w:val="1"/>
                <w:bCs w:val="1"/>
                <w:color w:val="auto"/>
                <w:w w:val="96"/>
              </w:rPr>
              <w:t>Owned MSR (1)</w:t>
            </w:r>
          </w:p>
        </w:tc>
        <w:tc>
          <w:tcPr>
            <w:tcW w:w="1420" w:type="dxa"/>
            <w:vAlign w:val="bottom"/>
            <w:gridSpan w:val="3"/>
          </w:tcPr>
          <w:p>
            <w:pPr>
              <w:ind w:left="40"/>
              <w:spacing w:after="0" w:line="168" w:lineRule="exact"/>
              <w:rPr>
                <w:sz w:val="20"/>
                <w:szCs w:val="20"/>
                <w:color w:val="auto"/>
              </w:rPr>
            </w:pPr>
            <w:r>
              <w:rPr>
                <w:rFonts w:ascii="Arial" w:cs="Arial" w:eastAsia="Arial" w:hAnsi="Arial"/>
                <w:sz w:val="17"/>
                <w:szCs w:val="17"/>
                <w:b w:val="1"/>
                <w:bCs w:val="1"/>
                <w:color w:val="auto"/>
              </w:rPr>
              <w:t>(NRZ and MAV)</w:t>
            </w:r>
          </w:p>
        </w:tc>
        <w:tc>
          <w:tcPr>
            <w:tcW w:w="220" w:type="dxa"/>
            <w:vAlign w:val="bottom"/>
          </w:tcPr>
          <w:p>
            <w:pPr>
              <w:spacing w:after="0"/>
              <w:rPr>
                <w:sz w:val="14"/>
                <w:szCs w:val="14"/>
                <w:color w:val="auto"/>
              </w:rPr>
            </w:pPr>
          </w:p>
        </w:tc>
        <w:tc>
          <w:tcPr>
            <w:tcW w:w="1080" w:type="dxa"/>
            <w:vAlign w:val="bottom"/>
            <w:vMerge w:val="restart"/>
          </w:tcPr>
          <w:p>
            <w:pPr>
              <w:jc w:val="right"/>
              <w:ind w:right="254"/>
              <w:spacing w:after="0"/>
              <w:rPr>
                <w:sz w:val="20"/>
                <w:szCs w:val="20"/>
                <w:color w:val="auto"/>
              </w:rPr>
            </w:pPr>
            <w:r>
              <w:rPr>
                <w:rFonts w:ascii="Arial" w:cs="Arial" w:eastAsia="Arial" w:hAnsi="Arial"/>
                <w:sz w:val="17"/>
                <w:szCs w:val="17"/>
                <w:b w:val="1"/>
                <w:bCs w:val="1"/>
                <w:color w:val="auto"/>
              </w:rPr>
              <w:t>Total (1)</w:t>
            </w:r>
          </w:p>
        </w:tc>
        <w:tc>
          <w:tcPr>
            <w:tcW w:w="1320" w:type="dxa"/>
            <w:vAlign w:val="bottom"/>
            <w:gridSpan w:val="2"/>
            <w:vMerge w:val="restart"/>
          </w:tcPr>
          <w:p>
            <w:pPr>
              <w:jc w:val="center"/>
              <w:spacing w:after="0"/>
              <w:rPr>
                <w:sz w:val="20"/>
                <w:szCs w:val="20"/>
                <w:color w:val="auto"/>
              </w:rPr>
            </w:pPr>
            <w:r>
              <w:rPr>
                <w:rFonts w:ascii="Arial" w:cs="Arial" w:eastAsia="Arial" w:hAnsi="Arial"/>
                <w:sz w:val="17"/>
                <w:szCs w:val="17"/>
                <w:b w:val="1"/>
                <w:bCs w:val="1"/>
                <w:color w:val="auto"/>
                <w:w w:val="96"/>
              </w:rPr>
              <w:t>Owned MSR (1)</w:t>
            </w:r>
          </w:p>
        </w:tc>
        <w:tc>
          <w:tcPr>
            <w:tcW w:w="1320" w:type="dxa"/>
            <w:vAlign w:val="bottom"/>
            <w:gridSpan w:val="2"/>
          </w:tcPr>
          <w:p>
            <w:pPr>
              <w:ind w:left="60"/>
              <w:spacing w:after="0" w:line="168" w:lineRule="exact"/>
              <w:rPr>
                <w:sz w:val="20"/>
                <w:szCs w:val="20"/>
                <w:color w:val="auto"/>
              </w:rPr>
            </w:pPr>
            <w:r>
              <w:rPr>
                <w:rFonts w:ascii="Arial" w:cs="Arial" w:eastAsia="Arial" w:hAnsi="Arial"/>
                <w:sz w:val="17"/>
                <w:szCs w:val="17"/>
                <w:b w:val="1"/>
                <w:bCs w:val="1"/>
                <w:color w:val="auto"/>
              </w:rPr>
              <w:t>(NRZ and MAV)</w:t>
            </w:r>
          </w:p>
        </w:tc>
        <w:tc>
          <w:tcPr>
            <w:tcW w:w="0" w:type="dxa"/>
            <w:vAlign w:val="bottom"/>
          </w:tcPr>
          <w:p>
            <w:pPr>
              <w:spacing w:after="0"/>
              <w:rPr>
                <w:sz w:val="1"/>
                <w:szCs w:val="1"/>
                <w:color w:val="auto"/>
              </w:rPr>
            </w:pPr>
          </w:p>
        </w:tc>
      </w:tr>
      <w:tr>
        <w:trPr>
          <w:trHeight w:val="220"/>
        </w:trPr>
        <w:tc>
          <w:tcPr>
            <w:tcW w:w="32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1320" w:type="dxa"/>
            <w:vAlign w:val="bottom"/>
            <w:tcBorders>
              <w:bottom w:val="single" w:sz="8" w:color="auto"/>
            </w:tcBorders>
            <w:gridSpan w:val="2"/>
            <w:vMerge w:val="continue"/>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w:t>
            </w: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1320" w:type="dxa"/>
            <w:vAlign w:val="bottom"/>
            <w:tcBorders>
              <w:bottom w:val="single" w:sz="8" w:color="auto"/>
            </w:tcBorders>
            <w:gridSpan w:val="2"/>
            <w:vMerge w:val="continue"/>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w:t>
            </w:r>
          </w:p>
        </w:tc>
        <w:tc>
          <w:tcPr>
            <w:tcW w:w="5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Runoff (3)</w:t>
            </w: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(67.6)</w:t>
            </w:r>
          </w:p>
        </w:tc>
        <w:tc>
          <w:tcPr>
            <w:tcW w:w="500" w:type="dxa"/>
            <w:vAlign w:val="bottom"/>
            <w:shd w:val="clear" w:color="auto" w:fill="CCEEFF"/>
          </w:tcPr>
          <w:p>
            <w:pPr>
              <w:jc w:val="right"/>
              <w:ind w:right="314"/>
              <w:spacing w:after="0"/>
              <w:rPr>
                <w:sz w:val="20"/>
                <w:szCs w:val="20"/>
                <w:color w:val="auto"/>
              </w:rPr>
            </w:pPr>
            <w:r>
              <w:rPr>
                <w:rFonts w:ascii="Arial" w:cs="Arial" w:eastAsia="Arial" w:hAnsi="Arial"/>
                <w:sz w:val="17"/>
                <w:szCs w:val="17"/>
                <w:color w:val="auto"/>
                <w:w w:val="84"/>
              </w:rPr>
              <w:t>$</w:t>
            </w:r>
          </w:p>
        </w:tc>
        <w:tc>
          <w:tcPr>
            <w:tcW w:w="820" w:type="dxa"/>
            <w:vAlign w:val="bottom"/>
            <w:shd w:val="clear" w:color="auto" w:fill="CCEEFF"/>
          </w:tcPr>
          <w:p>
            <w:pPr>
              <w:jc w:val="center"/>
              <w:ind w:left="274"/>
              <w:spacing w:after="0"/>
              <w:rPr>
                <w:sz w:val="20"/>
                <w:szCs w:val="20"/>
                <w:color w:val="auto"/>
              </w:rPr>
            </w:pPr>
            <w:r>
              <w:rPr>
                <w:rFonts w:ascii="Arial" w:cs="Arial" w:eastAsia="Arial" w:hAnsi="Arial"/>
                <w:sz w:val="17"/>
                <w:szCs w:val="17"/>
                <w:color w:val="auto"/>
                <w:w w:val="94"/>
              </w:rPr>
              <w:t>(38.8)</w:t>
            </w:r>
          </w:p>
        </w:tc>
        <w:tc>
          <w:tcPr>
            <w:tcW w:w="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(72.8)</w:t>
            </w:r>
          </w:p>
        </w:tc>
        <w:tc>
          <w:tcPr>
            <w:tcW w:w="500" w:type="dxa"/>
            <w:vAlign w:val="bottom"/>
            <w:shd w:val="clear" w:color="auto" w:fill="CCEEFF"/>
          </w:tcPr>
          <w:p>
            <w:pPr>
              <w:jc w:val="right"/>
              <w:ind w:right="294"/>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(44.6)</w:t>
            </w:r>
          </w:p>
        </w:tc>
        <w:tc>
          <w:tcPr>
            <w:tcW w:w="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(28.3)</w:t>
            </w:r>
          </w:p>
        </w:tc>
        <w:tc>
          <w:tcPr>
            <w:tcW w:w="0" w:type="dxa"/>
            <w:vAlign w:val="bottom"/>
          </w:tcPr>
          <w:p>
            <w:pPr>
              <w:spacing w:after="0"/>
              <w:rPr>
                <w:sz w:val="1"/>
                <w:szCs w:val="1"/>
                <w:color w:val="auto"/>
              </w:rPr>
            </w:pPr>
          </w:p>
        </w:tc>
      </w:tr>
      <w:tr>
        <w:trPr>
          <w:trHeight w:val="220"/>
        </w:trPr>
        <w:tc>
          <w:tcPr>
            <w:tcW w:w="3240" w:type="dxa"/>
            <w:vAlign w:val="bottom"/>
          </w:tcPr>
          <w:p>
            <w:pPr>
              <w:ind w:left="20"/>
              <w:spacing w:after="0"/>
              <w:rPr>
                <w:sz w:val="20"/>
                <w:szCs w:val="20"/>
                <w:color w:val="auto"/>
              </w:rPr>
            </w:pPr>
            <w:r>
              <w:rPr>
                <w:rFonts w:ascii="Arial" w:cs="Arial" w:eastAsia="Arial" w:hAnsi="Arial"/>
                <w:sz w:val="17"/>
                <w:szCs w:val="17"/>
                <w:color w:val="auto"/>
              </w:rPr>
              <w:t>Rate and assumption change (1)</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115.1</w:t>
            </w:r>
          </w:p>
        </w:tc>
        <w:tc>
          <w:tcPr>
            <w:tcW w:w="500" w:type="dxa"/>
            <w:vAlign w:val="bottom"/>
          </w:tcPr>
          <w:p>
            <w:pPr>
              <w:spacing w:after="0"/>
              <w:rPr>
                <w:sz w:val="19"/>
                <w:szCs w:val="19"/>
                <w:color w:val="auto"/>
              </w:rPr>
            </w:pPr>
          </w:p>
        </w:tc>
        <w:tc>
          <w:tcPr>
            <w:tcW w:w="820" w:type="dxa"/>
            <w:vAlign w:val="bottom"/>
          </w:tcPr>
          <w:p>
            <w:pPr>
              <w:jc w:val="center"/>
              <w:ind w:left="314"/>
              <w:spacing w:after="0"/>
              <w:rPr>
                <w:sz w:val="20"/>
                <w:szCs w:val="20"/>
                <w:color w:val="auto"/>
              </w:rPr>
            </w:pPr>
            <w:r>
              <w:rPr>
                <w:rFonts w:ascii="Arial" w:cs="Arial" w:eastAsia="Arial" w:hAnsi="Arial"/>
                <w:sz w:val="17"/>
                <w:szCs w:val="17"/>
                <w:color w:val="auto"/>
                <w:w w:val="90"/>
              </w:rPr>
              <w:t>75.2</w:t>
            </w:r>
          </w:p>
        </w:tc>
        <w:tc>
          <w:tcPr>
            <w:tcW w:w="8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39.9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201.2</w:t>
            </w:r>
          </w:p>
        </w:tc>
        <w:tc>
          <w:tcPr>
            <w:tcW w:w="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145.7</w:t>
            </w:r>
          </w:p>
        </w:tc>
        <w:tc>
          <w:tcPr>
            <w:tcW w:w="8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55.5</w:t>
            </w:r>
          </w:p>
        </w:tc>
        <w:tc>
          <w:tcPr>
            <w:tcW w:w="0" w:type="dxa"/>
            <w:vAlign w:val="bottom"/>
          </w:tcPr>
          <w:p>
            <w:pPr>
              <w:spacing w:after="0"/>
              <w:rPr>
                <w:sz w:val="1"/>
                <w:szCs w:val="1"/>
                <w:color w:val="auto"/>
              </w:rPr>
            </w:pPr>
          </w:p>
        </w:tc>
      </w:tr>
      <w:tr>
        <w:trPr>
          <w:trHeight w:val="220"/>
        </w:trPr>
        <w:tc>
          <w:tcPr>
            <w:tcW w:w="3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Hedging gain (loss)</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(17.0)</w:t>
            </w:r>
          </w:p>
        </w:tc>
        <w:tc>
          <w:tcPr>
            <w:tcW w:w="500" w:type="dxa"/>
            <w:vAlign w:val="bottom"/>
            <w:shd w:val="clear" w:color="auto" w:fill="CCEEFF"/>
          </w:tcPr>
          <w:p>
            <w:pPr>
              <w:spacing w:after="0"/>
              <w:rPr>
                <w:sz w:val="19"/>
                <w:szCs w:val="19"/>
                <w:color w:val="auto"/>
              </w:rPr>
            </w:pPr>
          </w:p>
        </w:tc>
        <w:tc>
          <w:tcPr>
            <w:tcW w:w="820" w:type="dxa"/>
            <w:vAlign w:val="bottom"/>
            <w:shd w:val="clear" w:color="auto" w:fill="CCEEFF"/>
          </w:tcPr>
          <w:p>
            <w:pPr>
              <w:jc w:val="center"/>
              <w:ind w:left="274"/>
              <w:spacing w:after="0"/>
              <w:rPr>
                <w:sz w:val="20"/>
                <w:szCs w:val="20"/>
                <w:color w:val="auto"/>
              </w:rPr>
            </w:pPr>
            <w:r>
              <w:rPr>
                <w:rFonts w:ascii="Arial" w:cs="Arial" w:eastAsia="Arial" w:hAnsi="Arial"/>
                <w:sz w:val="17"/>
                <w:szCs w:val="17"/>
                <w:color w:val="auto"/>
                <w:w w:val="94"/>
              </w:rPr>
              <w:t>(17.0)</w:t>
            </w:r>
          </w:p>
        </w:tc>
        <w:tc>
          <w:tcPr>
            <w:tcW w:w="82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(80.0)</w:t>
            </w:r>
          </w:p>
        </w:tc>
        <w:tc>
          <w:tcPr>
            <w:tcW w:w="5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(80.0)</w:t>
            </w:r>
          </w:p>
        </w:tc>
        <w:tc>
          <w:tcPr>
            <w:tcW w:w="8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3"/>
        </w:trPr>
        <w:tc>
          <w:tcPr>
            <w:tcW w:w="3240" w:type="dxa"/>
            <w:vAlign w:val="bottom"/>
          </w:tcPr>
          <w:p>
            <w:pPr>
              <w:ind w:left="20"/>
              <w:spacing w:after="0"/>
              <w:rPr>
                <w:sz w:val="20"/>
                <w:szCs w:val="20"/>
                <w:color w:val="auto"/>
              </w:rPr>
            </w:pPr>
            <w:r>
              <w:rPr>
                <w:rFonts w:ascii="Arial" w:cs="Arial" w:eastAsia="Arial" w:hAnsi="Arial"/>
                <w:sz w:val="17"/>
                <w:szCs w:val="17"/>
                <w:color w:val="auto"/>
              </w:rPr>
              <w:t>Total</w:t>
            </w:r>
          </w:p>
        </w:tc>
        <w:tc>
          <w:tcPr>
            <w:tcW w:w="24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7"/>
                <w:szCs w:val="17"/>
                <w:color w:val="auto"/>
                <w:w w:val="84"/>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30.4</w:t>
            </w:r>
          </w:p>
        </w:tc>
        <w:tc>
          <w:tcPr>
            <w:tcW w:w="50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7"/>
                <w:szCs w:val="17"/>
                <w:color w:val="auto"/>
                <w:w w:val="84"/>
              </w:rPr>
              <w:t>$</w:t>
            </w:r>
          </w:p>
        </w:tc>
        <w:tc>
          <w:tcPr>
            <w:tcW w:w="820" w:type="dxa"/>
            <w:vAlign w:val="bottom"/>
            <w:tcBorders>
              <w:top w:val="single" w:sz="8" w:color="auto"/>
              <w:bottom w:val="single" w:sz="8" w:color="auto"/>
            </w:tcBorders>
          </w:tcPr>
          <w:p>
            <w:pPr>
              <w:jc w:val="center"/>
              <w:ind w:left="314"/>
              <w:spacing w:after="0"/>
              <w:rPr>
                <w:sz w:val="20"/>
                <w:szCs w:val="20"/>
                <w:color w:val="auto"/>
              </w:rPr>
            </w:pPr>
            <w:r>
              <w:rPr>
                <w:rFonts w:ascii="Arial" w:cs="Arial" w:eastAsia="Arial" w:hAnsi="Arial"/>
                <w:sz w:val="17"/>
                <w:szCs w:val="17"/>
                <w:color w:val="auto"/>
                <w:w w:val="90"/>
              </w:rPr>
              <w:t>19.3</w:t>
            </w:r>
          </w:p>
        </w:tc>
        <w:tc>
          <w:tcPr>
            <w:tcW w:w="8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11.1</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7"/>
                <w:szCs w:val="17"/>
                <w:color w:val="auto"/>
                <w:w w:val="84"/>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48.3</w:t>
            </w:r>
          </w:p>
        </w:tc>
        <w:tc>
          <w:tcPr>
            <w:tcW w:w="500" w:type="dxa"/>
            <w:vAlign w:val="bottom"/>
            <w:tcBorders>
              <w:top w:val="single" w:sz="8" w:color="auto"/>
              <w:bottom w:val="single" w:sz="8" w:color="auto"/>
            </w:tcBorders>
          </w:tcPr>
          <w:p>
            <w:pPr>
              <w:jc w:val="right"/>
              <w:ind w:right="294"/>
              <w:spacing w:after="0"/>
              <w:rPr>
                <w:sz w:val="20"/>
                <w:szCs w:val="20"/>
                <w:color w:val="auto"/>
              </w:rPr>
            </w:pPr>
            <w:r>
              <w:rPr>
                <w:rFonts w:ascii="Arial" w:cs="Arial" w:eastAsia="Arial" w:hAnsi="Arial"/>
                <w:sz w:val="17"/>
                <w:szCs w:val="17"/>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21.1</w:t>
            </w:r>
          </w:p>
        </w:tc>
        <w:tc>
          <w:tcPr>
            <w:tcW w:w="8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27.2</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220" w:type="dxa"/>
            <w:vAlign w:val="bottom"/>
            <w:tcBorders>
              <w:bottom w:val="single" w:sz="8" w:color="auto"/>
            </w:tcBorders>
            <w:gridSpan w:val="4"/>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220" w:type="dxa"/>
            <w:vAlign w:val="bottom"/>
            <w:tcBorders>
              <w:bottom w:val="single" w:sz="8" w:color="auto"/>
            </w:tcBorders>
            <w:gridSpan w:val="4"/>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2"/>
        </w:trPr>
        <w:tc>
          <w:tcPr>
            <w:tcW w:w="3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20" w:type="dxa"/>
            <w:vAlign w:val="bottom"/>
            <w:gridSpan w:val="4"/>
          </w:tcPr>
          <w:p>
            <w:pPr>
              <w:jc w:val="center"/>
              <w:ind w:left="174"/>
              <w:spacing w:after="0"/>
              <w:rPr>
                <w:sz w:val="20"/>
                <w:szCs w:val="20"/>
                <w:color w:val="auto"/>
              </w:rPr>
            </w:pPr>
            <w:r>
              <w:rPr>
                <w:rFonts w:ascii="Arial" w:cs="Arial" w:eastAsia="Arial" w:hAnsi="Arial"/>
                <w:sz w:val="17"/>
                <w:szCs w:val="17"/>
                <w:b w:val="1"/>
                <w:bCs w:val="1"/>
                <w:color w:val="auto"/>
                <w:w w:val="91"/>
              </w:rPr>
              <w:t>Six Months Ended June 30, 2022</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20" w:type="dxa"/>
            <w:vAlign w:val="bottom"/>
            <w:gridSpan w:val="4"/>
          </w:tcPr>
          <w:p>
            <w:pPr>
              <w:jc w:val="center"/>
              <w:ind w:left="174"/>
              <w:spacing w:after="0"/>
              <w:rPr>
                <w:sz w:val="20"/>
                <w:szCs w:val="20"/>
                <w:color w:val="auto"/>
              </w:rPr>
            </w:pPr>
            <w:r>
              <w:rPr>
                <w:rFonts w:ascii="Arial" w:cs="Arial" w:eastAsia="Arial" w:hAnsi="Arial"/>
                <w:sz w:val="17"/>
                <w:szCs w:val="17"/>
                <w:b w:val="1"/>
                <w:bCs w:val="1"/>
                <w:color w:val="auto"/>
                <w:w w:val="91"/>
              </w:rPr>
              <w:t>Six Months Ended June 30, 2021</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4629785</wp:posOffset>
            </wp:positionH>
            <wp:positionV relativeFrom="paragraph">
              <wp:posOffset>0</wp:posOffset>
            </wp:positionV>
            <wp:extent cx="251079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510790" cy="8255"/>
                    </a:xfrm>
                    <a:prstGeom prst="rect">
                      <a:avLst/>
                    </a:prstGeom>
                    <a:noFill/>
                  </pic:spPr>
                </pic:pic>
              </a:graphicData>
            </a:graphic>
          </wp:anchor>
        </w:drawing>
      </w:r>
    </w:p>
    <w:p>
      <w:pPr>
        <w:sectPr>
          <w:pgSz w:w="11900" w:h="16838" w:orient="portrait"/>
          <w:cols w:equalWidth="0" w:num="1">
            <w:col w:w="11240"/>
          </w:cols>
          <w:pgMar w:left="320" w:top="967" w:right="339" w:bottom="1440" w:gutter="0" w:footer="0" w:header="0"/>
        </w:sectPr>
      </w:pPr>
    </w:p>
    <w:tbl>
      <w:tblPr>
        <w:tblLayout w:type="fixed"/>
        <w:tblInd w:w="3240" w:type="dxa"/>
        <w:tblCellMar>
          <w:top w:w="0" w:type="dxa"/>
          <w:left w:w="0" w:type="dxa"/>
          <w:bottom w:w="0" w:type="dxa"/>
          <w:right w:w="0" w:type="dxa"/>
        </w:tblCellMar>
      </w:tblPr>
      <w:tr>
        <w:trPr>
          <w:trHeight w:val="161"/>
        </w:trPr>
        <w:tc>
          <w:tcPr>
            <w:tcW w:w="124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tcPr>
          <w:p>
            <w:pPr>
              <w:jc w:val="center"/>
              <w:spacing w:after="0" w:line="161" w:lineRule="exact"/>
              <w:rPr>
                <w:sz w:val="20"/>
                <w:szCs w:val="20"/>
                <w:color w:val="auto"/>
              </w:rPr>
            </w:pPr>
            <w:r>
              <w:rPr>
                <w:rFonts w:ascii="Arial" w:cs="Arial" w:eastAsia="Arial" w:hAnsi="Arial"/>
                <w:sz w:val="17"/>
                <w:szCs w:val="17"/>
                <w:b w:val="1"/>
                <w:bCs w:val="1"/>
                <w:color w:val="auto"/>
                <w:w w:val="92"/>
              </w:rPr>
              <w:t>Pledged MSR</w:t>
            </w:r>
          </w:p>
        </w:tc>
        <w:tc>
          <w:tcPr>
            <w:tcW w:w="0" w:type="dxa"/>
            <w:vAlign w:val="bottom"/>
          </w:tcPr>
          <w:p>
            <w:pPr>
              <w:spacing w:after="0"/>
              <w:rPr>
                <w:sz w:val="1"/>
                <w:szCs w:val="1"/>
                <w:color w:val="auto"/>
              </w:rPr>
            </w:pPr>
          </w:p>
        </w:tc>
      </w:tr>
      <w:tr>
        <w:trPr>
          <w:trHeight w:val="168"/>
        </w:trPr>
        <w:tc>
          <w:tcPr>
            <w:tcW w:w="1240" w:type="dxa"/>
            <w:vAlign w:val="bottom"/>
            <w:vMerge w:val="restart"/>
          </w:tcPr>
          <w:p>
            <w:pPr>
              <w:ind w:left="360"/>
              <w:spacing w:after="0"/>
              <w:rPr>
                <w:sz w:val="20"/>
                <w:szCs w:val="20"/>
                <w:color w:val="auto"/>
              </w:rPr>
            </w:pPr>
            <w:r>
              <w:rPr>
                <w:rFonts w:ascii="Arial" w:cs="Arial" w:eastAsia="Arial" w:hAnsi="Arial"/>
                <w:sz w:val="17"/>
                <w:szCs w:val="17"/>
                <w:b w:val="1"/>
                <w:bCs w:val="1"/>
                <w:color w:val="auto"/>
              </w:rPr>
              <w:t>Total (1)</w:t>
            </w:r>
          </w:p>
        </w:tc>
        <w:tc>
          <w:tcPr>
            <w:tcW w:w="1340" w:type="dxa"/>
            <w:vAlign w:val="bottom"/>
            <w:vMerge w:val="restart"/>
          </w:tcPr>
          <w:p>
            <w:pPr>
              <w:ind w:left="260"/>
              <w:spacing w:after="0"/>
              <w:rPr>
                <w:sz w:val="20"/>
                <w:szCs w:val="20"/>
                <w:color w:val="auto"/>
              </w:rPr>
            </w:pPr>
            <w:r>
              <w:rPr>
                <w:rFonts w:ascii="Arial" w:cs="Arial" w:eastAsia="Arial" w:hAnsi="Arial"/>
                <w:sz w:val="17"/>
                <w:szCs w:val="17"/>
                <w:b w:val="1"/>
                <w:bCs w:val="1"/>
                <w:color w:val="auto"/>
              </w:rPr>
              <w:t>Owned MSR</w:t>
            </w:r>
          </w:p>
        </w:tc>
        <w:tc>
          <w:tcPr>
            <w:tcW w:w="1380" w:type="dxa"/>
            <w:vAlign w:val="bottom"/>
          </w:tcPr>
          <w:p>
            <w:pPr>
              <w:jc w:val="center"/>
              <w:spacing w:after="0" w:line="168" w:lineRule="exact"/>
              <w:rPr>
                <w:sz w:val="20"/>
                <w:szCs w:val="20"/>
                <w:color w:val="auto"/>
              </w:rPr>
            </w:pPr>
            <w:r>
              <w:rPr>
                <w:rFonts w:ascii="Arial" w:cs="Arial" w:eastAsia="Arial" w:hAnsi="Arial"/>
                <w:sz w:val="17"/>
                <w:szCs w:val="17"/>
                <w:b w:val="1"/>
                <w:bCs w:val="1"/>
                <w:color w:val="auto"/>
              </w:rPr>
              <w:t>(NRZ and MAV)</w:t>
            </w:r>
          </w:p>
        </w:tc>
        <w:tc>
          <w:tcPr>
            <w:tcW w:w="0" w:type="dxa"/>
            <w:vAlign w:val="bottom"/>
          </w:tcPr>
          <w:p>
            <w:pPr>
              <w:spacing w:after="0"/>
              <w:rPr>
                <w:sz w:val="1"/>
                <w:szCs w:val="1"/>
                <w:color w:val="auto"/>
              </w:rPr>
            </w:pPr>
          </w:p>
        </w:tc>
      </w:tr>
      <w:tr>
        <w:trPr>
          <w:trHeight w:val="220"/>
        </w:trPr>
        <w:tc>
          <w:tcPr>
            <w:tcW w:w="1240" w:type="dxa"/>
            <w:vAlign w:val="bottom"/>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7"/>
                <w:szCs w:val="17"/>
                <w:b w:val="1"/>
                <w:bCs w:val="1"/>
                <w:color w:val="auto"/>
                <w:w w:val="96"/>
              </w:rPr>
              <w:t>(2)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820" w:type="dxa"/>
            <w:vAlign w:val="bottom"/>
            <w:vMerge w:val="restart"/>
          </w:tcPr>
          <w:p>
            <w:pPr>
              <w:spacing w:after="0"/>
              <w:rPr>
                <w:sz w:val="20"/>
                <w:szCs w:val="20"/>
                <w:color w:val="auto"/>
              </w:rPr>
            </w:pPr>
            <w:r>
              <w:rPr>
                <w:rFonts w:ascii="Arial" w:cs="Arial" w:eastAsia="Arial" w:hAnsi="Arial"/>
                <w:sz w:val="17"/>
                <w:szCs w:val="17"/>
                <w:b w:val="1"/>
                <w:bCs w:val="1"/>
                <w:color w:val="auto"/>
              </w:rPr>
              <w:t>Total (1)</w:t>
            </w:r>
          </w:p>
        </w:tc>
        <w:tc>
          <w:tcPr>
            <w:tcW w:w="2640" w:type="dxa"/>
            <w:vAlign w:val="bottom"/>
          </w:tcPr>
          <w:p>
            <w:pPr>
              <w:ind w:left="1620"/>
              <w:spacing w:after="0"/>
              <w:rPr>
                <w:sz w:val="20"/>
                <w:szCs w:val="20"/>
                <w:color w:val="auto"/>
              </w:rPr>
            </w:pPr>
            <w:r>
              <w:rPr>
                <w:rFonts w:ascii="Arial" w:cs="Arial" w:eastAsia="Arial" w:hAnsi="Arial"/>
                <w:sz w:val="17"/>
                <w:szCs w:val="17"/>
                <w:b w:val="1"/>
                <w:bCs w:val="1"/>
                <w:color w:val="auto"/>
                <w:w w:val="92"/>
              </w:rPr>
              <w:t>Pledged MSR</w:t>
            </w:r>
          </w:p>
        </w:tc>
        <w:tc>
          <w:tcPr>
            <w:tcW w:w="0" w:type="dxa"/>
            <w:vAlign w:val="bottom"/>
          </w:tcPr>
          <w:p>
            <w:pPr>
              <w:spacing w:after="0"/>
              <w:rPr>
                <w:sz w:val="1"/>
                <w:szCs w:val="1"/>
                <w:color w:val="auto"/>
              </w:rPr>
            </w:pPr>
          </w:p>
        </w:tc>
      </w:tr>
      <w:tr>
        <w:trPr>
          <w:trHeight w:val="220"/>
        </w:trPr>
        <w:tc>
          <w:tcPr>
            <w:tcW w:w="820" w:type="dxa"/>
            <w:vAlign w:val="bottom"/>
            <w:vMerge w:val="continue"/>
          </w:tcPr>
          <w:p>
            <w:pPr>
              <w:spacing w:after="0"/>
              <w:rPr>
                <w:sz w:val="19"/>
                <w:szCs w:val="19"/>
                <w:color w:val="auto"/>
              </w:rPr>
            </w:pPr>
          </w:p>
        </w:tc>
        <w:tc>
          <w:tcPr>
            <w:tcW w:w="2640" w:type="dxa"/>
            <w:vAlign w:val="bottom"/>
          </w:tcPr>
          <w:p>
            <w:pPr>
              <w:ind w:left="200"/>
              <w:spacing w:after="0"/>
              <w:rPr>
                <w:sz w:val="20"/>
                <w:szCs w:val="20"/>
                <w:color w:val="auto"/>
              </w:rPr>
            </w:pPr>
            <w:r>
              <w:rPr>
                <w:rFonts w:ascii="Arial" w:cs="Arial" w:eastAsia="Arial" w:hAnsi="Arial"/>
                <w:sz w:val="17"/>
                <w:szCs w:val="17"/>
                <w:b w:val="1"/>
                <w:bCs w:val="1"/>
                <w:color w:val="auto"/>
              </w:rPr>
              <w:t>Owned MSR (1)(NRZ) (2)</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7200" w:space="440"/>
            <w:col w:w="3600"/>
          </w:cols>
          <w:pgMar w:left="320" w:top="967" w:right="339" w:bottom="1440" w:gutter="0" w:footer="0" w:header="0"/>
          <w:type w:val="continuous"/>
        </w:sectPr>
      </w:pPr>
    </w:p>
    <w:tbl>
      <w:tblPr>
        <w:tblLayout w:type="fixed"/>
        <w:tblInd w:w="0" w:type="dxa"/>
        <w:tblCellMar>
          <w:top w:w="0" w:type="dxa"/>
          <w:left w:w="0" w:type="dxa"/>
          <w:bottom w:w="0" w:type="dxa"/>
          <w:right w:w="0" w:type="dxa"/>
        </w:tblCellMar>
      </w:tblPr>
      <w:tr>
        <w:trPr>
          <w:trHeight w:val="213"/>
        </w:trPr>
        <w:tc>
          <w:tcPr>
            <w:tcW w:w="3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Runoff (3)</w:t>
            </w:r>
          </w:p>
        </w:tc>
        <w:tc>
          <w:tcPr>
            <w:tcW w:w="460" w:type="dxa"/>
            <w:vAlign w:val="bottom"/>
            <w:tcBorders>
              <w:top w:val="single" w:sz="8" w:color="auto"/>
            </w:tcBorders>
            <w:shd w:val="clear" w:color="auto" w:fill="CCEEFF"/>
          </w:tcPr>
          <w:p>
            <w:pPr>
              <w:jc w:val="right"/>
              <w:ind w:right="274"/>
              <w:spacing w:after="0"/>
              <w:rPr>
                <w:sz w:val="20"/>
                <w:szCs w:val="20"/>
                <w:color w:val="auto"/>
              </w:rPr>
            </w:pPr>
            <w:r>
              <w:rPr>
                <w:rFonts w:ascii="Arial" w:cs="Arial" w:eastAsia="Arial" w:hAnsi="Arial"/>
                <w:sz w:val="17"/>
                <w:szCs w:val="17"/>
                <w:color w:val="auto"/>
                <w:w w:val="84"/>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(140.4)</w:t>
            </w:r>
          </w:p>
        </w:tc>
        <w:tc>
          <w:tcPr>
            <w:tcW w:w="480" w:type="dxa"/>
            <w:vAlign w:val="bottom"/>
            <w:tcBorders>
              <w:top w:val="single" w:sz="8" w:color="auto"/>
            </w:tcBorders>
            <w:shd w:val="clear" w:color="auto" w:fill="CCEEFF"/>
          </w:tcPr>
          <w:p>
            <w:pPr>
              <w:jc w:val="right"/>
              <w:ind w:right="294"/>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(83.4)</w:t>
            </w:r>
          </w:p>
        </w:tc>
        <w:tc>
          <w:tcPr>
            <w:tcW w:w="500" w:type="dxa"/>
            <w:vAlign w:val="bottom"/>
            <w:tcBorders>
              <w:top w:val="single" w:sz="8" w:color="auto"/>
            </w:tcBorders>
            <w:shd w:val="clear" w:color="auto" w:fill="CCEEFF"/>
          </w:tcPr>
          <w:p>
            <w:pPr>
              <w:jc w:val="right"/>
              <w:ind w:right="314"/>
              <w:spacing w:after="0"/>
              <w:rPr>
                <w:sz w:val="20"/>
                <w:szCs w:val="20"/>
                <w:color w:val="auto"/>
              </w:rPr>
            </w:pPr>
            <w:r>
              <w:rPr>
                <w:rFonts w:ascii="Arial" w:cs="Arial" w:eastAsia="Arial" w:hAnsi="Arial"/>
                <w:sz w:val="17"/>
                <w:szCs w:val="17"/>
                <w:color w:val="auto"/>
                <w:w w:val="84"/>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(57.0)</w:t>
            </w: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54"/>
              <w:spacing w:after="0"/>
              <w:rPr>
                <w:sz w:val="20"/>
                <w:szCs w:val="20"/>
                <w:color w:val="auto"/>
              </w:rPr>
            </w:pPr>
            <w:r>
              <w:rPr>
                <w:rFonts w:ascii="Arial" w:cs="Arial" w:eastAsia="Arial" w:hAnsi="Arial"/>
                <w:sz w:val="17"/>
                <w:szCs w:val="17"/>
                <w:color w:val="auto"/>
                <w:w w:val="84"/>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(106.2)</w:t>
            </w:r>
          </w:p>
        </w:tc>
        <w:tc>
          <w:tcPr>
            <w:tcW w:w="500" w:type="dxa"/>
            <w:vAlign w:val="bottom"/>
            <w:tcBorders>
              <w:top w:val="single" w:sz="8" w:color="auto"/>
            </w:tcBorders>
            <w:shd w:val="clear" w:color="auto" w:fill="CCEEFF"/>
          </w:tcPr>
          <w:p>
            <w:pPr>
              <w:jc w:val="right"/>
              <w:ind w:right="294"/>
              <w:spacing w:after="0"/>
              <w:rPr>
                <w:sz w:val="20"/>
                <w:szCs w:val="20"/>
                <w:color w:val="auto"/>
              </w:rPr>
            </w:pPr>
            <w:r>
              <w:rPr>
                <w:rFonts w:ascii="Arial" w:cs="Arial" w:eastAsia="Arial" w:hAnsi="Arial"/>
                <w:sz w:val="17"/>
                <w:szCs w:val="17"/>
                <w:color w:val="auto"/>
              </w:rPr>
              <w:t>$</w:t>
            </w:r>
          </w:p>
        </w:tc>
        <w:tc>
          <w:tcPr>
            <w:tcW w:w="820" w:type="dxa"/>
            <w:vAlign w:val="bottom"/>
            <w:tcBorders>
              <w:top w:val="single" w:sz="8" w:color="auto"/>
            </w:tcBorders>
            <w:shd w:val="clear" w:color="auto" w:fill="CCEEFF"/>
          </w:tcPr>
          <w:p>
            <w:pPr>
              <w:jc w:val="center"/>
              <w:ind w:left="274"/>
              <w:spacing w:after="0"/>
              <w:rPr>
                <w:sz w:val="20"/>
                <w:szCs w:val="20"/>
                <w:color w:val="auto"/>
              </w:rPr>
            </w:pPr>
            <w:r>
              <w:rPr>
                <w:rFonts w:ascii="Arial" w:cs="Arial" w:eastAsia="Arial" w:hAnsi="Arial"/>
                <w:sz w:val="17"/>
                <w:szCs w:val="17"/>
                <w:color w:val="auto"/>
                <w:w w:val="94"/>
              </w:rPr>
              <w:t>(67.6)</w:t>
            </w:r>
          </w:p>
        </w:tc>
        <w:tc>
          <w:tcPr>
            <w:tcW w:w="500" w:type="dxa"/>
            <w:vAlign w:val="bottom"/>
            <w:tcBorders>
              <w:top w:val="single" w:sz="8" w:color="auto"/>
            </w:tcBorders>
            <w:shd w:val="clear" w:color="auto" w:fill="CCEEFF"/>
          </w:tcPr>
          <w:p>
            <w:pPr>
              <w:jc w:val="right"/>
              <w:ind w:right="294"/>
              <w:spacing w:after="0"/>
              <w:rPr>
                <w:sz w:val="20"/>
                <w:szCs w:val="20"/>
                <w:color w:val="auto"/>
              </w:rPr>
            </w:pPr>
            <w:r>
              <w:rPr>
                <w:rFonts w:ascii="Arial" w:cs="Arial" w:eastAsia="Arial" w:hAnsi="Arial"/>
                <w:sz w:val="17"/>
                <w:szCs w:val="17"/>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(38.5)</w:t>
            </w:r>
          </w:p>
        </w:tc>
      </w:tr>
      <w:tr>
        <w:trPr>
          <w:trHeight w:val="220"/>
        </w:trPr>
        <w:tc>
          <w:tcPr>
            <w:tcW w:w="3240" w:type="dxa"/>
            <w:vAlign w:val="bottom"/>
          </w:tcPr>
          <w:p>
            <w:pPr>
              <w:ind w:left="20"/>
              <w:spacing w:after="0"/>
              <w:rPr>
                <w:sz w:val="20"/>
                <w:szCs w:val="20"/>
                <w:color w:val="auto"/>
              </w:rPr>
            </w:pPr>
            <w:r>
              <w:rPr>
                <w:rFonts w:ascii="Arial" w:cs="Arial" w:eastAsia="Arial" w:hAnsi="Arial"/>
                <w:sz w:val="17"/>
                <w:szCs w:val="17"/>
                <w:color w:val="auto"/>
              </w:rPr>
              <w:t>Rate and assumption change (1)</w:t>
            </w: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316.2</w:t>
            </w: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220.9</w:t>
            </w:r>
          </w:p>
        </w:tc>
        <w:tc>
          <w:tcPr>
            <w:tcW w:w="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95.3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28.3</w:t>
            </w:r>
          </w:p>
        </w:tc>
        <w:tc>
          <w:tcPr>
            <w:tcW w:w="500" w:type="dxa"/>
            <w:vAlign w:val="bottom"/>
          </w:tcPr>
          <w:p>
            <w:pPr>
              <w:spacing w:after="0"/>
              <w:rPr>
                <w:sz w:val="19"/>
                <w:szCs w:val="19"/>
                <w:color w:val="auto"/>
              </w:rPr>
            </w:pPr>
          </w:p>
        </w:tc>
        <w:tc>
          <w:tcPr>
            <w:tcW w:w="820" w:type="dxa"/>
            <w:vAlign w:val="bottom"/>
          </w:tcPr>
          <w:p>
            <w:pPr>
              <w:jc w:val="center"/>
              <w:ind w:left="314"/>
              <w:spacing w:after="0"/>
              <w:rPr>
                <w:sz w:val="20"/>
                <w:szCs w:val="20"/>
                <w:color w:val="auto"/>
              </w:rPr>
            </w:pPr>
            <w:r>
              <w:rPr>
                <w:rFonts w:ascii="Arial" w:cs="Arial" w:eastAsia="Arial" w:hAnsi="Arial"/>
                <w:sz w:val="17"/>
                <w:szCs w:val="17"/>
                <w:color w:val="auto"/>
                <w:w w:val="90"/>
              </w:rPr>
              <w:t>18.4</w:t>
            </w:r>
          </w:p>
        </w:tc>
        <w:tc>
          <w:tcPr>
            <w:tcW w:w="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9.9</w:t>
            </w:r>
          </w:p>
        </w:tc>
      </w:tr>
      <w:tr>
        <w:trPr>
          <w:trHeight w:val="220"/>
        </w:trPr>
        <w:tc>
          <w:tcPr>
            <w:tcW w:w="3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Hedging gain (loss)</w:t>
            </w: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(97.1)</w:t>
            </w: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(97.1)</w:t>
            </w:r>
          </w:p>
        </w:tc>
        <w:tc>
          <w:tcPr>
            <w:tcW w:w="5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(14.8)</w:t>
            </w:r>
          </w:p>
        </w:tc>
        <w:tc>
          <w:tcPr>
            <w:tcW w:w="500" w:type="dxa"/>
            <w:vAlign w:val="bottom"/>
            <w:shd w:val="clear" w:color="auto" w:fill="CCEEFF"/>
          </w:tcPr>
          <w:p>
            <w:pPr>
              <w:spacing w:after="0"/>
              <w:rPr>
                <w:sz w:val="19"/>
                <w:szCs w:val="19"/>
                <w:color w:val="auto"/>
              </w:rPr>
            </w:pPr>
          </w:p>
        </w:tc>
        <w:tc>
          <w:tcPr>
            <w:tcW w:w="820" w:type="dxa"/>
            <w:vAlign w:val="bottom"/>
            <w:shd w:val="clear" w:color="auto" w:fill="CCEEFF"/>
          </w:tcPr>
          <w:p>
            <w:pPr>
              <w:jc w:val="center"/>
              <w:ind w:left="274"/>
              <w:spacing w:after="0"/>
              <w:rPr>
                <w:sz w:val="20"/>
                <w:szCs w:val="20"/>
                <w:color w:val="auto"/>
              </w:rPr>
            </w:pPr>
            <w:r>
              <w:rPr>
                <w:rFonts w:ascii="Arial" w:cs="Arial" w:eastAsia="Arial" w:hAnsi="Arial"/>
                <w:sz w:val="17"/>
                <w:szCs w:val="17"/>
                <w:color w:val="auto"/>
                <w:w w:val="94"/>
              </w:rPr>
              <w:t>(14.8)</w:t>
            </w:r>
          </w:p>
        </w:tc>
        <w:tc>
          <w:tcPr>
            <w:tcW w:w="5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3"/>
        </w:trPr>
        <w:tc>
          <w:tcPr>
            <w:tcW w:w="3240" w:type="dxa"/>
            <w:vAlign w:val="bottom"/>
          </w:tcPr>
          <w:p>
            <w:pPr>
              <w:ind w:left="20"/>
              <w:spacing w:after="0"/>
              <w:rPr>
                <w:sz w:val="20"/>
                <w:szCs w:val="20"/>
                <w:color w:val="auto"/>
              </w:rPr>
            </w:pPr>
            <w:r>
              <w:rPr>
                <w:rFonts w:ascii="Arial" w:cs="Arial" w:eastAsia="Arial" w:hAnsi="Arial"/>
                <w:sz w:val="17"/>
                <w:szCs w:val="17"/>
                <w:color w:val="auto"/>
              </w:rPr>
              <w:t>Total</w:t>
            </w:r>
          </w:p>
        </w:tc>
        <w:tc>
          <w:tcPr>
            <w:tcW w:w="460" w:type="dxa"/>
            <w:vAlign w:val="bottom"/>
            <w:tcBorders>
              <w:top w:val="single" w:sz="8" w:color="auto"/>
              <w:bottom w:val="single" w:sz="8" w:color="auto"/>
            </w:tcBorders>
          </w:tcPr>
          <w:p>
            <w:pPr>
              <w:jc w:val="right"/>
              <w:ind w:right="274"/>
              <w:spacing w:after="0"/>
              <w:rPr>
                <w:sz w:val="20"/>
                <w:szCs w:val="20"/>
                <w:color w:val="auto"/>
              </w:rPr>
            </w:pPr>
            <w:r>
              <w:rPr>
                <w:rFonts w:ascii="Arial" w:cs="Arial" w:eastAsia="Arial" w:hAnsi="Arial"/>
                <w:sz w:val="17"/>
                <w:szCs w:val="17"/>
                <w:color w:val="auto"/>
                <w:w w:val="84"/>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78.7</w:t>
            </w:r>
          </w:p>
        </w:tc>
        <w:tc>
          <w:tcPr>
            <w:tcW w:w="480" w:type="dxa"/>
            <w:vAlign w:val="bottom"/>
            <w:tcBorders>
              <w:top w:val="single" w:sz="8" w:color="auto"/>
              <w:bottom w:val="single" w:sz="8" w:color="auto"/>
            </w:tcBorders>
          </w:tcPr>
          <w:p>
            <w:pPr>
              <w:jc w:val="right"/>
              <w:ind w:right="294"/>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40.4</w:t>
            </w:r>
          </w:p>
        </w:tc>
        <w:tc>
          <w:tcPr>
            <w:tcW w:w="50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7"/>
                <w:szCs w:val="17"/>
                <w:color w:val="auto"/>
                <w:w w:val="84"/>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38.3</w:t>
            </w:r>
          </w:p>
        </w:tc>
        <w:tc>
          <w:tcPr>
            <w:tcW w:w="100" w:type="dxa"/>
            <w:vAlign w:val="bottom"/>
          </w:tcPr>
          <w:p>
            <w:pPr>
              <w:spacing w:after="0"/>
              <w:rPr>
                <w:sz w:val="18"/>
                <w:szCs w:val="18"/>
                <w:color w:val="auto"/>
              </w:rPr>
            </w:pPr>
          </w:p>
        </w:tc>
        <w:tc>
          <w:tcPr>
            <w:tcW w:w="440" w:type="dxa"/>
            <w:vAlign w:val="bottom"/>
            <w:tcBorders>
              <w:top w:val="single" w:sz="8" w:color="auto"/>
              <w:bottom w:val="single" w:sz="8" w:color="auto"/>
            </w:tcBorders>
          </w:tcPr>
          <w:p>
            <w:pPr>
              <w:jc w:val="right"/>
              <w:ind w:right="254"/>
              <w:spacing w:after="0"/>
              <w:rPr>
                <w:sz w:val="20"/>
                <w:szCs w:val="20"/>
                <w:color w:val="auto"/>
              </w:rPr>
            </w:pPr>
            <w:r>
              <w:rPr>
                <w:rFonts w:ascii="Arial" w:cs="Arial" w:eastAsia="Arial" w:hAnsi="Arial"/>
                <w:sz w:val="17"/>
                <w:szCs w:val="17"/>
                <w:color w:val="auto"/>
                <w:w w:val="84"/>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(92.6)</w:t>
            </w:r>
          </w:p>
        </w:tc>
        <w:tc>
          <w:tcPr>
            <w:tcW w:w="500" w:type="dxa"/>
            <w:vAlign w:val="bottom"/>
            <w:tcBorders>
              <w:top w:val="single" w:sz="8" w:color="auto"/>
              <w:bottom w:val="single" w:sz="8" w:color="auto"/>
            </w:tcBorders>
          </w:tcPr>
          <w:p>
            <w:pPr>
              <w:jc w:val="right"/>
              <w:ind w:right="294"/>
              <w:spacing w:after="0"/>
              <w:rPr>
                <w:sz w:val="20"/>
                <w:szCs w:val="20"/>
                <w:color w:val="auto"/>
              </w:rPr>
            </w:pPr>
            <w:r>
              <w:rPr>
                <w:rFonts w:ascii="Arial" w:cs="Arial" w:eastAsia="Arial" w:hAnsi="Arial"/>
                <w:sz w:val="17"/>
                <w:szCs w:val="17"/>
                <w:color w:val="auto"/>
              </w:rPr>
              <w:t>$</w:t>
            </w:r>
          </w:p>
        </w:tc>
        <w:tc>
          <w:tcPr>
            <w:tcW w:w="820" w:type="dxa"/>
            <w:vAlign w:val="bottom"/>
            <w:tcBorders>
              <w:top w:val="single" w:sz="8" w:color="auto"/>
              <w:bottom w:val="single" w:sz="8" w:color="auto"/>
            </w:tcBorders>
          </w:tcPr>
          <w:p>
            <w:pPr>
              <w:jc w:val="center"/>
              <w:ind w:left="274"/>
              <w:spacing w:after="0"/>
              <w:rPr>
                <w:sz w:val="20"/>
                <w:szCs w:val="20"/>
                <w:color w:val="auto"/>
              </w:rPr>
            </w:pPr>
            <w:r>
              <w:rPr>
                <w:rFonts w:ascii="Arial" w:cs="Arial" w:eastAsia="Arial" w:hAnsi="Arial"/>
                <w:sz w:val="17"/>
                <w:szCs w:val="17"/>
                <w:color w:val="auto"/>
                <w:w w:val="94"/>
              </w:rPr>
              <w:t>(64.0)</w:t>
            </w:r>
          </w:p>
        </w:tc>
        <w:tc>
          <w:tcPr>
            <w:tcW w:w="500" w:type="dxa"/>
            <w:vAlign w:val="bottom"/>
            <w:tcBorders>
              <w:top w:val="single" w:sz="8" w:color="auto"/>
              <w:bottom w:val="single" w:sz="8" w:color="auto"/>
            </w:tcBorders>
          </w:tcPr>
          <w:p>
            <w:pPr>
              <w:jc w:val="right"/>
              <w:ind w:right="294"/>
              <w:spacing w:after="0"/>
              <w:rPr>
                <w:sz w:val="20"/>
                <w:szCs w:val="20"/>
                <w:color w:val="auto"/>
              </w:rPr>
            </w:pPr>
            <w:r>
              <w:rPr>
                <w:rFonts w:ascii="Arial" w:cs="Arial" w:eastAsia="Arial" w:hAnsi="Arial"/>
                <w:sz w:val="17"/>
                <w:szCs w:val="17"/>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(28.6)</w:t>
            </w:r>
          </w:p>
        </w:tc>
      </w:tr>
      <w:tr>
        <w:trPr>
          <w:trHeight w:val="20"/>
        </w:trPr>
        <w:tc>
          <w:tcPr>
            <w:tcW w:w="32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ind w:left="320" w:right="120" w:hanging="317"/>
        <w:spacing w:after="0" w:line="273" w:lineRule="auto"/>
        <w:tabs>
          <w:tab w:leader="none" w:pos="320" w:val="left"/>
        </w:tabs>
        <w:numPr>
          <w:ilvl w:val="0"/>
          <w:numId w:val="50"/>
        </w:numPr>
        <w:rPr>
          <w:rFonts w:ascii="Arial" w:cs="Arial" w:eastAsia="Arial" w:hAnsi="Arial"/>
          <w:sz w:val="14"/>
          <w:szCs w:val="14"/>
          <w:color w:val="auto"/>
        </w:rPr>
      </w:pPr>
      <w:r>
        <w:rPr>
          <w:rFonts w:ascii="Arial" w:cs="Arial" w:eastAsia="Arial" w:hAnsi="Arial"/>
          <w:sz w:val="14"/>
          <w:szCs w:val="14"/>
          <w:color w:val="auto"/>
        </w:rPr>
        <w:t>Excludes gains of $2.6 million and $1.1 million in the three months ended June 30, 2022 and March 31, 2022, respectively, and $3.7 million and $17.3 million in the six months ended June 30, 2022 and 2021, respectively, on the revaluation of MSRs purchased at a discount, that is reported in the Originations segment as MSR valuation adjustments, net. Effective in the first quarter of 2022, we recognize revaluation gains or losses on Fannie Mae MSRs purchased through the Agency Cash Window Program within the Servicing segment that were historically reported in the Originations segment. Segment results for prior periods have been recast to conform to the current segment presentation. Such revaluation gains were $— (nil) for the three and six months ended June 30, 2021.</w:t>
      </w:r>
    </w:p>
    <w:p>
      <w:pPr>
        <w:ind w:left="320" w:right="500" w:hanging="317"/>
        <w:spacing w:after="0" w:line="235" w:lineRule="auto"/>
        <w:tabs>
          <w:tab w:leader="none" w:pos="320" w:val="left"/>
        </w:tabs>
        <w:numPr>
          <w:ilvl w:val="0"/>
          <w:numId w:val="50"/>
        </w:numPr>
        <w:rPr>
          <w:rFonts w:ascii="Arial" w:cs="Arial" w:eastAsia="Arial" w:hAnsi="Arial"/>
          <w:sz w:val="16"/>
          <w:szCs w:val="16"/>
          <w:color w:val="auto"/>
        </w:rPr>
      </w:pPr>
      <w:r>
        <w:rPr>
          <w:rFonts w:ascii="Arial" w:cs="Arial" w:eastAsia="Arial" w:hAnsi="Arial"/>
          <w:sz w:val="16"/>
          <w:szCs w:val="16"/>
          <w:color w:val="auto"/>
        </w:rPr>
        <w:t>MSR sale transactions with NRZ and MAV that do not achieve sale accounting treatment. See Note 8 — MSR Transfers Not Qualifying for Sale Accounting for further information.</w:t>
      </w:r>
    </w:p>
    <w:p>
      <w:pPr>
        <w:spacing w:after="0" w:line="1" w:lineRule="exact"/>
        <w:rPr>
          <w:rFonts w:ascii="Arial" w:cs="Arial" w:eastAsia="Arial" w:hAnsi="Arial"/>
          <w:sz w:val="16"/>
          <w:szCs w:val="16"/>
          <w:color w:val="auto"/>
        </w:rPr>
      </w:pPr>
    </w:p>
    <w:p>
      <w:pPr>
        <w:ind w:left="320" w:hanging="317"/>
        <w:spacing w:after="0"/>
        <w:tabs>
          <w:tab w:leader="none" w:pos="32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terms runoff and realization of expected future cash flows may be used interchangeably within this discussion.</w:t>
      </w:r>
    </w:p>
    <w:p>
      <w:pPr>
        <w:spacing w:after="0" w:line="84" w:lineRule="exact"/>
        <w:rPr>
          <w:sz w:val="20"/>
          <w:szCs w:val="20"/>
          <w:color w:val="auto"/>
        </w:rPr>
      </w:pPr>
    </w:p>
    <w:p>
      <w:pPr>
        <w:ind w:right="100"/>
        <w:spacing w:after="0" w:line="278" w:lineRule="auto"/>
        <w:rPr>
          <w:sz w:val="20"/>
          <w:szCs w:val="20"/>
          <w:color w:val="auto"/>
        </w:rPr>
      </w:pPr>
      <w:r>
        <w:rPr>
          <w:rFonts w:ascii="Arial" w:cs="Arial" w:eastAsia="Arial" w:hAnsi="Arial"/>
          <w:sz w:val="16"/>
          <w:szCs w:val="16"/>
          <w:color w:val="auto"/>
        </w:rPr>
        <w:t>We reported a $30.4 million gain in MSR valuation adjustments, net for the three months ended June 30, 2022, comprised of a $19.3 million gain on our owned MSRs and an $11.1 million gain on the MSRs transferred to NRZ and MAV. The $19.3 million gain on our owned MSRs for the three months ended June 30, 2022 is comprised of a $75.2 million gain on the MSR portfolio attributable to rate and assumption changes, a $17.0 million hedging loss and $38.8 million MSR portfolio runoff. MSR portfolio runoff represents the realization of expected cash flows and yield based on projected borrower behavior, including scheduled amortization of the loan UPB together with projected voluntary prepayments. The fair value gain due to rate and assumption changes is primarily due to an increase in market interest rates (e.g., the 10-year swap rate increased by 65 basis points in the three months ended June 30, 2022).</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7" w:right="339" w:bottom="1440" w:gutter="0" w:footer="0" w:header="0"/>
          <w:type w:val="continuous"/>
        </w:sectPr>
      </w:pPr>
    </w:p>
    <w:bookmarkStart w:id="78" w:name="page79"/>
    <w:bookmarkEnd w:id="78"/>
    <w:p>
      <w:pPr>
        <w:ind w:right="20"/>
        <w:spacing w:after="0" w:line="276" w:lineRule="auto"/>
        <w:rPr>
          <w:sz w:val="20"/>
          <w:szCs w:val="20"/>
          <w:color w:val="auto"/>
        </w:rPr>
      </w:pPr>
      <w:r>
        <w:rPr>
          <w:rFonts w:ascii="Arial" w:cs="Arial" w:eastAsia="Arial" w:hAnsi="Arial"/>
          <w:sz w:val="16"/>
          <w:szCs w:val="16"/>
          <w:color w:val="auto"/>
        </w:rPr>
        <w:t>The $17.9 million decline in gain on MSR valuation adjustments, net for the three months ended June 30, 2022 as compared to the three months ended March 31, 2022 is primarily due to an $86.1 million decrease in the gain attributed to rate and assumption change, partially offset by a $63.0 million decrease in the hedging loss. The lower fair value gains attributed to rate and assumption change are driven by lower increases in rates in the respective periods. The 10-year swap rate increased by 65 basis points in the second quarter of 2022 and 83 basis points in the first quarter of 2022. Our MSR hedging policy is designed to reduce the volatility of the MSR portfolio fair value due to market interest rates. The changes in fair value of the MSR and hedging derivatives were not offset to the same extent as per their expected hedging sensitivity measures in the first quarter of 2022, mainly due to non-parallel changes in the interest rate curve, the basis risk inherent in the MSR profile and the available hedging instruments, and an over-hedge sensitivity profile. Refer to Item 3 - Quantitative and Qualitative Disclosures about Market Risk for further detail on our hedging strategy and its effectiveness.</w:t>
      </w:r>
    </w:p>
    <w:p>
      <w:pPr>
        <w:spacing w:after="0" w:line="65"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color w:val="auto"/>
        </w:rPr>
        <w:t>For the six months ended June 30, 2022, we reported a $78.7 million gain in MSR valuations, net as compared to a loss of $92.6 million for the six months ended June 30, 2021. This favorable variance of $171.3 million is due to a $287.9 million increase in the gain attributed to rate and assumption change offset by an $82.3 million increase in the hedging loss and a $34.3 million increase in runoff. The increase in gain on rate and assumption change is primarily due to an increase in market interest rates (e.g., the 10-year swap rate increased by 148 basis points in the six months ended June 30, 2022 and increased by 52 basis points in the six months ended June 30, 2021). The increase in runoff is due to an increase in MSR portfolio size due to significant bulk MSR acquisitions in 2021 partially offset by lower prepayment speeds in 2022.</w:t>
      </w:r>
    </w:p>
    <w:p>
      <w:pPr>
        <w:spacing w:after="0" w:line="78" w:lineRule="exact"/>
        <w:rPr>
          <w:sz w:val="20"/>
          <w:szCs w:val="20"/>
          <w:color w:val="auto"/>
        </w:rPr>
      </w:pPr>
    </w:p>
    <w:p>
      <w:pPr>
        <w:ind w:right="140"/>
        <w:spacing w:after="0" w:line="277" w:lineRule="auto"/>
        <w:rPr>
          <w:sz w:val="20"/>
          <w:szCs w:val="20"/>
          <w:color w:val="auto"/>
        </w:rPr>
      </w:pPr>
      <w:r>
        <w:rPr>
          <w:rFonts w:ascii="Arial" w:cs="Arial" w:eastAsia="Arial" w:hAnsi="Arial"/>
          <w:sz w:val="17"/>
          <w:szCs w:val="17"/>
          <w:color w:val="auto"/>
        </w:rPr>
        <w:t>The following table provides information regarding the changes in the fair value and the UPB of our portfolio of owned MSRs (excluding NRZ and MAV related MSRs) during the second quarter of 2022, with the breakdown by investor type.</w:t>
      </w:r>
    </w:p>
    <w:tbl>
      <w:tblPr>
        <w:tblLayout w:type="fixed"/>
        <w:tblInd w:w="0" w:type="dxa"/>
        <w:tblCellMar>
          <w:top w:w="0" w:type="dxa"/>
          <w:left w:w="0" w:type="dxa"/>
          <w:bottom w:w="0" w:type="dxa"/>
          <w:right w:w="0" w:type="dxa"/>
        </w:tblCellMar>
      </w:tblPr>
      <w:tr>
        <w:trPr>
          <w:trHeight w:val="198"/>
        </w:trPr>
        <w:tc>
          <w:tcPr>
            <w:tcW w:w="1760" w:type="dxa"/>
            <w:vAlign w:val="bottom"/>
            <w:tcBorders>
              <w:right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2140" w:type="dxa"/>
            <w:vAlign w:val="bottom"/>
            <w:tcBorders>
              <w:top w:val="single" w:sz="8" w:color="auto"/>
              <w:bottom w:val="single" w:sz="8" w:color="auto"/>
            </w:tcBorders>
            <w:gridSpan w:val="5"/>
          </w:tcPr>
          <w:p>
            <w:pPr>
              <w:jc w:val="right"/>
              <w:ind w:right="82"/>
              <w:spacing w:after="0"/>
              <w:rPr>
                <w:sz w:val="20"/>
                <w:szCs w:val="20"/>
                <w:color w:val="auto"/>
              </w:rPr>
            </w:pPr>
            <w:r>
              <w:rPr>
                <w:rFonts w:ascii="Arial" w:cs="Arial" w:eastAsia="Arial" w:hAnsi="Arial"/>
                <w:sz w:val="16"/>
                <w:szCs w:val="16"/>
                <w:b w:val="1"/>
                <w:bCs w:val="1"/>
                <w:color w:val="auto"/>
                <w:w w:val="98"/>
              </w:rPr>
              <w:t>Owned MSR Fair Value (1)</w:t>
            </w:r>
          </w:p>
        </w:tc>
        <w:tc>
          <w:tcPr>
            <w:tcW w:w="1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auto"/>
              <w:bottom w:val="single" w:sz="8" w:color="auto"/>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spacing w:after="0"/>
              <w:rPr>
                <w:sz w:val="17"/>
                <w:szCs w:val="17"/>
                <w:color w:val="auto"/>
              </w:rPr>
            </w:pPr>
          </w:p>
        </w:tc>
        <w:tc>
          <w:tcPr>
            <w:tcW w:w="2380" w:type="dxa"/>
            <w:vAlign w:val="bottom"/>
            <w:tcBorders>
              <w:top w:val="single" w:sz="8" w:color="auto"/>
              <w:bottom w:val="single" w:sz="8" w:color="auto"/>
            </w:tcBorders>
            <w:gridSpan w:val="7"/>
          </w:tcPr>
          <w:p>
            <w:pPr>
              <w:ind w:left="40"/>
              <w:spacing w:after="0"/>
              <w:rPr>
                <w:sz w:val="20"/>
                <w:szCs w:val="20"/>
                <w:color w:val="auto"/>
              </w:rPr>
            </w:pPr>
            <w:r>
              <w:rPr>
                <w:rFonts w:ascii="Arial" w:cs="Arial" w:eastAsia="Arial" w:hAnsi="Arial"/>
                <w:sz w:val="16"/>
                <w:szCs w:val="16"/>
                <w:b w:val="1"/>
                <w:bCs w:val="1"/>
                <w:color w:val="auto"/>
                <w:w w:val="89"/>
              </w:rPr>
              <w:t>Owned MSR UPB ($ in billions) (1)</w:t>
            </w:r>
          </w:p>
        </w:tc>
        <w:tc>
          <w:tcPr>
            <w:tcW w:w="22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spacing w:after="0"/>
              <w:rPr>
                <w:sz w:val="17"/>
                <w:szCs w:val="17"/>
                <w:color w:val="auto"/>
              </w:rPr>
            </w:pPr>
          </w:p>
        </w:tc>
        <w:tc>
          <w:tcPr>
            <w:tcW w:w="20" w:type="dxa"/>
            <w:vAlign w:val="bottom"/>
            <w:tcBorders>
              <w:top w:val="single" w:sz="8" w:color="auto"/>
              <w:bottom w:val="single" w:sz="8" w:color="auto"/>
            </w:tcBorders>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1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vMerge w:val="restart"/>
          </w:tcPr>
          <w:p>
            <w:pPr>
              <w:jc w:val="right"/>
              <w:ind w:right="182"/>
              <w:spacing w:after="0"/>
              <w:rPr>
                <w:sz w:val="20"/>
                <w:szCs w:val="20"/>
                <w:color w:val="auto"/>
              </w:rPr>
            </w:pPr>
            <w:r>
              <w:rPr>
                <w:rFonts w:ascii="Arial" w:cs="Arial" w:eastAsia="Arial" w:hAnsi="Arial"/>
                <w:sz w:val="16"/>
                <w:szCs w:val="16"/>
                <w:b w:val="1"/>
                <w:bCs w:val="1"/>
                <w:color w:val="auto"/>
              </w:rPr>
              <w:t>GSEs</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93"/>
              </w:rPr>
              <w:t>Ginnie Mae</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right"/>
              <w:ind w:right="222"/>
              <w:spacing w:after="0" w:line="151" w:lineRule="exact"/>
              <w:rPr>
                <w:sz w:val="20"/>
                <w:szCs w:val="20"/>
                <w:color w:val="auto"/>
              </w:rPr>
            </w:pPr>
            <w:r>
              <w:rPr>
                <w:rFonts w:ascii="Arial" w:cs="Arial" w:eastAsia="Arial" w:hAnsi="Arial"/>
                <w:sz w:val="16"/>
                <w:szCs w:val="16"/>
                <w:b w:val="1"/>
                <w:bCs w:val="1"/>
                <w:color w:val="auto"/>
              </w:rPr>
              <w:t>Non-</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vMerge w:val="restart"/>
          </w:tcPr>
          <w:p>
            <w:pPr>
              <w:jc w:val="right"/>
              <w:ind w:right="222"/>
              <w:spacing w:after="0"/>
              <w:rPr>
                <w:sz w:val="20"/>
                <w:szCs w:val="20"/>
                <w:color w:val="auto"/>
              </w:rPr>
            </w:pPr>
            <w:r>
              <w:rPr>
                <w:rFonts w:ascii="Arial" w:cs="Arial" w:eastAsia="Arial" w:hAnsi="Arial"/>
                <w:sz w:val="16"/>
                <w:szCs w:val="16"/>
                <w:b w:val="1"/>
                <w:bCs w:val="1"/>
                <w:color w:val="auto"/>
              </w:rPr>
              <w:t>Total</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vMerge w:val="restart"/>
          </w:tcPr>
          <w:p>
            <w:pPr>
              <w:jc w:val="right"/>
              <w:ind w:right="242"/>
              <w:spacing w:after="0"/>
              <w:rPr>
                <w:sz w:val="20"/>
                <w:szCs w:val="20"/>
                <w:color w:val="auto"/>
              </w:rPr>
            </w:pPr>
            <w:r>
              <w:rPr>
                <w:rFonts w:ascii="Arial" w:cs="Arial" w:eastAsia="Arial" w:hAnsi="Arial"/>
                <w:sz w:val="16"/>
                <w:szCs w:val="16"/>
                <w:b w:val="1"/>
                <w:bCs w:val="1"/>
                <w:color w:val="auto"/>
              </w:rPr>
              <w:t>GSEs</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Ginnie Mae</w:t>
            </w:r>
          </w:p>
        </w:tc>
        <w:tc>
          <w:tcPr>
            <w:tcW w:w="200" w:type="dxa"/>
            <w:vAlign w:val="bottom"/>
          </w:tcPr>
          <w:p>
            <w:pPr>
              <w:spacing w:after="0"/>
              <w:rPr>
                <w:sz w:val="13"/>
                <w:szCs w:val="13"/>
                <w:color w:val="auto"/>
              </w:rPr>
            </w:pPr>
          </w:p>
        </w:tc>
        <w:tc>
          <w:tcPr>
            <w:tcW w:w="960" w:type="dxa"/>
            <w:vAlign w:val="bottom"/>
            <w:gridSpan w:val="2"/>
          </w:tcPr>
          <w:p>
            <w:pPr>
              <w:ind w:left="160"/>
              <w:spacing w:after="0" w:line="151" w:lineRule="exact"/>
              <w:rPr>
                <w:sz w:val="20"/>
                <w:szCs w:val="20"/>
                <w:color w:val="auto"/>
              </w:rPr>
            </w:pPr>
            <w:r>
              <w:rPr>
                <w:rFonts w:ascii="Arial" w:cs="Arial" w:eastAsia="Arial" w:hAnsi="Arial"/>
                <w:sz w:val="16"/>
                <w:szCs w:val="16"/>
                <w:b w:val="1"/>
                <w:bCs w:val="1"/>
                <w:color w:val="auto"/>
              </w:rPr>
              <w:t>Non-</w:t>
            </w:r>
          </w:p>
        </w:tc>
        <w:tc>
          <w:tcPr>
            <w:tcW w:w="220" w:type="dxa"/>
            <w:vAlign w:val="bottom"/>
          </w:tcPr>
          <w:p>
            <w:pPr>
              <w:spacing w:after="0"/>
              <w:rPr>
                <w:sz w:val="13"/>
                <w:szCs w:val="13"/>
                <w:color w:val="auto"/>
              </w:rPr>
            </w:pPr>
          </w:p>
        </w:tc>
        <w:tc>
          <w:tcPr>
            <w:tcW w:w="820" w:type="dxa"/>
            <w:vAlign w:val="bottom"/>
            <w:vMerge w:val="restart"/>
          </w:tcPr>
          <w:p>
            <w:pPr>
              <w:jc w:val="right"/>
              <w:ind w:right="262"/>
              <w:spacing w:after="0"/>
              <w:rPr>
                <w:sz w:val="20"/>
                <w:szCs w:val="20"/>
                <w:color w:val="auto"/>
              </w:rPr>
            </w:pPr>
            <w:r>
              <w:rPr>
                <w:rFonts w:ascii="Arial" w:cs="Arial" w:eastAsia="Arial" w:hAnsi="Arial"/>
                <w:sz w:val="16"/>
                <w:szCs w:val="16"/>
                <w:b w:val="1"/>
                <w:bCs w:val="1"/>
                <w:color w:val="auto"/>
              </w:rPr>
              <w:t>Total</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17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vMerge w:val="restart"/>
          </w:tcPr>
          <w:p>
            <w:pPr>
              <w:jc w:val="right"/>
              <w:ind w:right="142"/>
              <w:spacing w:after="0"/>
              <w:rPr>
                <w:sz w:val="20"/>
                <w:szCs w:val="20"/>
                <w:color w:val="auto"/>
              </w:rPr>
            </w:pPr>
            <w:r>
              <w:rPr>
                <w:rFonts w:ascii="Arial" w:cs="Arial" w:eastAsia="Arial" w:hAnsi="Arial"/>
                <w:sz w:val="16"/>
                <w:szCs w:val="16"/>
                <w:b w:val="1"/>
                <w:bCs w:val="1"/>
                <w:color w:val="auto"/>
              </w:rPr>
              <w:t>Agency</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vMerge w:val="restart"/>
          </w:tcPr>
          <w:p>
            <w:pPr>
              <w:jc w:val="right"/>
              <w:ind w:right="202"/>
              <w:spacing w:after="0"/>
              <w:rPr>
                <w:sz w:val="20"/>
                <w:szCs w:val="20"/>
                <w:color w:val="auto"/>
              </w:rPr>
            </w:pPr>
            <w:r>
              <w:rPr>
                <w:rFonts w:ascii="Arial" w:cs="Arial" w:eastAsia="Arial" w:hAnsi="Arial"/>
                <w:sz w:val="16"/>
                <w:szCs w:val="16"/>
                <w:b w:val="1"/>
                <w:bCs w:val="1"/>
                <w:color w:val="auto"/>
                <w:w w:val="96"/>
              </w:rPr>
              <w:t>Agency</w:t>
            </w:r>
          </w:p>
        </w:tc>
        <w:tc>
          <w:tcPr>
            <w:tcW w:w="100" w:type="dxa"/>
            <w:vAlign w:val="bottom"/>
            <w:vMerge w:val="restart"/>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1760" w:type="dxa"/>
            <w:vAlign w:val="bottom"/>
            <w:tcBorders>
              <w:bottom w:val="single" w:sz="8" w:color="CCEEFF"/>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vMerge w:val="continue"/>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vMerge w:val="continue"/>
          </w:tcPr>
          <w:p>
            <w:pPr>
              <w:spacing w:after="0"/>
              <w:rPr>
                <w:sz w:val="7"/>
                <w:szCs w:val="7"/>
                <w:color w:val="auto"/>
              </w:rPr>
            </w:pPr>
          </w:p>
        </w:tc>
        <w:tc>
          <w:tcPr>
            <w:tcW w:w="100" w:type="dxa"/>
            <w:vAlign w:val="bottom"/>
            <w:tcBorders>
              <w:bottom w:val="single" w:sz="8" w:color="CCEEFF"/>
            </w:tcBorders>
            <w:vMerge w:val="continue"/>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176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Beginning balance</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1,204.4</w:t>
            </w:r>
          </w:p>
        </w:tc>
        <w:tc>
          <w:tcPr>
            <w:tcW w:w="38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120.1</w:t>
            </w:r>
          </w:p>
        </w:tc>
        <w:tc>
          <w:tcPr>
            <w:tcW w:w="44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110.7</w:t>
            </w:r>
          </w:p>
        </w:tc>
        <w:tc>
          <w:tcPr>
            <w:tcW w:w="480" w:type="dxa"/>
            <w:vAlign w:val="bottom"/>
            <w:gridSpan w:val="3"/>
            <w:shd w:val="clear" w:color="auto" w:fill="CCEEFF"/>
          </w:tcPr>
          <w:p>
            <w:pPr>
              <w:jc w:val="right"/>
              <w:ind w:right="82"/>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1,435.2</w:t>
            </w:r>
          </w:p>
        </w:tc>
        <w:tc>
          <w:tcPr>
            <w:tcW w:w="42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87.6</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16.6</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115.7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760" w:type="dxa"/>
            <w:vAlign w:val="bottom"/>
          </w:tcPr>
          <w:p>
            <w:pPr>
              <w:ind w:left="20"/>
              <w:spacing w:after="0"/>
              <w:rPr>
                <w:sz w:val="20"/>
                <w:szCs w:val="20"/>
                <w:color w:val="auto"/>
              </w:rPr>
            </w:pPr>
            <w:r>
              <w:rPr>
                <w:rFonts w:ascii="Arial" w:cs="Arial" w:eastAsia="Arial" w:hAnsi="Arial"/>
                <w:sz w:val="16"/>
                <w:szCs w:val="16"/>
                <w:color w:val="auto"/>
              </w:rPr>
              <w:t>Additions</w:t>
            </w: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76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New cap.</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60.2</w:t>
            </w: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3.6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0.5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1760" w:type="dxa"/>
            <w:vAlign w:val="bottom"/>
          </w:tcPr>
          <w:p>
            <w:pPr>
              <w:ind w:left="140"/>
              <w:spacing w:after="0"/>
              <w:rPr>
                <w:sz w:val="20"/>
                <w:szCs w:val="20"/>
                <w:color w:val="auto"/>
              </w:rPr>
            </w:pPr>
            <w:r>
              <w:rPr>
                <w:rFonts w:ascii="Arial" w:cs="Arial" w:eastAsia="Arial" w:hAnsi="Arial"/>
                <w:sz w:val="16"/>
                <w:szCs w:val="16"/>
                <w:color w:val="auto"/>
              </w:rPr>
              <w:t>Purchases</w:t>
            </w: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32.7</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jc w:val="right"/>
              <w:ind w:right="2"/>
              <w:spacing w:after="0"/>
              <w:rPr>
                <w:sz w:val="20"/>
                <w:szCs w:val="20"/>
                <w:color w:val="auto"/>
              </w:rPr>
            </w:pPr>
            <w:r>
              <w:rPr>
                <w:rFonts w:ascii="Arial" w:cs="Arial" w:eastAsia="Arial" w:hAnsi="Arial"/>
                <w:sz w:val="16"/>
                <w:szCs w:val="16"/>
                <w:color w:val="auto"/>
              </w:rPr>
              <w:t>36.9</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ind w:right="42"/>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ind w:right="42"/>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820" w:type="dxa"/>
            <w:vAlign w:val="bottom"/>
          </w:tcPr>
          <w:p>
            <w:pPr>
              <w:jc w:val="right"/>
              <w:ind w:right="42"/>
              <w:spacing w:after="0"/>
              <w:rPr>
                <w:sz w:val="20"/>
                <w:szCs w:val="20"/>
                <w:color w:val="auto"/>
              </w:rPr>
            </w:pPr>
            <w:r>
              <w:rPr>
                <w:rFonts w:ascii="Arial" w:cs="Arial" w:eastAsia="Arial" w:hAnsi="Arial"/>
                <w:sz w:val="16"/>
                <w:szCs w:val="16"/>
                <w:color w:val="auto"/>
              </w:rPr>
              <w:t>3.2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76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97"/>
              </w:rPr>
              <w:t>Sales/servicing transfers</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1760" w:type="dxa"/>
            <w:vAlign w:val="bottom"/>
          </w:tcPr>
          <w:p>
            <w:pPr>
              <w:ind w:left="20"/>
              <w:spacing w:after="0"/>
              <w:rPr>
                <w:sz w:val="20"/>
                <w:szCs w:val="20"/>
                <w:color w:val="auto"/>
              </w:rPr>
            </w:pPr>
            <w:r>
              <w:rPr>
                <w:rFonts w:ascii="Arial" w:cs="Arial" w:eastAsia="Arial" w:hAnsi="Arial"/>
                <w:sz w:val="16"/>
                <w:szCs w:val="16"/>
                <w:color w:val="auto"/>
              </w:rPr>
              <w:t>Sales/calls (3)</w:t>
            </w: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(33.4)</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(18.7)</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ind w:right="42"/>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ind w:right="42"/>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820" w:type="dxa"/>
            <w:vAlign w:val="bottom"/>
          </w:tcPr>
          <w:p>
            <w:pPr>
              <w:jc w:val="right"/>
              <w:ind w:right="42"/>
              <w:spacing w:after="0"/>
              <w:rPr>
                <w:sz w:val="20"/>
                <w:szCs w:val="20"/>
                <w:color w:val="auto"/>
              </w:rPr>
            </w:pPr>
            <w:r>
              <w:rPr>
                <w:rFonts w:ascii="Arial" w:cs="Arial" w:eastAsia="Arial" w:hAnsi="Arial"/>
                <w:sz w:val="16"/>
                <w:szCs w:val="16"/>
                <w:color w:val="auto"/>
              </w:rPr>
              <w:t>(2.7)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76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Change in fair value:</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1760" w:type="dxa"/>
            <w:vAlign w:val="bottom"/>
          </w:tcPr>
          <w:p>
            <w:pPr>
              <w:ind w:left="80"/>
              <w:spacing w:after="0" w:line="160" w:lineRule="exact"/>
              <w:rPr>
                <w:sz w:val="20"/>
                <w:szCs w:val="20"/>
                <w:color w:val="auto"/>
              </w:rPr>
            </w:pPr>
            <w:r>
              <w:rPr>
                <w:rFonts w:ascii="Arial" w:cs="Arial" w:eastAsia="Arial" w:hAnsi="Arial"/>
                <w:sz w:val="16"/>
                <w:szCs w:val="16"/>
                <w:color w:val="auto"/>
                <w:w w:val="97"/>
              </w:rPr>
              <w:t>Inputs and assumptions</w:t>
            </w:r>
          </w:p>
        </w:tc>
        <w:tc>
          <w:tcPr>
            <w:tcW w:w="24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59.0</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11.0</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vMerge w:val="restart"/>
          </w:tcPr>
          <w:p>
            <w:pPr>
              <w:jc w:val="right"/>
              <w:ind w:right="2"/>
              <w:spacing w:after="0"/>
              <w:rPr>
                <w:sz w:val="20"/>
                <w:szCs w:val="20"/>
                <w:color w:val="auto"/>
              </w:rPr>
            </w:pPr>
            <w:r>
              <w:rPr>
                <w:rFonts w:ascii="Arial" w:cs="Arial" w:eastAsia="Arial" w:hAnsi="Arial"/>
                <w:sz w:val="16"/>
                <w:szCs w:val="16"/>
                <w:color w:val="auto"/>
              </w:rPr>
              <w:t>7.2</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vMerge w:val="restart"/>
          </w:tcPr>
          <w:p>
            <w:pPr>
              <w:jc w:val="right"/>
              <w:ind w:right="2"/>
              <w:spacing w:after="0"/>
              <w:rPr>
                <w:sz w:val="20"/>
                <w:szCs w:val="20"/>
                <w:color w:val="auto"/>
              </w:rPr>
            </w:pPr>
            <w:r>
              <w:rPr>
                <w:rFonts w:ascii="Arial" w:cs="Arial" w:eastAsia="Arial" w:hAnsi="Arial"/>
                <w:sz w:val="16"/>
                <w:szCs w:val="16"/>
                <w:color w:val="auto"/>
              </w:rPr>
              <w:t>77.2</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vMerge w:val="restart"/>
          </w:tcPr>
          <w:p>
            <w:pPr>
              <w:jc w:val="right"/>
              <w:ind w:right="42"/>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3"/>
                <w:szCs w:val="13"/>
                <w:color w:val="auto"/>
              </w:rPr>
            </w:pPr>
          </w:p>
        </w:tc>
        <w:tc>
          <w:tcPr>
            <w:tcW w:w="96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3"/>
                <w:szCs w:val="13"/>
                <w:color w:val="auto"/>
              </w:rPr>
            </w:pPr>
          </w:p>
        </w:tc>
        <w:tc>
          <w:tcPr>
            <w:tcW w:w="820" w:type="dxa"/>
            <w:vAlign w:val="bottom"/>
            <w:vMerge w:val="restart"/>
          </w:tcPr>
          <w:p>
            <w:pPr>
              <w:jc w:val="right"/>
              <w:ind w:right="42"/>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1760" w:type="dxa"/>
            <w:vAlign w:val="bottom"/>
          </w:tcPr>
          <w:p>
            <w:pPr>
              <w:ind w:left="240"/>
              <w:spacing w:after="0"/>
              <w:rPr>
                <w:sz w:val="20"/>
                <w:szCs w:val="20"/>
                <w:color w:val="auto"/>
              </w:rPr>
            </w:pPr>
            <w:r>
              <w:rPr>
                <w:rFonts w:ascii="Arial" w:cs="Arial" w:eastAsia="Arial" w:hAnsi="Arial"/>
                <w:sz w:val="16"/>
                <w:szCs w:val="16"/>
                <w:color w:val="auto"/>
              </w:rPr>
              <w:t>(2)</w:t>
            </w:r>
          </w:p>
        </w:tc>
        <w:tc>
          <w:tcPr>
            <w:tcW w:w="24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760" w:type="dxa"/>
            <w:vAlign w:val="bottom"/>
            <w:tcBorders>
              <w:right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w w:val="93"/>
              </w:rPr>
              <w:t>Realization of cash flows</w:t>
            </w: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(31.4)</w:t>
            </w:r>
          </w:p>
        </w:tc>
        <w:tc>
          <w:tcPr>
            <w:tcW w:w="1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(38.1)</w:t>
            </w:r>
          </w:p>
        </w:tc>
        <w:tc>
          <w:tcPr>
            <w:tcW w:w="140" w:type="dxa"/>
            <w:vAlign w:val="bottom"/>
            <w:tcBorders>
              <w:bottom w:val="single" w:sz="8" w:color="auto"/>
              <w:righ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(2.8)</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(0.5)</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(0.8)</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1760" w:type="dxa"/>
            <w:vAlign w:val="bottom"/>
          </w:tcPr>
          <w:p>
            <w:pPr>
              <w:ind w:left="20"/>
              <w:spacing w:after="0"/>
              <w:rPr>
                <w:sz w:val="20"/>
                <w:szCs w:val="20"/>
                <w:color w:val="auto"/>
              </w:rPr>
            </w:pPr>
            <w:r>
              <w:rPr>
                <w:rFonts w:ascii="Arial" w:cs="Arial" w:eastAsia="Arial" w:hAnsi="Arial"/>
                <w:sz w:val="16"/>
                <w:szCs w:val="16"/>
                <w:b w:val="1"/>
                <w:bCs w:val="1"/>
                <w:color w:val="auto"/>
              </w:rPr>
              <w:t>Ending balance</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1,281.4</w:t>
            </w:r>
          </w:p>
        </w:tc>
        <w:tc>
          <w:tcPr>
            <w:tcW w:w="38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158.5</w:t>
            </w:r>
          </w:p>
        </w:tc>
        <w:tc>
          <w:tcPr>
            <w:tcW w:w="44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112.7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jc w:val="right"/>
              <w:ind w:right="82"/>
              <w:spacing w:after="0"/>
              <w:rPr>
                <w:sz w:val="20"/>
                <w:szCs w:val="20"/>
                <w:color w:val="auto"/>
              </w:rPr>
            </w:pPr>
            <w:r>
              <w:rPr>
                <w:rFonts w:ascii="Arial" w:cs="Arial" w:eastAsia="Arial" w:hAnsi="Arial"/>
                <w:sz w:val="16"/>
                <w:szCs w:val="16"/>
                <w:b w:val="1"/>
                <w:bCs w:val="1"/>
                <w:color w:val="auto"/>
                <w:w w:val="89"/>
              </w:rPr>
              <w:t>$</w:t>
            </w:r>
          </w:p>
        </w:tc>
        <w:tc>
          <w:tcPr>
            <w:tcW w:w="800" w:type="dxa"/>
            <w:vAlign w:val="bottom"/>
          </w:tcPr>
          <w:p>
            <w:pPr>
              <w:jc w:val="right"/>
              <w:ind w:right="2"/>
              <w:spacing w:after="0"/>
              <w:rPr>
                <w:sz w:val="20"/>
                <w:szCs w:val="20"/>
                <w:color w:val="auto"/>
              </w:rPr>
            </w:pPr>
            <w:r>
              <w:rPr>
                <w:rFonts w:ascii="Arial" w:cs="Arial" w:eastAsia="Arial" w:hAnsi="Arial"/>
                <w:sz w:val="16"/>
                <w:szCs w:val="16"/>
                <w:b w:val="1"/>
                <w:bCs w:val="1"/>
                <w:color w:val="auto"/>
              </w:rPr>
              <w:t>1,552.6</w:t>
            </w:r>
          </w:p>
        </w:tc>
        <w:tc>
          <w:tcPr>
            <w:tcW w:w="42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42"/>
              <w:spacing w:after="0"/>
              <w:rPr>
                <w:sz w:val="20"/>
                <w:szCs w:val="20"/>
                <w:color w:val="auto"/>
              </w:rPr>
            </w:pPr>
            <w:r>
              <w:rPr>
                <w:rFonts w:ascii="Arial" w:cs="Arial" w:eastAsia="Arial" w:hAnsi="Arial"/>
                <w:sz w:val="16"/>
                <w:szCs w:val="16"/>
                <w:color w:val="auto"/>
              </w:rPr>
              <w:t>88.9</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42"/>
              <w:spacing w:after="0"/>
              <w:rPr>
                <w:sz w:val="20"/>
                <w:szCs w:val="20"/>
                <w:color w:val="auto"/>
              </w:rPr>
            </w:pPr>
            <w:r>
              <w:rPr>
                <w:rFonts w:ascii="Arial" w:cs="Arial" w:eastAsia="Arial" w:hAnsi="Arial"/>
                <w:sz w:val="16"/>
                <w:szCs w:val="16"/>
                <w:color w:val="auto"/>
              </w:rPr>
              <w:t>11.6</w:t>
            </w:r>
          </w:p>
        </w:tc>
        <w:tc>
          <w:tcPr>
            <w:tcW w:w="100" w:type="dxa"/>
            <w:vAlign w:val="bottom"/>
          </w:tcPr>
          <w:p>
            <w:pPr>
              <w:spacing w:after="0"/>
              <w:rPr>
                <w:sz w:val="17"/>
                <w:szCs w:val="17"/>
                <w:color w:val="auto"/>
              </w:rPr>
            </w:pPr>
          </w:p>
        </w:tc>
        <w:tc>
          <w:tcPr>
            <w:tcW w:w="200" w:type="dxa"/>
            <w:vAlign w:val="bottom"/>
          </w:tcPr>
          <w:p>
            <w:pPr>
              <w:jc w:val="right"/>
              <w:ind w:right="22"/>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42"/>
              <w:spacing w:after="0"/>
              <w:rPr>
                <w:sz w:val="20"/>
                <w:szCs w:val="20"/>
                <w:color w:val="auto"/>
              </w:rPr>
            </w:pPr>
            <w:r>
              <w:rPr>
                <w:rFonts w:ascii="Arial" w:cs="Arial" w:eastAsia="Arial" w:hAnsi="Arial"/>
                <w:sz w:val="16"/>
                <w:szCs w:val="16"/>
                <w:color w:val="auto"/>
              </w:rPr>
              <w:t>15.8</w:t>
            </w:r>
          </w:p>
        </w:tc>
        <w:tc>
          <w:tcPr>
            <w:tcW w:w="100" w:type="dxa"/>
            <w:vAlign w:val="bottom"/>
          </w:tcPr>
          <w:p>
            <w:pPr>
              <w:spacing w:after="0"/>
              <w:rPr>
                <w:sz w:val="17"/>
                <w:szCs w:val="17"/>
                <w:color w:val="auto"/>
              </w:rPr>
            </w:pPr>
          </w:p>
        </w:tc>
        <w:tc>
          <w:tcPr>
            <w:tcW w:w="220" w:type="dxa"/>
            <w:vAlign w:val="bottom"/>
          </w:tcPr>
          <w:p>
            <w:pPr>
              <w:jc w:val="right"/>
              <w:ind w:right="42"/>
              <w:spacing w:after="0"/>
              <w:rPr>
                <w:sz w:val="20"/>
                <w:szCs w:val="20"/>
                <w:color w:val="auto"/>
              </w:rPr>
            </w:pPr>
            <w:r>
              <w:rPr>
                <w:rFonts w:ascii="Arial" w:cs="Arial" w:eastAsia="Arial" w:hAnsi="Arial"/>
                <w:sz w:val="16"/>
                <w:szCs w:val="16"/>
                <w:b w:val="1"/>
                <w:bCs w:val="1"/>
                <w:color w:val="auto"/>
                <w:w w:val="89"/>
              </w:rPr>
              <w:t>$</w:t>
            </w:r>
          </w:p>
        </w:tc>
        <w:tc>
          <w:tcPr>
            <w:tcW w:w="820" w:type="dxa"/>
            <w:vAlign w:val="bottom"/>
          </w:tcPr>
          <w:p>
            <w:pPr>
              <w:jc w:val="right"/>
              <w:ind w:right="42"/>
              <w:spacing w:after="0"/>
              <w:rPr>
                <w:sz w:val="20"/>
                <w:szCs w:val="20"/>
                <w:color w:val="auto"/>
              </w:rPr>
            </w:pPr>
            <w:r>
              <w:rPr>
                <w:rFonts w:ascii="Arial" w:cs="Arial" w:eastAsia="Arial" w:hAnsi="Arial"/>
                <w:sz w:val="16"/>
                <w:szCs w:val="16"/>
                <w:b w:val="1"/>
                <w:bCs w:val="1"/>
                <w:color w:val="auto"/>
              </w:rPr>
              <w:t>116.3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6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1760" w:type="dxa"/>
            <w:vAlign w:val="bottom"/>
            <w:tcBorders>
              <w:right w:val="single" w:sz="8" w:color="CCEEFF"/>
            </w:tcBorders>
            <w:shd w:val="clear" w:color="auto" w:fill="CCEEFF"/>
          </w:tcPr>
          <w:p>
            <w:pPr>
              <w:ind w:left="20"/>
              <w:spacing w:after="0" w:line="126" w:lineRule="exact"/>
              <w:rPr>
                <w:sz w:val="20"/>
                <w:szCs w:val="20"/>
                <w:color w:val="auto"/>
              </w:rPr>
            </w:pPr>
            <w:r>
              <w:rPr>
                <w:rFonts w:ascii="Arial" w:cs="Arial" w:eastAsia="Arial" w:hAnsi="Arial"/>
                <w:sz w:val="14"/>
                <w:szCs w:val="14"/>
                <w:color w:val="auto"/>
              </w:rPr>
              <w:t>Fair value</w:t>
            </w:r>
          </w:p>
        </w:tc>
        <w:tc>
          <w:tcPr>
            <w:tcW w:w="240" w:type="dxa"/>
            <w:vAlign w:val="bottom"/>
            <w:shd w:val="clear" w:color="auto" w:fill="CCEEFF"/>
          </w:tcPr>
          <w:p>
            <w:pPr>
              <w:spacing w:after="0"/>
              <w:rPr>
                <w:sz w:val="10"/>
                <w:szCs w:val="10"/>
                <w:color w:val="auto"/>
              </w:rPr>
            </w:pPr>
          </w:p>
        </w:tc>
        <w:tc>
          <w:tcPr>
            <w:tcW w:w="92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1.44 %</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1.37 %</w:t>
            </w: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4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0.71 %</w:t>
            </w: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940" w:type="dxa"/>
            <w:vAlign w:val="bottom"/>
            <w:tcBorders>
              <w:right w:val="single" w:sz="8" w:color="CCEEFF"/>
            </w:tcBorders>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1.34 %</w:t>
            </w:r>
          </w:p>
        </w:tc>
        <w:tc>
          <w:tcPr>
            <w:tcW w:w="100" w:type="dxa"/>
            <w:vAlign w:val="bottom"/>
            <w:tcBorders>
              <w:right w:val="single" w:sz="8" w:color="CCEEFF"/>
            </w:tcBorders>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176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 of UPB)</w:t>
            </w:r>
          </w:p>
        </w:tc>
        <w:tc>
          <w:tcPr>
            <w:tcW w:w="24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tcBorders>
              <w:right w:val="single" w:sz="8" w:color="CCEEFF"/>
            </w:tcBorders>
            <w:gridSpan w:val="2"/>
            <w:vMerge w:val="continue"/>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1760" w:type="dxa"/>
            <w:vAlign w:val="bottom"/>
          </w:tcPr>
          <w:p>
            <w:pPr>
              <w:ind w:left="20"/>
              <w:spacing w:after="0" w:line="160" w:lineRule="exact"/>
              <w:rPr>
                <w:sz w:val="20"/>
                <w:szCs w:val="20"/>
                <w:color w:val="auto"/>
              </w:rPr>
            </w:pPr>
            <w:r>
              <w:rPr>
                <w:rFonts w:ascii="Arial" w:cs="Arial" w:eastAsia="Arial" w:hAnsi="Arial"/>
                <w:sz w:val="16"/>
                <w:szCs w:val="16"/>
                <w:color w:val="auto"/>
              </w:rPr>
              <w:t>Fair value</w:t>
            </w:r>
          </w:p>
        </w:tc>
        <w:tc>
          <w:tcPr>
            <w:tcW w:w="24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5.63</w:t>
            </w:r>
          </w:p>
        </w:tc>
        <w:tc>
          <w:tcPr>
            <w:tcW w:w="380" w:type="dxa"/>
            <w:vAlign w:val="bottom"/>
            <w:gridSpan w:val="3"/>
            <w:vMerge w:val="restart"/>
          </w:tcPr>
          <w:p>
            <w:pPr>
              <w:jc w:val="right"/>
              <w:ind w:right="260"/>
              <w:spacing w:after="0"/>
              <w:rPr>
                <w:sz w:val="20"/>
                <w:szCs w:val="20"/>
                <w:color w:val="auto"/>
              </w:rPr>
            </w:pPr>
            <w:r>
              <w:rPr>
                <w:rFonts w:ascii="Arial" w:cs="Arial" w:eastAsia="Arial" w:hAnsi="Arial"/>
                <w:sz w:val="16"/>
                <w:szCs w:val="16"/>
                <w:color w:val="auto"/>
              </w:rPr>
              <w:t>x</w:t>
            </w: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3.81</w:t>
            </w:r>
          </w:p>
        </w:tc>
        <w:tc>
          <w:tcPr>
            <w:tcW w:w="440" w:type="dxa"/>
            <w:vAlign w:val="bottom"/>
            <w:gridSpan w:val="3"/>
            <w:vMerge w:val="restart"/>
          </w:tcPr>
          <w:p>
            <w:pPr>
              <w:jc w:val="right"/>
              <w:ind w:right="340"/>
              <w:spacing w:after="0"/>
              <w:rPr>
                <w:sz w:val="20"/>
                <w:szCs w:val="20"/>
                <w:color w:val="auto"/>
              </w:rPr>
            </w:pPr>
            <w:r>
              <w:rPr>
                <w:rFonts w:ascii="Arial" w:cs="Arial" w:eastAsia="Arial" w:hAnsi="Arial"/>
                <w:sz w:val="16"/>
                <w:szCs w:val="16"/>
                <w:color w:val="auto"/>
                <w:w w:val="99"/>
              </w:rPr>
              <w:t>x</w:t>
            </w:r>
          </w:p>
        </w:tc>
        <w:tc>
          <w:tcPr>
            <w:tcW w:w="820" w:type="dxa"/>
            <w:vAlign w:val="bottom"/>
            <w:vMerge w:val="restart"/>
          </w:tcPr>
          <w:p>
            <w:pPr>
              <w:jc w:val="right"/>
              <w:ind w:right="2"/>
              <w:spacing w:after="0"/>
              <w:rPr>
                <w:sz w:val="20"/>
                <w:szCs w:val="20"/>
                <w:color w:val="auto"/>
              </w:rPr>
            </w:pPr>
            <w:r>
              <w:rPr>
                <w:rFonts w:ascii="Arial" w:cs="Arial" w:eastAsia="Arial" w:hAnsi="Arial"/>
                <w:sz w:val="16"/>
                <w:szCs w:val="16"/>
                <w:color w:val="auto"/>
              </w:rPr>
              <w:t>2.17</w:t>
            </w:r>
          </w:p>
        </w:tc>
        <w:tc>
          <w:tcPr>
            <w:tcW w:w="480" w:type="dxa"/>
            <w:vAlign w:val="bottom"/>
            <w:gridSpan w:val="3"/>
            <w:vMerge w:val="restart"/>
          </w:tcPr>
          <w:p>
            <w:pPr>
              <w:jc w:val="right"/>
              <w:ind w:right="302"/>
              <w:spacing w:after="0"/>
              <w:rPr>
                <w:sz w:val="20"/>
                <w:szCs w:val="20"/>
                <w:color w:val="auto"/>
              </w:rPr>
            </w:pPr>
            <w:r>
              <w:rPr>
                <w:rFonts w:ascii="Arial" w:cs="Arial" w:eastAsia="Arial" w:hAnsi="Arial"/>
                <w:sz w:val="16"/>
                <w:szCs w:val="16"/>
                <w:color w:val="auto"/>
                <w:w w:val="99"/>
              </w:rPr>
              <w:t>x</w:t>
            </w:r>
          </w:p>
        </w:tc>
        <w:tc>
          <w:tcPr>
            <w:tcW w:w="800" w:type="dxa"/>
            <w:vAlign w:val="bottom"/>
            <w:vMerge w:val="restart"/>
          </w:tcPr>
          <w:p>
            <w:pPr>
              <w:jc w:val="right"/>
              <w:ind w:right="2"/>
              <w:spacing w:after="0"/>
              <w:rPr>
                <w:sz w:val="20"/>
                <w:szCs w:val="20"/>
                <w:color w:val="auto"/>
              </w:rPr>
            </w:pPr>
            <w:r>
              <w:rPr>
                <w:rFonts w:ascii="Arial" w:cs="Arial" w:eastAsia="Arial" w:hAnsi="Arial"/>
                <w:sz w:val="16"/>
                <w:szCs w:val="16"/>
                <w:color w:val="auto"/>
              </w:rPr>
              <w:t>4.83</w:t>
            </w:r>
          </w:p>
        </w:tc>
        <w:tc>
          <w:tcPr>
            <w:tcW w:w="420" w:type="dxa"/>
            <w:vAlign w:val="bottom"/>
            <w:gridSpan w:val="3"/>
            <w:vMerge w:val="restart"/>
          </w:tcPr>
          <w:p>
            <w:pPr>
              <w:jc w:val="right"/>
              <w:ind w:right="320"/>
              <w:spacing w:after="0"/>
              <w:rPr>
                <w:sz w:val="20"/>
                <w:szCs w:val="20"/>
                <w:color w:val="auto"/>
              </w:rPr>
            </w:pPr>
            <w:r>
              <w:rPr>
                <w:rFonts w:ascii="Arial" w:cs="Arial" w:eastAsia="Arial" w:hAnsi="Arial"/>
                <w:sz w:val="16"/>
                <w:szCs w:val="16"/>
                <w:color w:val="auto"/>
                <w:w w:val="99"/>
              </w:rPr>
              <w:t>x</w:t>
            </w: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760" w:type="dxa"/>
            <w:vAlign w:val="bottom"/>
          </w:tcPr>
          <w:p>
            <w:pPr>
              <w:ind w:left="20"/>
              <w:spacing w:after="0"/>
              <w:rPr>
                <w:sz w:val="20"/>
                <w:szCs w:val="20"/>
                <w:color w:val="auto"/>
              </w:rPr>
            </w:pPr>
            <w:r>
              <w:rPr>
                <w:rFonts w:ascii="Arial" w:cs="Arial" w:eastAsia="Arial" w:hAnsi="Arial"/>
                <w:sz w:val="16"/>
                <w:szCs w:val="16"/>
                <w:color w:val="auto"/>
              </w:rPr>
              <w:t>multiple (4)</w:t>
            </w:r>
          </w:p>
        </w:tc>
        <w:tc>
          <w:tcPr>
            <w:tcW w:w="24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380" w:type="dxa"/>
            <w:vAlign w:val="bottom"/>
            <w:gridSpan w:val="3"/>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440" w:type="dxa"/>
            <w:vAlign w:val="bottom"/>
            <w:gridSpan w:val="3"/>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480" w:type="dxa"/>
            <w:vAlign w:val="bottom"/>
            <w:gridSpan w:val="3"/>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420" w:type="dxa"/>
            <w:vAlign w:val="bottom"/>
            <w:gridSpan w:val="3"/>
            <w:vMerge w:val="continue"/>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1" w:lineRule="exact"/>
        <w:rPr>
          <w:sz w:val="20"/>
          <w:szCs w:val="20"/>
          <w:color w:val="auto"/>
        </w:rPr>
      </w:pPr>
    </w:p>
    <w:p>
      <w:pPr>
        <w:ind w:left="320" w:hanging="317"/>
        <w:spacing w:after="0"/>
        <w:tabs>
          <w:tab w:leader="none" w:pos="3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See Note 7 – Mortgage Servicing and Note 8 — MSR Transfers Not Qualifying for Sale Accounting for further information on the NRZ and MAV portfolios.</w:t>
      </w:r>
    </w:p>
    <w:p>
      <w:pPr>
        <w:spacing w:after="0" w:line="8" w:lineRule="exact"/>
        <w:rPr>
          <w:rFonts w:ascii="Arial" w:cs="Arial" w:eastAsia="Arial" w:hAnsi="Arial"/>
          <w:sz w:val="16"/>
          <w:szCs w:val="16"/>
          <w:color w:val="auto"/>
        </w:rPr>
      </w:pPr>
    </w:p>
    <w:p>
      <w:pPr>
        <w:ind w:left="320" w:hanging="317"/>
        <w:spacing w:after="0" w:line="235" w:lineRule="auto"/>
        <w:tabs>
          <w:tab w:leader="none" w:pos="3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Mostly changes in interest rates, except for gains of $2.6 million on the revaluation of purchased MSRs, that are reported in the Originations segment.</w:t>
      </w:r>
    </w:p>
    <w:p>
      <w:pPr>
        <w:ind w:left="320" w:hanging="317"/>
        <w:spacing w:after="0" w:line="235" w:lineRule="auto"/>
        <w:tabs>
          <w:tab w:leader="none" w:pos="3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Includes $33.4 million fair value and $2.4 billion UPB of MSR sales to MAV that did not achieve sale accounting treatment.</w:t>
      </w:r>
    </w:p>
    <w:p>
      <w:pPr>
        <w:ind w:left="320" w:hanging="317"/>
        <w:spacing w:after="0"/>
        <w:tabs>
          <w:tab w:leader="none" w:pos="3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Multiple of average servicing fee and UPB.</w:t>
      </w:r>
    </w:p>
    <w:p>
      <w:pPr>
        <w:spacing w:after="0" w:line="84" w:lineRule="exact"/>
        <w:rPr>
          <w:sz w:val="20"/>
          <w:szCs w:val="20"/>
          <w:color w:val="auto"/>
        </w:rPr>
      </w:pPr>
    </w:p>
    <w:p>
      <w:pPr>
        <w:ind w:right="80"/>
        <w:spacing w:after="0" w:line="281" w:lineRule="auto"/>
        <w:rPr>
          <w:sz w:val="20"/>
          <w:szCs w:val="20"/>
          <w:color w:val="auto"/>
        </w:rPr>
      </w:pPr>
      <w:r>
        <w:rPr>
          <w:rFonts w:ascii="Arial" w:cs="Arial" w:eastAsia="Arial" w:hAnsi="Arial"/>
          <w:sz w:val="16"/>
          <w:szCs w:val="16"/>
          <w:color w:val="auto"/>
        </w:rPr>
        <w:t>The $11.1 million gain on the transferred MSRs not qualifying for sale accounting (transferred to NRZ and MAV) for the three months ended June 30, 2022 includes $39.9 million fair value gain attributable to rates and assumptions and $28.8 million runoff. The $39.9 million fair value gain attributable to rates and assumptions during the three months ended June 30, 2022 is mostly driven by the increase in market rates during the quarter. This MSR fair value gain is partially offset by a fair value loss recorded on the associated NRZ and MAV MSR pledged liability. The runoff is explained by the same factors underlying our owned MSR, discussed above, the transfers of MSRs to MAV beginning in the third quarter of 2021 and the decline in the NRZ MSR portfolio.</w:t>
      </w:r>
    </w:p>
    <w:p>
      <w:pPr>
        <w:spacing w:after="0" w:line="200" w:lineRule="exact"/>
        <w:rPr>
          <w:sz w:val="20"/>
          <w:szCs w:val="20"/>
          <w:color w:val="auto"/>
        </w:rPr>
      </w:pPr>
    </w:p>
    <w:p>
      <w:pPr>
        <w:spacing w:after="0" w:line="390"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60"/>
          </w:cols>
          <w:pgMar w:left="320" w:top="967" w:right="31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219"/>
        </w:trPr>
        <w:tc>
          <w:tcPr>
            <w:tcW w:w="3240" w:type="dxa"/>
            <w:vAlign w:val="bottom"/>
          </w:tcPr>
          <w:p>
            <w:pPr>
              <w:spacing w:after="0"/>
              <w:rPr>
                <w:sz w:val="20"/>
                <w:szCs w:val="20"/>
                <w:color w:val="auto"/>
              </w:rPr>
            </w:pPr>
            <w:r>
              <w:rPr>
                <w:rFonts w:ascii="Arial" w:cs="Arial" w:eastAsia="Arial" w:hAnsi="Arial"/>
                <w:sz w:val="17"/>
                <w:szCs w:val="17"/>
                <w:b w:val="1"/>
                <w:bCs w:val="1"/>
                <w:i w:val="1"/>
                <w:iCs w:val="1"/>
                <w:color w:val="auto"/>
              </w:rPr>
              <w:t>Compensation and Benefits</w:t>
            </w: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374"/>
        </w:trPr>
        <w:tc>
          <w:tcPr>
            <w:tcW w:w="32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4"/>
          </w:tcPr>
          <w:p>
            <w:pPr>
              <w:ind w:left="400"/>
              <w:spacing w:after="0"/>
              <w:rPr>
                <w:sz w:val="20"/>
                <w:szCs w:val="20"/>
                <w:color w:val="auto"/>
              </w:rPr>
            </w:pPr>
            <w:r>
              <w:rPr>
                <w:rFonts w:ascii="Arial" w:cs="Arial" w:eastAsia="Arial" w:hAnsi="Arial"/>
                <w:sz w:val="17"/>
                <w:szCs w:val="17"/>
                <w:b w:val="1"/>
                <w:bCs w:val="1"/>
                <w:color w:val="auto"/>
              </w:rPr>
              <w:t>Three Months Ended</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4"/>
          </w:tcPr>
          <w:p>
            <w:pPr>
              <w:jc w:val="right"/>
              <w:ind w:right="674"/>
              <w:spacing w:after="0"/>
              <w:rPr>
                <w:sz w:val="20"/>
                <w:szCs w:val="20"/>
                <w:color w:val="auto"/>
              </w:rPr>
            </w:pPr>
            <w:r>
              <w:rPr>
                <w:rFonts w:ascii="Arial" w:cs="Arial" w:eastAsia="Arial" w:hAnsi="Arial"/>
                <w:sz w:val="17"/>
                <w:szCs w:val="17"/>
                <w:b w:val="1"/>
                <w:bCs w:val="1"/>
                <w:color w:val="auto"/>
              </w:rPr>
              <w:t>Six Months Ended</w:t>
            </w: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39"/>
        </w:trPr>
        <w:tc>
          <w:tcPr>
            <w:tcW w:w="3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gridSpan w:val="2"/>
          </w:tcPr>
          <w:p>
            <w:pPr>
              <w:ind w:left="140"/>
              <w:spacing w:after="0"/>
              <w:rPr>
                <w:sz w:val="20"/>
                <w:szCs w:val="20"/>
                <w:color w:val="auto"/>
              </w:rPr>
            </w:pPr>
            <w:r>
              <w:rPr>
                <w:rFonts w:ascii="Arial" w:cs="Arial" w:eastAsia="Arial" w:hAnsi="Arial"/>
                <w:sz w:val="17"/>
                <w:szCs w:val="17"/>
                <w:b w:val="1"/>
                <w:bCs w:val="1"/>
                <w:color w:val="auto"/>
              </w:rPr>
              <w:t>June 30,</w:t>
            </w:r>
          </w:p>
        </w:tc>
        <w:tc>
          <w:tcPr>
            <w:tcW w:w="220" w:type="dxa"/>
            <w:vAlign w:val="bottom"/>
          </w:tcPr>
          <w:p>
            <w:pPr>
              <w:spacing w:after="0"/>
              <w:rPr>
                <w:sz w:val="20"/>
                <w:szCs w:val="20"/>
                <w:color w:val="auto"/>
              </w:rPr>
            </w:pPr>
          </w:p>
        </w:tc>
        <w:tc>
          <w:tcPr>
            <w:tcW w:w="1160" w:type="dxa"/>
            <w:vAlign w:val="bottom"/>
          </w:tcPr>
          <w:p>
            <w:pPr>
              <w:jc w:val="center"/>
              <w:ind w:right="114"/>
              <w:spacing w:after="0"/>
              <w:rPr>
                <w:sz w:val="20"/>
                <w:szCs w:val="20"/>
                <w:color w:val="auto"/>
              </w:rPr>
            </w:pPr>
            <w:r>
              <w:rPr>
                <w:rFonts w:ascii="Arial" w:cs="Arial" w:eastAsia="Arial" w:hAnsi="Arial"/>
                <w:sz w:val="17"/>
                <w:szCs w:val="17"/>
                <w:b w:val="1"/>
                <w:bCs w:val="1"/>
                <w:color w:val="auto"/>
                <w:w w:val="96"/>
              </w:rPr>
              <w:t>March 31,</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gridSpan w:val="2"/>
          </w:tcPr>
          <w:p>
            <w:pPr>
              <w:ind w:left="140"/>
              <w:spacing w:after="0"/>
              <w:rPr>
                <w:sz w:val="20"/>
                <w:szCs w:val="20"/>
                <w:color w:val="auto"/>
              </w:rPr>
            </w:pPr>
            <w:r>
              <w:rPr>
                <w:rFonts w:ascii="Arial" w:cs="Arial" w:eastAsia="Arial" w:hAnsi="Arial"/>
                <w:sz w:val="17"/>
                <w:szCs w:val="17"/>
                <w:b w:val="1"/>
                <w:bCs w:val="1"/>
                <w:color w:val="auto"/>
              </w:rPr>
              <w:t>June 30,</w:t>
            </w:r>
          </w:p>
        </w:tc>
        <w:tc>
          <w:tcPr>
            <w:tcW w:w="240" w:type="dxa"/>
            <w:vAlign w:val="bottom"/>
          </w:tcPr>
          <w:p>
            <w:pPr>
              <w:spacing w:after="0"/>
              <w:rPr>
                <w:sz w:val="20"/>
                <w:szCs w:val="20"/>
                <w:color w:val="auto"/>
              </w:rPr>
            </w:pPr>
          </w:p>
        </w:tc>
        <w:tc>
          <w:tcPr>
            <w:tcW w:w="1140" w:type="dxa"/>
            <w:vAlign w:val="bottom"/>
          </w:tcPr>
          <w:p>
            <w:pPr>
              <w:jc w:val="right"/>
              <w:ind w:right="294"/>
              <w:spacing w:after="0"/>
              <w:rPr>
                <w:sz w:val="20"/>
                <w:szCs w:val="20"/>
                <w:color w:val="auto"/>
              </w:rPr>
            </w:pPr>
            <w:r>
              <w:rPr>
                <w:rFonts w:ascii="Arial" w:cs="Arial" w:eastAsia="Arial" w:hAnsi="Arial"/>
                <w:sz w:val="17"/>
                <w:szCs w:val="17"/>
                <w:b w:val="1"/>
                <w:bCs w:val="1"/>
                <w:color w:val="auto"/>
              </w:rPr>
              <w:t>June 30,</w:t>
            </w: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58"/>
        </w:trPr>
        <w:tc>
          <w:tcPr>
            <w:tcW w:w="324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14"/>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14"/>
              <w:spacing w:after="0"/>
              <w:rPr>
                <w:sz w:val="20"/>
                <w:szCs w:val="20"/>
                <w:color w:val="auto"/>
              </w:rPr>
            </w:pPr>
            <w:r>
              <w:rPr>
                <w:rFonts w:ascii="Arial" w:cs="Arial" w:eastAsia="Arial" w:hAnsi="Arial"/>
                <w:sz w:val="17"/>
                <w:szCs w:val="17"/>
                <w:b w:val="1"/>
                <w:bCs w:val="1"/>
                <w:color w:val="auto"/>
              </w:rPr>
              <w:t>2022</w:t>
            </w:r>
          </w:p>
        </w:tc>
        <w:tc>
          <w:tcPr>
            <w:tcW w:w="12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b w:val="1"/>
                <w:bCs w:val="1"/>
                <w:color w:val="auto"/>
              </w:rPr>
              <w:t>% Change</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34"/>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34"/>
              <w:spacing w:after="0"/>
              <w:rPr>
                <w:sz w:val="20"/>
                <w:szCs w:val="20"/>
                <w:color w:val="auto"/>
              </w:rPr>
            </w:pPr>
            <w:r>
              <w:rPr>
                <w:rFonts w:ascii="Arial" w:cs="Arial" w:eastAsia="Arial" w:hAnsi="Arial"/>
                <w:sz w:val="17"/>
                <w:szCs w:val="17"/>
                <w:b w:val="1"/>
                <w:bCs w:val="1"/>
                <w:color w:val="auto"/>
              </w:rPr>
              <w:t>2021</w:t>
            </w:r>
          </w:p>
        </w:tc>
        <w:tc>
          <w:tcPr>
            <w:tcW w:w="8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b w:val="1"/>
                <w:bCs w:val="1"/>
                <w:color w:val="auto"/>
              </w:rPr>
              <w:t>% Change</w:t>
            </w:r>
          </w:p>
        </w:tc>
      </w:tr>
      <w:tr>
        <w:trPr>
          <w:trHeight w:val="213"/>
        </w:trPr>
        <w:tc>
          <w:tcPr>
            <w:tcW w:w="3240" w:type="dxa"/>
            <w:vAlign w:val="bottom"/>
            <w:shd w:val="clear" w:color="auto" w:fill="CCEEFF"/>
          </w:tcPr>
          <w:p>
            <w:pPr>
              <w:ind w:left="40"/>
              <w:spacing w:after="0"/>
              <w:rPr>
                <w:sz w:val="20"/>
                <w:szCs w:val="20"/>
                <w:color w:val="auto"/>
              </w:rPr>
            </w:pPr>
            <w:r>
              <w:rPr>
                <w:rFonts w:ascii="Arial" w:cs="Arial" w:eastAsia="Arial" w:hAnsi="Arial"/>
                <w:sz w:val="17"/>
                <w:szCs w:val="17"/>
                <w:b w:val="1"/>
                <w:bCs w:val="1"/>
                <w:color w:val="auto"/>
              </w:rPr>
              <w:t>Compensation and benefits</w:t>
            </w: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center"/>
              <w:ind w:left="534"/>
              <w:spacing w:after="0"/>
              <w:rPr>
                <w:sz w:val="20"/>
                <w:szCs w:val="20"/>
                <w:color w:val="auto"/>
              </w:rPr>
            </w:pPr>
            <w:r>
              <w:rPr>
                <w:rFonts w:ascii="Arial" w:cs="Arial" w:eastAsia="Arial" w:hAnsi="Arial"/>
                <w:sz w:val="17"/>
                <w:szCs w:val="17"/>
                <w:color w:val="auto"/>
                <w:w w:val="90"/>
              </w:rPr>
              <w:t>29.0</w:t>
            </w:r>
          </w:p>
        </w:tc>
        <w:tc>
          <w:tcPr>
            <w:tcW w:w="1460" w:type="dxa"/>
            <w:vAlign w:val="bottom"/>
            <w:gridSpan w:val="4"/>
            <w:shd w:val="clear" w:color="auto" w:fill="CCEEFF"/>
          </w:tcPr>
          <w:p>
            <w:pPr>
              <w:jc w:val="right"/>
              <w:ind w:right="140"/>
              <w:spacing w:after="0"/>
              <w:rPr>
                <w:sz w:val="20"/>
                <w:szCs w:val="20"/>
                <w:color w:val="auto"/>
              </w:rPr>
            </w:pPr>
            <w:r>
              <w:rPr>
                <w:rFonts w:ascii="Arial" w:cs="Arial" w:eastAsia="Arial" w:hAnsi="Arial"/>
                <w:sz w:val="17"/>
                <w:szCs w:val="17"/>
                <w:color w:val="auto"/>
              </w:rPr>
              <w:t>20 %  $</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51.2</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25 %</w:t>
            </w:r>
          </w:p>
        </w:tc>
      </w:tr>
      <w:tr>
        <w:trPr>
          <w:trHeight w:val="155"/>
        </w:trPr>
        <w:tc>
          <w:tcPr>
            <w:tcW w:w="3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220"/>
        </w:trPr>
        <w:tc>
          <w:tcPr>
            <w:tcW w:w="32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Average Employment</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0"/>
        </w:trPr>
        <w:tc>
          <w:tcPr>
            <w:tcW w:w="3240" w:type="dxa"/>
            <w:vAlign w:val="bottom"/>
          </w:tcPr>
          <w:p>
            <w:pPr>
              <w:ind w:left="140"/>
              <w:spacing w:after="0"/>
              <w:rPr>
                <w:sz w:val="20"/>
                <w:szCs w:val="20"/>
                <w:color w:val="auto"/>
              </w:rPr>
            </w:pPr>
            <w:r>
              <w:rPr>
                <w:rFonts w:ascii="Arial" w:cs="Arial" w:eastAsia="Arial" w:hAnsi="Arial"/>
                <w:sz w:val="17"/>
                <w:szCs w:val="17"/>
                <w:color w:val="auto"/>
              </w:rPr>
              <w:t>India and other</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2,637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center"/>
              <w:ind w:left="574"/>
              <w:spacing w:after="0"/>
              <w:rPr>
                <w:sz w:val="20"/>
                <w:szCs w:val="20"/>
                <w:color w:val="auto"/>
              </w:rPr>
            </w:pPr>
            <w:r>
              <w:rPr>
                <w:rFonts w:ascii="Arial" w:cs="Arial" w:eastAsia="Arial" w:hAnsi="Arial"/>
                <w:sz w:val="17"/>
                <w:szCs w:val="17"/>
                <w:color w:val="auto"/>
                <w:w w:val="89"/>
              </w:rPr>
              <w:t>2,463</w:t>
            </w: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7 %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2,554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2,421</w:t>
            </w:r>
          </w:p>
        </w:tc>
        <w:tc>
          <w:tcPr>
            <w:tcW w:w="1080" w:type="dxa"/>
            <w:vAlign w:val="bottom"/>
            <w:gridSpan w:val="2"/>
          </w:tcPr>
          <w:p>
            <w:pPr>
              <w:jc w:val="right"/>
              <w:ind w:right="114"/>
              <w:spacing w:after="0"/>
              <w:rPr>
                <w:sz w:val="20"/>
                <w:szCs w:val="20"/>
                <w:color w:val="auto"/>
              </w:rPr>
            </w:pPr>
            <w:r>
              <w:rPr>
                <w:rFonts w:ascii="Arial" w:cs="Arial" w:eastAsia="Arial" w:hAnsi="Arial"/>
                <w:sz w:val="17"/>
                <w:szCs w:val="17"/>
                <w:color w:val="auto"/>
              </w:rPr>
              <w:t>5</w:t>
            </w:r>
          </w:p>
        </w:tc>
      </w:tr>
      <w:tr>
        <w:trPr>
          <w:trHeight w:val="220"/>
        </w:trPr>
        <w:tc>
          <w:tcPr>
            <w:tcW w:w="32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U.S.</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1,082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center"/>
              <w:ind w:left="574"/>
              <w:spacing w:after="0"/>
              <w:rPr>
                <w:sz w:val="20"/>
                <w:szCs w:val="20"/>
                <w:color w:val="auto"/>
              </w:rPr>
            </w:pPr>
            <w:r>
              <w:rPr>
                <w:rFonts w:ascii="Arial" w:cs="Arial" w:eastAsia="Arial" w:hAnsi="Arial"/>
                <w:sz w:val="17"/>
                <w:szCs w:val="17"/>
                <w:color w:val="auto"/>
                <w:w w:val="89"/>
              </w:rPr>
              <w:t>1,023</w:t>
            </w:r>
          </w:p>
        </w:tc>
        <w:tc>
          <w:tcPr>
            <w:tcW w:w="1100" w:type="dxa"/>
            <w:vAlign w:val="bottom"/>
            <w:gridSpan w:val="2"/>
            <w:shd w:val="clear" w:color="auto" w:fill="CCEEFF"/>
          </w:tcPr>
          <w:p>
            <w:pPr>
              <w:jc w:val="right"/>
              <w:ind w:right="114"/>
              <w:spacing w:after="0"/>
              <w:rPr>
                <w:sz w:val="20"/>
                <w:szCs w:val="20"/>
                <w:color w:val="auto"/>
              </w:rPr>
            </w:pPr>
            <w:r>
              <w:rPr>
                <w:rFonts w:ascii="Arial" w:cs="Arial" w:eastAsia="Arial" w:hAnsi="Arial"/>
                <w:sz w:val="17"/>
                <w:szCs w:val="17"/>
                <w:color w:val="auto"/>
              </w:rPr>
              <w:t>6</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1,052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661</w:t>
            </w:r>
          </w:p>
        </w:tc>
        <w:tc>
          <w:tcPr>
            <w:tcW w:w="1080" w:type="dxa"/>
            <w:vAlign w:val="bottom"/>
            <w:gridSpan w:val="2"/>
            <w:shd w:val="clear" w:color="auto" w:fill="CCEEFF"/>
          </w:tcPr>
          <w:p>
            <w:pPr>
              <w:jc w:val="right"/>
              <w:ind w:right="114"/>
              <w:spacing w:after="0"/>
              <w:rPr>
                <w:sz w:val="20"/>
                <w:szCs w:val="20"/>
                <w:color w:val="auto"/>
              </w:rPr>
            </w:pPr>
            <w:r>
              <w:rPr>
                <w:rFonts w:ascii="Arial" w:cs="Arial" w:eastAsia="Arial" w:hAnsi="Arial"/>
                <w:sz w:val="17"/>
                <w:szCs w:val="17"/>
                <w:color w:val="auto"/>
              </w:rPr>
              <w:t>59</w:t>
            </w:r>
          </w:p>
        </w:tc>
      </w:tr>
      <w:tr>
        <w:trPr>
          <w:trHeight w:val="213"/>
        </w:trPr>
        <w:tc>
          <w:tcPr>
            <w:tcW w:w="3240" w:type="dxa"/>
            <w:vAlign w:val="bottom"/>
          </w:tcPr>
          <w:p>
            <w:pPr>
              <w:ind w:left="220"/>
              <w:spacing w:after="0"/>
              <w:rPr>
                <w:sz w:val="20"/>
                <w:szCs w:val="20"/>
                <w:color w:val="auto"/>
              </w:rPr>
            </w:pPr>
            <w:r>
              <w:rPr>
                <w:rFonts w:ascii="Arial" w:cs="Arial" w:eastAsia="Arial" w:hAnsi="Arial"/>
                <w:sz w:val="17"/>
                <w:szCs w:val="17"/>
                <w:color w:val="auto"/>
              </w:rPr>
              <w:t>Total</w:t>
            </w: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3,719</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left="574"/>
              <w:spacing w:after="0"/>
              <w:rPr>
                <w:sz w:val="20"/>
                <w:szCs w:val="20"/>
                <w:color w:val="auto"/>
              </w:rPr>
            </w:pPr>
            <w:r>
              <w:rPr>
                <w:rFonts w:ascii="Arial" w:cs="Arial" w:eastAsia="Arial" w:hAnsi="Arial"/>
                <w:sz w:val="17"/>
                <w:szCs w:val="17"/>
                <w:color w:val="auto"/>
                <w:w w:val="89"/>
              </w:rPr>
              <w:t>3,486</w:t>
            </w: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7 %</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3,606</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3,082</w:t>
            </w: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17 %</w:t>
            </w:r>
          </w:p>
        </w:tc>
      </w:tr>
      <w:tr>
        <w:trPr>
          <w:trHeight w:val="20"/>
        </w:trPr>
        <w:tc>
          <w:tcPr>
            <w:tcW w:w="3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bl>
    <w:p>
      <w:pPr>
        <w:spacing w:after="0" w:line="181" w:lineRule="exact"/>
        <w:rPr>
          <w:sz w:val="20"/>
          <w:szCs w:val="20"/>
          <w:color w:val="auto"/>
        </w:rPr>
      </w:pPr>
    </w:p>
    <w:p>
      <w:pPr>
        <w:ind w:right="180"/>
        <w:spacing w:after="0" w:line="263" w:lineRule="auto"/>
        <w:rPr>
          <w:sz w:val="20"/>
          <w:szCs w:val="20"/>
          <w:color w:val="auto"/>
        </w:rPr>
      </w:pPr>
      <w:r>
        <w:rPr>
          <w:rFonts w:ascii="Arial" w:cs="Arial" w:eastAsia="Arial" w:hAnsi="Arial"/>
          <w:sz w:val="17"/>
          <w:szCs w:val="17"/>
          <w:color w:val="auto"/>
        </w:rPr>
        <w:t>Compensation and benefits expense for the three months ended June 30, 2022 increased $5.9 million, or 20%, as compared to the three months ended March 31, 2022 primarily due to a $3.1 million increase in the fair value of cash-settled share-based awards associated with the increase in our common stock price during the quarter. In addition, salaries and benefit expense increased $2.6 million due to a 7% increase in our average Servicing headcount, mostly in support of the growth in our reverse mortgage subservicing business.</w:t>
      </w:r>
    </w:p>
    <w:p>
      <w:pPr>
        <w:spacing w:after="0" w:line="73" w:lineRule="exact"/>
        <w:rPr>
          <w:sz w:val="20"/>
          <w:szCs w:val="20"/>
          <w:color w:val="auto"/>
        </w:rPr>
      </w:pPr>
    </w:p>
    <w:p>
      <w:pPr>
        <w:ind w:right="40"/>
        <w:spacing w:after="0" w:line="261" w:lineRule="auto"/>
        <w:rPr>
          <w:sz w:val="20"/>
          <w:szCs w:val="20"/>
          <w:color w:val="auto"/>
        </w:rPr>
      </w:pPr>
      <w:r>
        <w:rPr>
          <w:rFonts w:ascii="Arial" w:cs="Arial" w:eastAsia="Arial" w:hAnsi="Arial"/>
          <w:sz w:val="17"/>
          <w:szCs w:val="17"/>
          <w:color w:val="auto"/>
        </w:rPr>
        <w:t>As compared to the six months ended June 30, 2021, Compensation and benefits expense for the six months ended June 30, 2022 increased $12.8 million, or 25%, primarily due to a 17% increase in our average Servicing headcount, mostly onshore. The increase in servicing headcount primarily reflects the hiring of employees to support the growth of the reverse servicing platform, specifically the acquisition of reverse mortgage subservicing from MAM (RMS). Incentive compensation decreased $1.5 million primarily due to a $2.2 million decrease in the fair value of cash-settled share-based awards associated with the decrease in our common stock price at June 30, 2022 as compared to June 30, 2021.</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Servicing Expense</w:t>
      </w:r>
    </w:p>
    <w:p>
      <w:pPr>
        <w:spacing w:after="0" w:line="115" w:lineRule="exact"/>
        <w:rPr>
          <w:sz w:val="20"/>
          <w:szCs w:val="20"/>
          <w:color w:val="auto"/>
        </w:rPr>
      </w:pPr>
    </w:p>
    <w:p>
      <w:pPr>
        <w:ind w:right="800"/>
        <w:spacing w:after="0" w:line="283" w:lineRule="auto"/>
        <w:rPr>
          <w:sz w:val="20"/>
          <w:szCs w:val="20"/>
          <w:color w:val="auto"/>
        </w:rPr>
      </w:pPr>
      <w:r>
        <w:rPr>
          <w:rFonts w:ascii="Arial" w:cs="Arial" w:eastAsia="Arial" w:hAnsi="Arial"/>
          <w:sz w:val="17"/>
          <w:szCs w:val="17"/>
          <w:color w:val="auto"/>
        </w:rPr>
        <w:t>Servicing expense primarily includes claim losses and interest curtailments on government-insured loans, provision expense for advances and servicing representation and warranties, and certain loan-volume related expenses.</w:t>
      </w:r>
    </w:p>
    <w:p>
      <w:pPr>
        <w:spacing w:after="0" w:line="56" w:lineRule="exact"/>
        <w:rPr>
          <w:sz w:val="20"/>
          <w:szCs w:val="20"/>
          <w:color w:val="auto"/>
        </w:rPr>
      </w:pPr>
    </w:p>
    <w:p>
      <w:pPr>
        <w:ind w:right="180"/>
        <w:spacing w:after="0" w:line="268" w:lineRule="auto"/>
        <w:rPr>
          <w:sz w:val="20"/>
          <w:szCs w:val="20"/>
          <w:color w:val="auto"/>
        </w:rPr>
      </w:pPr>
      <w:r>
        <w:rPr>
          <w:rFonts w:ascii="Arial" w:cs="Arial" w:eastAsia="Arial" w:hAnsi="Arial"/>
          <w:sz w:val="17"/>
          <w:szCs w:val="17"/>
          <w:color w:val="auto"/>
        </w:rPr>
        <w:t>Servicing expense increased in the three months ended June 30, 2022 by $4.8 million as compared to the three months ended March 31, 2022, primarily due to a $4.0 million release of provision for indemnification recorded in the first quarter of 2022 due to a favorable settlement and a $1.0 million increase in provision expense on government-insured claims receivables due to increased government-insured claim loss volumes.</w:t>
      </w:r>
    </w:p>
    <w:p>
      <w:pPr>
        <w:spacing w:after="0" w:line="69" w:lineRule="exact"/>
        <w:rPr>
          <w:sz w:val="20"/>
          <w:szCs w:val="20"/>
          <w:color w:val="auto"/>
        </w:rPr>
      </w:pPr>
    </w:p>
    <w:p>
      <w:pPr>
        <w:ind w:right="40"/>
        <w:spacing w:after="0" w:line="261" w:lineRule="auto"/>
        <w:rPr>
          <w:sz w:val="20"/>
          <w:szCs w:val="20"/>
          <w:color w:val="auto"/>
        </w:rPr>
      </w:pPr>
      <w:r>
        <w:rPr>
          <w:rFonts w:ascii="Arial" w:cs="Arial" w:eastAsia="Arial" w:hAnsi="Arial"/>
          <w:sz w:val="17"/>
          <w:szCs w:val="17"/>
          <w:color w:val="auto"/>
        </w:rPr>
        <w:t>As compared to the six months ended June 30, 2021, Servicing expense for the six months ended June 30, 2022 declined $21.1 million. The decline is primarily due to a $6.9 million decrease in satisfaction and interest on payoff expense attributable to lower payoff volume, a $5.7 million release of provision for indemnification recorded in the six months ended June 30, 2022 related to favorable settlements, a $4.7 million decrease in reverse subservicing expenses driven by the transfer of our owned reverse portfolio from a subservicer onto our platform beginning in the fourth quarter of 2021, and a $2.3 million reduction in interim subservicing costs incurred on bulk acquisitions in the first half of 2021.</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Operating Expenses</w:t>
      </w:r>
    </w:p>
    <w:p>
      <w:pPr>
        <w:spacing w:after="0" w:line="115" w:lineRule="exact"/>
        <w:rPr>
          <w:sz w:val="20"/>
          <w:szCs w:val="20"/>
          <w:color w:val="auto"/>
        </w:rPr>
      </w:pPr>
    </w:p>
    <w:p>
      <w:pPr>
        <w:ind w:right="120"/>
        <w:spacing w:after="0" w:line="263" w:lineRule="auto"/>
        <w:rPr>
          <w:sz w:val="20"/>
          <w:szCs w:val="20"/>
          <w:color w:val="auto"/>
        </w:rPr>
      </w:pPr>
      <w:r>
        <w:rPr>
          <w:rFonts w:ascii="Arial" w:cs="Arial" w:eastAsia="Arial" w:hAnsi="Arial"/>
          <w:sz w:val="17"/>
          <w:szCs w:val="17"/>
          <w:color w:val="auto"/>
        </w:rPr>
        <w:t>Other operating expenses (total operating expenses less Compensation and benefit expense and Servicing expense) for the three months ended June 30, 2022 decreased $2.5 million as compared to the three months ended March 31, 2022 primarily due to a $3.4 million decline in Professional services expense driven by the recovery of legal expenses related to a favorable settlement, partially offset by the increase in other professional fees, including costs incurred related to MSR sales.</w:t>
      </w:r>
    </w:p>
    <w:p>
      <w:pPr>
        <w:spacing w:after="0" w:line="73" w:lineRule="exact"/>
        <w:rPr>
          <w:sz w:val="20"/>
          <w:szCs w:val="20"/>
          <w:color w:val="auto"/>
        </w:rPr>
      </w:pPr>
    </w:p>
    <w:p>
      <w:pPr>
        <w:ind w:right="20"/>
        <w:spacing w:after="0" w:line="274" w:lineRule="auto"/>
        <w:rPr>
          <w:sz w:val="20"/>
          <w:szCs w:val="20"/>
          <w:color w:val="auto"/>
        </w:rPr>
      </w:pPr>
      <w:r>
        <w:rPr>
          <w:rFonts w:ascii="Arial" w:cs="Arial" w:eastAsia="Arial" w:hAnsi="Arial"/>
          <w:sz w:val="16"/>
          <w:szCs w:val="16"/>
          <w:color w:val="auto"/>
        </w:rPr>
        <w:t>Other operating expenses decreased by $1.3 million for the six months ended June 30, 2022 as compared to the six months ended June 30, 2021. The net $7.2 million decline in Professional services includes a $15.0 million decrease in legal expenses, mostly due to the recovery of legal expenses in the first and second quarter of 2022 totaling $14.1 million related to a favorable settlement, offset by a $7.2 million increase in other professional fees primarily related to our reverse sub-servicing business. Overhead allocations decreased $1.8 million largely due to a decline in operating expenses in the technology support function as a result of headcount reduction and other cost saving efforts. Offsetting these decreases, Occupancy and equipment expense increased $3.5 million primarily due to an increase in printing and mailing expenses mostly as a result of the increase in the average number of loans serviced and additional mailing driven by acquisition of reverse mortgage subservicing, Technology and communications increased $1.9 million primarily due to higher fees related to our forward loan servicing system due to the increase in the average number of loans serviced, and Other expense increased by $2.2 million driven primarily by the amortization expense recognized during the six months ended June 30, 2022 on the reverse subservicing contract intangible asset recorded in October 2021 and April 2022 as part of the transactions with MAM (RMS).</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7" w:right="339"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219"/>
        </w:trPr>
        <w:tc>
          <w:tcPr>
            <w:tcW w:w="3040" w:type="dxa"/>
            <w:vAlign w:val="bottom"/>
          </w:tcPr>
          <w:p>
            <w:pPr>
              <w:spacing w:after="0"/>
              <w:rPr>
                <w:sz w:val="20"/>
                <w:szCs w:val="20"/>
                <w:color w:val="auto"/>
              </w:rPr>
            </w:pPr>
            <w:r>
              <w:rPr>
                <w:rFonts w:ascii="Arial" w:cs="Arial" w:eastAsia="Arial" w:hAnsi="Arial"/>
                <w:sz w:val="17"/>
                <w:szCs w:val="17"/>
                <w:b w:val="1"/>
                <w:bCs w:val="1"/>
                <w:i w:val="1"/>
                <w:iCs w:val="1"/>
                <w:color w:val="auto"/>
              </w:rPr>
              <w:t>Other Income (Expense)</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0"/>
        </w:trPr>
        <w:tc>
          <w:tcPr>
            <w:tcW w:w="7180" w:type="dxa"/>
            <w:vAlign w:val="bottom"/>
            <w:gridSpan w:val="9"/>
          </w:tcPr>
          <w:p>
            <w:pPr>
              <w:spacing w:after="0"/>
              <w:rPr>
                <w:sz w:val="20"/>
                <w:szCs w:val="20"/>
                <w:color w:val="auto"/>
              </w:rPr>
            </w:pPr>
            <w:r>
              <w:rPr>
                <w:rFonts w:ascii="Arial" w:cs="Arial" w:eastAsia="Arial" w:hAnsi="Arial"/>
                <w:sz w:val="17"/>
                <w:szCs w:val="17"/>
                <w:color w:val="auto"/>
                <w:w w:val="95"/>
              </w:rPr>
              <w:t>Other income (expense) primarily includes net interest expense and pledged MSR liability expense.</w:t>
            </w: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30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4"/>
          </w:tcPr>
          <w:p>
            <w:pPr>
              <w:jc w:val="right"/>
              <w:ind w:right="614"/>
              <w:spacing w:after="0"/>
              <w:rPr>
                <w:sz w:val="20"/>
                <w:szCs w:val="20"/>
                <w:color w:val="auto"/>
              </w:rPr>
            </w:pPr>
            <w:r>
              <w:rPr>
                <w:rFonts w:ascii="Arial" w:cs="Arial" w:eastAsia="Arial" w:hAnsi="Arial"/>
                <w:sz w:val="17"/>
                <w:szCs w:val="17"/>
                <w:b w:val="1"/>
                <w:bCs w:val="1"/>
                <w:color w:val="auto"/>
              </w:rPr>
              <w:t>Three Months Ended</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4"/>
          </w:tcPr>
          <w:p>
            <w:pPr>
              <w:jc w:val="right"/>
              <w:ind w:right="734"/>
              <w:spacing w:after="0"/>
              <w:rPr>
                <w:sz w:val="20"/>
                <w:szCs w:val="20"/>
                <w:color w:val="auto"/>
              </w:rPr>
            </w:pPr>
            <w:r>
              <w:rPr>
                <w:rFonts w:ascii="Arial" w:cs="Arial" w:eastAsia="Arial" w:hAnsi="Arial"/>
                <w:sz w:val="17"/>
                <w:szCs w:val="17"/>
                <w:b w:val="1"/>
                <w:bCs w:val="1"/>
                <w:color w:val="auto"/>
              </w:rPr>
              <w:t>Six Months Ended</w:t>
            </w: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3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gridSpan w:val="2"/>
          </w:tcPr>
          <w:p>
            <w:pPr>
              <w:ind w:left="160"/>
              <w:spacing w:after="0"/>
              <w:rPr>
                <w:sz w:val="20"/>
                <w:szCs w:val="20"/>
                <w:color w:val="auto"/>
              </w:rPr>
            </w:pPr>
            <w:r>
              <w:rPr>
                <w:rFonts w:ascii="Arial" w:cs="Arial" w:eastAsia="Arial" w:hAnsi="Arial"/>
                <w:sz w:val="17"/>
                <w:szCs w:val="17"/>
                <w:b w:val="1"/>
                <w:bCs w:val="1"/>
                <w:color w:val="auto"/>
              </w:rPr>
              <w:t>June 30,</w:t>
            </w:r>
          </w:p>
        </w:tc>
        <w:tc>
          <w:tcPr>
            <w:tcW w:w="240" w:type="dxa"/>
            <w:vAlign w:val="bottom"/>
          </w:tcPr>
          <w:p>
            <w:pPr>
              <w:spacing w:after="0"/>
              <w:rPr>
                <w:sz w:val="20"/>
                <w:szCs w:val="20"/>
                <w:color w:val="auto"/>
              </w:rPr>
            </w:pPr>
          </w:p>
        </w:tc>
        <w:tc>
          <w:tcPr>
            <w:tcW w:w="1200" w:type="dxa"/>
            <w:vAlign w:val="bottom"/>
          </w:tcPr>
          <w:p>
            <w:pPr>
              <w:jc w:val="right"/>
              <w:ind w:right="274"/>
              <w:spacing w:after="0"/>
              <w:rPr>
                <w:sz w:val="20"/>
                <w:szCs w:val="20"/>
                <w:color w:val="auto"/>
              </w:rPr>
            </w:pPr>
            <w:r>
              <w:rPr>
                <w:rFonts w:ascii="Arial" w:cs="Arial" w:eastAsia="Arial" w:hAnsi="Arial"/>
                <w:sz w:val="17"/>
                <w:szCs w:val="17"/>
                <w:b w:val="1"/>
                <w:bCs w:val="1"/>
                <w:color w:val="auto"/>
              </w:rPr>
              <w:t>March 31</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gridSpan w:val="2"/>
          </w:tcPr>
          <w:p>
            <w:pPr>
              <w:ind w:left="160"/>
              <w:spacing w:after="0"/>
              <w:rPr>
                <w:sz w:val="20"/>
                <w:szCs w:val="20"/>
                <w:color w:val="auto"/>
              </w:rPr>
            </w:pPr>
            <w:r>
              <w:rPr>
                <w:rFonts w:ascii="Arial" w:cs="Arial" w:eastAsia="Arial" w:hAnsi="Arial"/>
                <w:sz w:val="17"/>
                <w:szCs w:val="17"/>
                <w:b w:val="1"/>
                <w:bCs w:val="1"/>
                <w:color w:val="auto"/>
              </w:rPr>
              <w:t>June 30,</w:t>
            </w:r>
          </w:p>
        </w:tc>
        <w:tc>
          <w:tcPr>
            <w:tcW w:w="260" w:type="dxa"/>
            <w:vAlign w:val="bottom"/>
          </w:tcPr>
          <w:p>
            <w:pPr>
              <w:spacing w:after="0"/>
              <w:rPr>
                <w:sz w:val="20"/>
                <w:szCs w:val="20"/>
                <w:color w:val="auto"/>
              </w:rPr>
            </w:pPr>
          </w:p>
        </w:tc>
        <w:tc>
          <w:tcPr>
            <w:tcW w:w="1200" w:type="dxa"/>
            <w:vAlign w:val="bottom"/>
          </w:tcPr>
          <w:p>
            <w:pPr>
              <w:jc w:val="right"/>
              <w:ind w:right="334"/>
              <w:spacing w:after="0"/>
              <w:rPr>
                <w:sz w:val="20"/>
                <w:szCs w:val="20"/>
                <w:color w:val="auto"/>
              </w:rPr>
            </w:pPr>
            <w:r>
              <w:rPr>
                <w:rFonts w:ascii="Arial" w:cs="Arial" w:eastAsia="Arial" w:hAnsi="Arial"/>
                <w:sz w:val="17"/>
                <w:szCs w:val="17"/>
                <w:b w:val="1"/>
                <w:bCs w:val="1"/>
                <w:color w:val="auto"/>
              </w:rPr>
              <w:t>June 30,</w:t>
            </w: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30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ind w:right="454"/>
              <w:spacing w:after="0"/>
              <w:rPr>
                <w:sz w:val="20"/>
                <w:szCs w:val="20"/>
                <w:color w:val="auto"/>
              </w:rPr>
            </w:pPr>
            <w:r>
              <w:rPr>
                <w:rFonts w:ascii="Arial" w:cs="Arial" w:eastAsia="Arial" w:hAnsi="Arial"/>
                <w:sz w:val="17"/>
                <w:szCs w:val="17"/>
                <w:b w:val="1"/>
                <w:bCs w:val="1"/>
                <w:color w:val="auto"/>
              </w:rPr>
              <w:t>2022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ind w:right="454"/>
              <w:spacing w:after="0"/>
              <w:rPr>
                <w:sz w:val="20"/>
                <w:szCs w:val="20"/>
                <w:color w:val="auto"/>
              </w:rPr>
            </w:pPr>
            <w:r>
              <w:rPr>
                <w:rFonts w:ascii="Arial" w:cs="Arial" w:eastAsia="Arial" w:hAnsi="Arial"/>
                <w:sz w:val="17"/>
                <w:szCs w:val="17"/>
                <w:b w:val="1"/>
                <w:bCs w:val="1"/>
                <w:color w:val="auto"/>
              </w:rPr>
              <w:t>2022</w:t>
            </w:r>
          </w:p>
        </w:tc>
        <w:tc>
          <w:tcPr>
            <w:tcW w:w="100" w:type="dxa"/>
            <w:vAlign w:val="bottom"/>
          </w:tcPr>
          <w:p>
            <w:pPr>
              <w:spacing w:after="0"/>
              <w:rPr>
                <w:sz w:val="21"/>
                <w:szCs w:val="21"/>
                <w:color w:val="auto"/>
              </w:rPr>
            </w:pPr>
          </w:p>
        </w:tc>
        <w:tc>
          <w:tcPr>
            <w:tcW w:w="1060" w:type="dxa"/>
            <w:vAlign w:val="bottom"/>
            <w:gridSpan w:val="2"/>
          </w:tcPr>
          <w:p>
            <w:pPr>
              <w:ind w:left="100"/>
              <w:spacing w:after="0"/>
              <w:rPr>
                <w:sz w:val="20"/>
                <w:szCs w:val="20"/>
                <w:color w:val="auto"/>
              </w:rPr>
            </w:pPr>
            <w:r>
              <w:rPr>
                <w:rFonts w:ascii="Arial" w:cs="Arial" w:eastAsia="Arial" w:hAnsi="Arial"/>
                <w:sz w:val="17"/>
                <w:szCs w:val="17"/>
                <w:b w:val="1"/>
                <w:bCs w:val="1"/>
                <w:color w:val="auto"/>
              </w:rPr>
              <w:t>% Change</w:t>
            </w:r>
          </w:p>
        </w:tc>
        <w:tc>
          <w:tcPr>
            <w:tcW w:w="260" w:type="dxa"/>
            <w:vAlign w:val="bottom"/>
          </w:tcPr>
          <w:p>
            <w:pPr>
              <w:spacing w:after="0"/>
              <w:rPr>
                <w:sz w:val="21"/>
                <w:szCs w:val="21"/>
                <w:color w:val="auto"/>
              </w:rPr>
            </w:pPr>
          </w:p>
        </w:tc>
        <w:tc>
          <w:tcPr>
            <w:tcW w:w="1200" w:type="dxa"/>
            <w:vAlign w:val="bottom"/>
          </w:tcPr>
          <w:p>
            <w:pPr>
              <w:jc w:val="right"/>
              <w:ind w:right="474"/>
              <w:spacing w:after="0"/>
              <w:rPr>
                <w:sz w:val="20"/>
                <w:szCs w:val="20"/>
                <w:color w:val="auto"/>
              </w:rPr>
            </w:pPr>
            <w:r>
              <w:rPr>
                <w:rFonts w:ascii="Arial" w:cs="Arial" w:eastAsia="Arial" w:hAnsi="Arial"/>
                <w:sz w:val="17"/>
                <w:szCs w:val="17"/>
                <w:b w:val="1"/>
                <w:bCs w:val="1"/>
                <w:color w:val="auto"/>
              </w:rPr>
              <w:t>2022</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474"/>
              <w:spacing w:after="0"/>
              <w:rPr>
                <w:sz w:val="20"/>
                <w:szCs w:val="20"/>
                <w:color w:val="auto"/>
              </w:rPr>
            </w:pPr>
            <w:r>
              <w:rPr>
                <w:rFonts w:ascii="Arial" w:cs="Arial" w:eastAsia="Arial" w:hAnsi="Arial"/>
                <w:sz w:val="17"/>
                <w:szCs w:val="17"/>
                <w:b w:val="1"/>
                <w:bCs w:val="1"/>
                <w:color w:val="auto"/>
              </w:rPr>
              <w:t>2021</w:t>
            </w:r>
          </w:p>
        </w:tc>
        <w:tc>
          <w:tcPr>
            <w:tcW w:w="8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7"/>
                <w:szCs w:val="17"/>
                <w:b w:val="1"/>
                <w:bCs w:val="1"/>
                <w:color w:val="auto"/>
              </w:rPr>
              <w:t>% Change</w:t>
            </w:r>
          </w:p>
        </w:tc>
        <w:tc>
          <w:tcPr>
            <w:tcW w:w="0" w:type="dxa"/>
            <w:vAlign w:val="bottom"/>
          </w:tcPr>
          <w:p>
            <w:pPr>
              <w:spacing w:after="0"/>
              <w:rPr>
                <w:sz w:val="1"/>
                <w:szCs w:val="1"/>
                <w:color w:val="auto"/>
              </w:rPr>
            </w:pPr>
          </w:p>
        </w:tc>
      </w:tr>
      <w:tr>
        <w:trPr>
          <w:trHeight w:val="200"/>
        </w:trPr>
        <w:tc>
          <w:tcPr>
            <w:tcW w:w="3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Interest expense</w:t>
            </w:r>
          </w:p>
        </w:tc>
        <w:tc>
          <w:tcPr>
            <w:tcW w:w="26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040" w:type="dxa"/>
            <w:vAlign w:val="bottom"/>
          </w:tcPr>
          <w:p>
            <w:pPr>
              <w:ind w:left="120"/>
              <w:spacing w:after="0"/>
              <w:rPr>
                <w:sz w:val="20"/>
                <w:szCs w:val="20"/>
                <w:color w:val="auto"/>
              </w:rPr>
            </w:pPr>
            <w:r>
              <w:rPr>
                <w:rFonts w:ascii="Arial" w:cs="Arial" w:eastAsia="Arial" w:hAnsi="Arial"/>
                <w:sz w:val="17"/>
                <w:szCs w:val="17"/>
                <w:color w:val="auto"/>
              </w:rPr>
              <w:t>Advance match funded liabilities</w:t>
            </w: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ind w:right="114"/>
              <w:spacing w:after="0"/>
              <w:rPr>
                <w:sz w:val="20"/>
                <w:szCs w:val="20"/>
                <w:color w:val="auto"/>
              </w:rPr>
            </w:pPr>
            <w:r>
              <w:rPr>
                <w:rFonts w:ascii="Arial" w:cs="Arial" w:eastAsia="Arial" w:hAnsi="Arial"/>
                <w:sz w:val="17"/>
                <w:szCs w:val="17"/>
                <w:color w:val="auto"/>
              </w:rPr>
              <w:t>2.8</w:t>
            </w:r>
          </w:p>
        </w:tc>
        <w:tc>
          <w:tcPr>
            <w:tcW w:w="10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ind w:right="114"/>
              <w:spacing w:after="0"/>
              <w:rPr>
                <w:sz w:val="20"/>
                <w:szCs w:val="20"/>
                <w:color w:val="auto"/>
              </w:rPr>
            </w:pPr>
            <w:r>
              <w:rPr>
                <w:rFonts w:ascii="Arial" w:cs="Arial" w:eastAsia="Arial" w:hAnsi="Arial"/>
                <w:sz w:val="17"/>
                <w:szCs w:val="17"/>
                <w:color w:val="auto"/>
              </w:rPr>
              <w:t>2.7</w:t>
            </w: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3 %</w:t>
            </w:r>
          </w:p>
        </w:tc>
        <w:tc>
          <w:tcPr>
            <w:tcW w:w="80" w:type="dxa"/>
            <w:vAlign w:val="bottom"/>
          </w:tcPr>
          <w:p>
            <w:pPr>
              <w:spacing w:after="0"/>
              <w:rPr>
                <w:sz w:val="19"/>
                <w:szCs w:val="19"/>
                <w:color w:val="auto"/>
              </w:rPr>
            </w:pPr>
          </w:p>
        </w:tc>
        <w:tc>
          <w:tcPr>
            <w:tcW w:w="260" w:type="dxa"/>
            <w:vAlign w:val="bottom"/>
          </w:tcPr>
          <w:p>
            <w:pPr>
              <w:jc w:val="right"/>
              <w:ind w:right="54"/>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134"/>
              <w:spacing w:after="0"/>
              <w:rPr>
                <w:sz w:val="20"/>
                <w:szCs w:val="20"/>
                <w:color w:val="auto"/>
              </w:rPr>
            </w:pPr>
            <w:r>
              <w:rPr>
                <w:rFonts w:ascii="Arial" w:cs="Arial" w:eastAsia="Arial" w:hAnsi="Arial"/>
                <w:sz w:val="17"/>
                <w:szCs w:val="17"/>
                <w:color w:val="auto"/>
              </w:rPr>
              <w:t>5.5</w:t>
            </w:r>
          </w:p>
        </w:tc>
        <w:tc>
          <w:tcPr>
            <w:tcW w:w="8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ind w:right="134"/>
              <w:spacing w:after="0"/>
              <w:rPr>
                <w:sz w:val="20"/>
                <w:szCs w:val="20"/>
                <w:color w:val="auto"/>
              </w:rPr>
            </w:pPr>
            <w:r>
              <w:rPr>
                <w:rFonts w:ascii="Arial" w:cs="Arial" w:eastAsia="Arial" w:hAnsi="Arial"/>
                <w:sz w:val="17"/>
                <w:szCs w:val="17"/>
                <w:color w:val="auto"/>
              </w:rPr>
              <w:t>8.8</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(37)%</w:t>
            </w:r>
          </w:p>
        </w:tc>
        <w:tc>
          <w:tcPr>
            <w:tcW w:w="0" w:type="dxa"/>
            <w:vAlign w:val="bottom"/>
          </w:tcPr>
          <w:p>
            <w:pPr>
              <w:spacing w:after="0"/>
              <w:rPr>
                <w:sz w:val="1"/>
                <w:szCs w:val="1"/>
                <w:color w:val="auto"/>
              </w:rPr>
            </w:pPr>
          </w:p>
        </w:tc>
      </w:tr>
      <w:tr>
        <w:trPr>
          <w:trHeight w:val="220"/>
        </w:trPr>
        <w:tc>
          <w:tcPr>
            <w:tcW w:w="30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Mortgage loan warehouse facilities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1.8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3.1</w:t>
            </w:r>
          </w:p>
        </w:tc>
        <w:tc>
          <w:tcPr>
            <w:tcW w:w="1080" w:type="dxa"/>
            <w:vAlign w:val="bottom"/>
            <w:gridSpan w:val="2"/>
            <w:shd w:val="clear" w:color="auto" w:fill="CCEEFF"/>
          </w:tcPr>
          <w:p>
            <w:pPr>
              <w:jc w:val="right"/>
              <w:ind w:right="94"/>
              <w:spacing w:after="0"/>
              <w:rPr>
                <w:sz w:val="20"/>
                <w:szCs w:val="20"/>
                <w:color w:val="auto"/>
              </w:rPr>
            </w:pPr>
            <w:r>
              <w:rPr>
                <w:rFonts w:ascii="Arial" w:cs="Arial" w:eastAsia="Arial" w:hAnsi="Arial"/>
                <w:sz w:val="17"/>
                <w:szCs w:val="17"/>
                <w:color w:val="auto"/>
              </w:rPr>
              <w:t>(42)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4.9</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3.4</w:t>
            </w:r>
          </w:p>
        </w:tc>
        <w:tc>
          <w:tcPr>
            <w:tcW w:w="1060" w:type="dxa"/>
            <w:vAlign w:val="bottom"/>
            <w:gridSpan w:val="2"/>
            <w:shd w:val="clear" w:color="auto" w:fill="CCEEFF"/>
          </w:tcPr>
          <w:p>
            <w:pPr>
              <w:jc w:val="right"/>
              <w:ind w:right="114"/>
              <w:spacing w:after="0"/>
              <w:rPr>
                <w:sz w:val="20"/>
                <w:szCs w:val="20"/>
                <w:color w:val="auto"/>
              </w:rPr>
            </w:pPr>
            <w:r>
              <w:rPr>
                <w:rFonts w:ascii="Arial" w:cs="Arial" w:eastAsia="Arial" w:hAnsi="Arial"/>
                <w:sz w:val="17"/>
                <w:szCs w:val="17"/>
                <w:color w:val="auto"/>
              </w:rPr>
              <w:t>42</w:t>
            </w:r>
          </w:p>
        </w:tc>
        <w:tc>
          <w:tcPr>
            <w:tcW w:w="0" w:type="dxa"/>
            <w:vAlign w:val="bottom"/>
          </w:tcPr>
          <w:p>
            <w:pPr>
              <w:spacing w:after="0"/>
              <w:rPr>
                <w:sz w:val="1"/>
                <w:szCs w:val="1"/>
                <w:color w:val="auto"/>
              </w:rPr>
            </w:pPr>
          </w:p>
        </w:tc>
      </w:tr>
      <w:tr>
        <w:trPr>
          <w:trHeight w:val="220"/>
        </w:trPr>
        <w:tc>
          <w:tcPr>
            <w:tcW w:w="3040" w:type="dxa"/>
            <w:vAlign w:val="bottom"/>
          </w:tcPr>
          <w:p>
            <w:pPr>
              <w:ind w:left="120"/>
              <w:spacing w:after="0"/>
              <w:rPr>
                <w:sz w:val="20"/>
                <w:szCs w:val="20"/>
                <w:color w:val="auto"/>
              </w:rPr>
            </w:pPr>
            <w:r>
              <w:rPr>
                <w:rFonts w:ascii="Arial" w:cs="Arial" w:eastAsia="Arial" w:hAnsi="Arial"/>
                <w:sz w:val="17"/>
                <w:szCs w:val="17"/>
                <w:color w:val="auto"/>
              </w:rPr>
              <w:t>MSR financing facilities</w:t>
            </w:r>
          </w:p>
        </w:tc>
        <w:tc>
          <w:tcPr>
            <w:tcW w:w="260" w:type="dxa"/>
            <w:vAlign w:val="bottom"/>
          </w:tcPr>
          <w:p>
            <w:pPr>
              <w:spacing w:after="0"/>
              <w:rPr>
                <w:sz w:val="19"/>
                <w:szCs w:val="19"/>
                <w:color w:val="auto"/>
              </w:rPr>
            </w:pPr>
          </w:p>
        </w:tc>
        <w:tc>
          <w:tcPr>
            <w:tcW w:w="1180" w:type="dxa"/>
            <w:vAlign w:val="bottom"/>
          </w:tcPr>
          <w:p>
            <w:pPr>
              <w:jc w:val="right"/>
              <w:ind w:right="114"/>
              <w:spacing w:after="0"/>
              <w:rPr>
                <w:sz w:val="20"/>
                <w:szCs w:val="20"/>
                <w:color w:val="auto"/>
              </w:rPr>
            </w:pPr>
            <w:r>
              <w:rPr>
                <w:rFonts w:ascii="Arial" w:cs="Arial" w:eastAsia="Arial" w:hAnsi="Arial"/>
                <w:sz w:val="17"/>
                <w:szCs w:val="17"/>
                <w:color w:val="auto"/>
              </w:rPr>
              <w:t>8.6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ind w:right="114"/>
              <w:spacing w:after="0"/>
              <w:rPr>
                <w:sz w:val="20"/>
                <w:szCs w:val="20"/>
                <w:color w:val="auto"/>
              </w:rPr>
            </w:pPr>
            <w:r>
              <w:rPr>
                <w:rFonts w:ascii="Arial" w:cs="Arial" w:eastAsia="Arial" w:hAnsi="Arial"/>
                <w:sz w:val="17"/>
                <w:szCs w:val="17"/>
                <w:color w:val="auto"/>
              </w:rPr>
              <w:t>7.8</w:t>
            </w:r>
          </w:p>
        </w:tc>
        <w:tc>
          <w:tcPr>
            <w:tcW w:w="1080" w:type="dxa"/>
            <w:vAlign w:val="bottom"/>
            <w:gridSpan w:val="2"/>
          </w:tcPr>
          <w:p>
            <w:pPr>
              <w:jc w:val="right"/>
              <w:ind w:right="134"/>
              <w:spacing w:after="0"/>
              <w:rPr>
                <w:sz w:val="20"/>
                <w:szCs w:val="20"/>
                <w:color w:val="auto"/>
              </w:rPr>
            </w:pPr>
            <w:r>
              <w:rPr>
                <w:rFonts w:ascii="Arial" w:cs="Arial" w:eastAsia="Arial" w:hAnsi="Arial"/>
                <w:sz w:val="17"/>
                <w:szCs w:val="17"/>
                <w:color w:val="auto"/>
              </w:rPr>
              <w:t>10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ind w:right="134"/>
              <w:spacing w:after="0"/>
              <w:rPr>
                <w:sz w:val="20"/>
                <w:szCs w:val="20"/>
                <w:color w:val="auto"/>
              </w:rPr>
            </w:pPr>
            <w:r>
              <w:rPr>
                <w:rFonts w:ascii="Arial" w:cs="Arial" w:eastAsia="Arial" w:hAnsi="Arial"/>
                <w:sz w:val="17"/>
                <w:szCs w:val="17"/>
                <w:color w:val="auto"/>
              </w:rPr>
              <w:t>16.4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ind w:right="134"/>
              <w:spacing w:after="0"/>
              <w:rPr>
                <w:sz w:val="20"/>
                <w:szCs w:val="20"/>
                <w:color w:val="auto"/>
              </w:rPr>
            </w:pPr>
            <w:r>
              <w:rPr>
                <w:rFonts w:ascii="Arial" w:cs="Arial" w:eastAsia="Arial" w:hAnsi="Arial"/>
                <w:sz w:val="17"/>
                <w:szCs w:val="17"/>
                <w:color w:val="auto"/>
              </w:rPr>
              <w:t>9.3</w:t>
            </w:r>
          </w:p>
        </w:tc>
        <w:tc>
          <w:tcPr>
            <w:tcW w:w="1060" w:type="dxa"/>
            <w:vAlign w:val="bottom"/>
            <w:gridSpan w:val="2"/>
          </w:tcPr>
          <w:p>
            <w:pPr>
              <w:jc w:val="right"/>
              <w:ind w:right="114"/>
              <w:spacing w:after="0"/>
              <w:rPr>
                <w:sz w:val="20"/>
                <w:szCs w:val="20"/>
                <w:color w:val="auto"/>
              </w:rPr>
            </w:pPr>
            <w:r>
              <w:rPr>
                <w:rFonts w:ascii="Arial" w:cs="Arial" w:eastAsia="Arial" w:hAnsi="Arial"/>
                <w:sz w:val="17"/>
                <w:szCs w:val="17"/>
                <w:color w:val="auto"/>
              </w:rPr>
              <w:t>75</w:t>
            </w:r>
          </w:p>
        </w:tc>
        <w:tc>
          <w:tcPr>
            <w:tcW w:w="0" w:type="dxa"/>
            <w:vAlign w:val="bottom"/>
          </w:tcPr>
          <w:p>
            <w:pPr>
              <w:spacing w:after="0"/>
              <w:rPr>
                <w:sz w:val="1"/>
                <w:szCs w:val="1"/>
                <w:color w:val="auto"/>
              </w:rPr>
            </w:pPr>
          </w:p>
        </w:tc>
      </w:tr>
      <w:tr>
        <w:trPr>
          <w:trHeight w:val="168"/>
        </w:trPr>
        <w:tc>
          <w:tcPr>
            <w:tcW w:w="3040" w:type="dxa"/>
            <w:vAlign w:val="bottom"/>
            <w:shd w:val="clear" w:color="auto" w:fill="CCEEFF"/>
          </w:tcPr>
          <w:p>
            <w:pPr>
              <w:ind w:left="120"/>
              <w:spacing w:after="0" w:line="168" w:lineRule="exact"/>
              <w:rPr>
                <w:sz w:val="20"/>
                <w:szCs w:val="20"/>
                <w:color w:val="auto"/>
              </w:rPr>
            </w:pPr>
            <w:r>
              <w:rPr>
                <w:rFonts w:ascii="Arial" w:cs="Arial" w:eastAsia="Arial" w:hAnsi="Arial"/>
                <w:sz w:val="17"/>
                <w:szCs w:val="17"/>
                <w:color w:val="auto"/>
                <w:w w:val="90"/>
              </w:rPr>
              <w:t>Corporate debt interest expense allocation</w:t>
            </w:r>
          </w:p>
        </w:tc>
        <w:tc>
          <w:tcPr>
            <w:tcW w:w="26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ind w:right="114"/>
              <w:spacing w:after="0"/>
              <w:rPr>
                <w:sz w:val="20"/>
                <w:szCs w:val="20"/>
                <w:color w:val="auto"/>
              </w:rPr>
            </w:pPr>
            <w:r>
              <w:rPr>
                <w:rFonts w:ascii="Arial" w:cs="Arial" w:eastAsia="Arial" w:hAnsi="Arial"/>
                <w:sz w:val="17"/>
                <w:szCs w:val="17"/>
                <w:color w:val="auto"/>
              </w:rPr>
              <w:t>8.0</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ind w:right="114"/>
              <w:spacing w:after="0"/>
              <w:rPr>
                <w:sz w:val="20"/>
                <w:szCs w:val="20"/>
                <w:color w:val="auto"/>
              </w:rPr>
            </w:pPr>
            <w:r>
              <w:rPr>
                <w:rFonts w:ascii="Arial" w:cs="Arial" w:eastAsia="Arial" w:hAnsi="Arial"/>
                <w:sz w:val="17"/>
                <w:szCs w:val="17"/>
                <w:color w:val="auto"/>
              </w:rPr>
              <w:t>7.8</w:t>
            </w:r>
          </w:p>
        </w:tc>
        <w:tc>
          <w:tcPr>
            <w:tcW w:w="1080" w:type="dxa"/>
            <w:vAlign w:val="bottom"/>
            <w:gridSpan w:val="2"/>
            <w:vMerge w:val="restart"/>
            <w:shd w:val="clear" w:color="auto" w:fill="CCEEFF"/>
          </w:tcPr>
          <w:p>
            <w:pPr>
              <w:jc w:val="right"/>
              <w:ind w:right="34"/>
              <w:spacing w:after="0"/>
              <w:rPr>
                <w:sz w:val="20"/>
                <w:szCs w:val="20"/>
                <w:color w:val="auto"/>
              </w:rPr>
            </w:pPr>
            <w:r>
              <w:rPr>
                <w:rFonts w:ascii="Arial" w:cs="Arial" w:eastAsia="Arial" w:hAnsi="Arial"/>
                <w:sz w:val="17"/>
                <w:szCs w:val="17"/>
                <w:color w:val="auto"/>
              </w:rPr>
              <w:t>2</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ind w:right="134"/>
              <w:spacing w:after="0"/>
              <w:rPr>
                <w:sz w:val="20"/>
                <w:szCs w:val="20"/>
                <w:color w:val="auto"/>
              </w:rPr>
            </w:pPr>
            <w:r>
              <w:rPr>
                <w:rFonts w:ascii="Arial" w:cs="Arial" w:eastAsia="Arial" w:hAnsi="Arial"/>
                <w:sz w:val="17"/>
                <w:szCs w:val="17"/>
                <w:color w:val="auto"/>
              </w:rPr>
              <w:t>15.7</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ind w:right="134"/>
              <w:spacing w:after="0"/>
              <w:rPr>
                <w:sz w:val="20"/>
                <w:szCs w:val="20"/>
                <w:color w:val="auto"/>
              </w:rPr>
            </w:pPr>
            <w:r>
              <w:rPr>
                <w:rFonts w:ascii="Arial" w:cs="Arial" w:eastAsia="Arial" w:hAnsi="Arial"/>
                <w:sz w:val="17"/>
                <w:szCs w:val="17"/>
                <w:color w:val="auto"/>
              </w:rPr>
              <w:t>11.9</w:t>
            </w:r>
          </w:p>
        </w:tc>
        <w:tc>
          <w:tcPr>
            <w:tcW w:w="1060" w:type="dxa"/>
            <w:vAlign w:val="bottom"/>
            <w:gridSpan w:val="2"/>
            <w:vMerge w:val="restart"/>
            <w:shd w:val="clear" w:color="auto" w:fill="CCEEFF"/>
          </w:tcPr>
          <w:p>
            <w:pPr>
              <w:jc w:val="right"/>
              <w:ind w:right="34"/>
              <w:spacing w:after="0"/>
              <w:rPr>
                <w:sz w:val="20"/>
                <w:szCs w:val="20"/>
                <w:color w:val="auto"/>
              </w:rPr>
            </w:pPr>
            <w:r>
              <w:rPr>
                <w:rFonts w:ascii="Arial" w:cs="Arial" w:eastAsia="Arial" w:hAnsi="Arial"/>
                <w:sz w:val="17"/>
                <w:szCs w:val="17"/>
                <w:color w:val="auto"/>
              </w:rPr>
              <w:t>32</w:t>
            </w:r>
          </w:p>
        </w:tc>
        <w:tc>
          <w:tcPr>
            <w:tcW w:w="0" w:type="dxa"/>
            <w:vAlign w:val="bottom"/>
          </w:tcPr>
          <w:p>
            <w:pPr>
              <w:spacing w:after="0"/>
              <w:rPr>
                <w:sz w:val="1"/>
                <w:szCs w:val="1"/>
                <w:color w:val="auto"/>
              </w:rPr>
            </w:pPr>
          </w:p>
        </w:tc>
      </w:tr>
      <w:tr>
        <w:trPr>
          <w:trHeight w:val="219"/>
        </w:trPr>
        <w:tc>
          <w:tcPr>
            <w:tcW w:w="30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(1)</w:t>
            </w:r>
          </w:p>
        </w:tc>
        <w:tc>
          <w:tcPr>
            <w:tcW w:w="26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1080" w:type="dxa"/>
            <w:vAlign w:val="bottom"/>
            <w:gridSpan w:val="2"/>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106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04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Escrow</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1.2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1.8</w:t>
            </w:r>
          </w:p>
        </w:tc>
        <w:tc>
          <w:tcPr>
            <w:tcW w:w="1080" w:type="dxa"/>
            <w:vAlign w:val="bottom"/>
            <w:tcBorders>
              <w:bottom w:val="single" w:sz="8" w:color="CCEEFF"/>
            </w:tcBorders>
            <w:gridSpan w:val="2"/>
          </w:tcPr>
          <w:p>
            <w:pPr>
              <w:jc w:val="right"/>
              <w:ind w:right="94"/>
              <w:spacing w:after="0"/>
              <w:rPr>
                <w:sz w:val="20"/>
                <w:szCs w:val="20"/>
                <w:color w:val="auto"/>
              </w:rPr>
            </w:pPr>
            <w:r>
              <w:rPr>
                <w:rFonts w:ascii="Arial" w:cs="Arial" w:eastAsia="Arial" w:hAnsi="Arial"/>
                <w:sz w:val="17"/>
                <w:szCs w:val="17"/>
                <w:color w:val="auto"/>
              </w:rPr>
              <w:t>(32)</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2.9</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2.8</w:t>
            </w:r>
          </w:p>
        </w:tc>
        <w:tc>
          <w:tcPr>
            <w:tcW w:w="1060" w:type="dxa"/>
            <w:vAlign w:val="bottom"/>
            <w:tcBorders>
              <w:bottom w:val="single" w:sz="8" w:color="CCEEFF"/>
            </w:tcBorders>
            <w:gridSpan w:val="2"/>
          </w:tcPr>
          <w:p>
            <w:pPr>
              <w:jc w:val="right"/>
              <w:ind w:right="114"/>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38"/>
        </w:trPr>
        <w:tc>
          <w:tcPr>
            <w:tcW w:w="30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7"/>
                <w:szCs w:val="17"/>
                <w:b w:val="1"/>
                <w:bCs w:val="1"/>
                <w:color w:val="auto"/>
              </w:rPr>
              <w:t>Total interest expense</w:t>
            </w: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22.3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23.1</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45.4</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36.2</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25 %</w:t>
            </w: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30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3040" w:type="dxa"/>
            <w:vAlign w:val="bottom"/>
            <w:shd w:val="clear" w:color="auto" w:fill="CCEEFF"/>
          </w:tcPr>
          <w:p>
            <w:pPr>
              <w:ind w:left="40"/>
              <w:spacing w:after="0"/>
              <w:rPr>
                <w:sz w:val="20"/>
                <w:szCs w:val="20"/>
                <w:color w:val="auto"/>
              </w:rPr>
            </w:pPr>
            <w:r>
              <w:rPr>
                <w:rFonts w:ascii="Arial" w:cs="Arial" w:eastAsia="Arial" w:hAnsi="Arial"/>
                <w:sz w:val="17"/>
                <w:szCs w:val="17"/>
                <w:b w:val="1"/>
                <w:bCs w:val="1"/>
                <w:color w:val="auto"/>
              </w:rPr>
              <w:t>Average balances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040" w:type="dxa"/>
            <w:vAlign w:val="bottom"/>
          </w:tcPr>
          <w:p>
            <w:pPr>
              <w:ind w:left="120"/>
              <w:spacing w:after="0"/>
              <w:rPr>
                <w:sz w:val="20"/>
                <w:szCs w:val="20"/>
                <w:color w:val="auto"/>
              </w:rPr>
            </w:pPr>
            <w:r>
              <w:rPr>
                <w:rFonts w:ascii="Arial" w:cs="Arial" w:eastAsia="Arial" w:hAnsi="Arial"/>
                <w:sz w:val="17"/>
                <w:szCs w:val="17"/>
                <w:color w:val="auto"/>
              </w:rPr>
              <w:t>Advances</w:t>
            </w: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ind w:right="114"/>
              <w:spacing w:after="0"/>
              <w:rPr>
                <w:sz w:val="20"/>
                <w:szCs w:val="20"/>
                <w:color w:val="auto"/>
              </w:rPr>
            </w:pPr>
            <w:r>
              <w:rPr>
                <w:rFonts w:ascii="Arial" w:cs="Arial" w:eastAsia="Arial" w:hAnsi="Arial"/>
                <w:sz w:val="17"/>
                <w:szCs w:val="17"/>
                <w:color w:val="auto"/>
              </w:rPr>
              <w:t>692.2</w:t>
            </w:r>
          </w:p>
        </w:tc>
        <w:tc>
          <w:tcPr>
            <w:tcW w:w="10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ind w:right="114"/>
              <w:spacing w:after="0"/>
              <w:rPr>
                <w:sz w:val="20"/>
                <w:szCs w:val="20"/>
                <w:color w:val="auto"/>
              </w:rPr>
            </w:pPr>
            <w:r>
              <w:rPr>
                <w:rFonts w:ascii="Arial" w:cs="Arial" w:eastAsia="Arial" w:hAnsi="Arial"/>
                <w:sz w:val="17"/>
                <w:szCs w:val="17"/>
                <w:color w:val="auto"/>
              </w:rPr>
              <w:t>745.8</w:t>
            </w: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(7)%</w:t>
            </w:r>
          </w:p>
        </w:tc>
        <w:tc>
          <w:tcPr>
            <w:tcW w:w="80" w:type="dxa"/>
            <w:vAlign w:val="bottom"/>
          </w:tcPr>
          <w:p>
            <w:pPr>
              <w:spacing w:after="0"/>
              <w:rPr>
                <w:sz w:val="19"/>
                <w:szCs w:val="19"/>
                <w:color w:val="auto"/>
              </w:rPr>
            </w:pPr>
          </w:p>
        </w:tc>
        <w:tc>
          <w:tcPr>
            <w:tcW w:w="260" w:type="dxa"/>
            <w:vAlign w:val="bottom"/>
          </w:tcPr>
          <w:p>
            <w:pPr>
              <w:jc w:val="right"/>
              <w:ind w:right="54"/>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134"/>
              <w:spacing w:after="0"/>
              <w:rPr>
                <w:sz w:val="20"/>
                <w:szCs w:val="20"/>
                <w:color w:val="auto"/>
              </w:rPr>
            </w:pPr>
            <w:r>
              <w:rPr>
                <w:rFonts w:ascii="Arial" w:cs="Arial" w:eastAsia="Arial" w:hAnsi="Arial"/>
                <w:sz w:val="17"/>
                <w:szCs w:val="17"/>
                <w:color w:val="auto"/>
              </w:rPr>
              <w:t>718.4</w:t>
            </w:r>
          </w:p>
        </w:tc>
        <w:tc>
          <w:tcPr>
            <w:tcW w:w="8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ind w:right="134"/>
              <w:spacing w:after="0"/>
              <w:rPr>
                <w:sz w:val="20"/>
                <w:szCs w:val="20"/>
                <w:color w:val="auto"/>
              </w:rPr>
            </w:pPr>
            <w:r>
              <w:rPr>
                <w:rFonts w:ascii="Arial" w:cs="Arial" w:eastAsia="Arial" w:hAnsi="Arial"/>
                <w:sz w:val="17"/>
                <w:szCs w:val="17"/>
                <w:color w:val="auto"/>
              </w:rPr>
              <w:t>766.0</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20"/>
        </w:trPr>
        <w:tc>
          <w:tcPr>
            <w:tcW w:w="3040" w:type="dxa"/>
            <w:vAlign w:val="bottom"/>
            <w:shd w:val="clear" w:color="auto" w:fill="CCEEFF"/>
          </w:tcPr>
          <w:p>
            <w:pPr>
              <w:ind w:left="100"/>
              <w:spacing w:after="0"/>
              <w:rPr>
                <w:sz w:val="20"/>
                <w:szCs w:val="20"/>
                <w:color w:val="auto"/>
              </w:rPr>
            </w:pPr>
            <w:r>
              <w:rPr>
                <w:rFonts w:ascii="Arial" w:cs="Arial" w:eastAsia="Arial" w:hAnsi="Arial"/>
                <w:sz w:val="17"/>
                <w:szCs w:val="17"/>
                <w:color w:val="auto"/>
              </w:rPr>
              <w:t>Advance match funded liabilities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467.9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488.2</w:t>
            </w:r>
          </w:p>
        </w:tc>
        <w:tc>
          <w:tcPr>
            <w:tcW w:w="1080" w:type="dxa"/>
            <w:vAlign w:val="bottom"/>
            <w:gridSpan w:val="2"/>
            <w:shd w:val="clear" w:color="auto" w:fill="CCEEFF"/>
          </w:tcPr>
          <w:p>
            <w:pPr>
              <w:jc w:val="right"/>
              <w:ind w:right="94"/>
              <w:spacing w:after="0"/>
              <w:rPr>
                <w:sz w:val="20"/>
                <w:szCs w:val="20"/>
                <w:color w:val="auto"/>
              </w:rPr>
            </w:pPr>
            <w:r>
              <w:rPr>
                <w:rFonts w:ascii="Arial" w:cs="Arial" w:eastAsia="Arial" w:hAnsi="Arial"/>
                <w:sz w:val="17"/>
                <w:szCs w:val="17"/>
                <w:color w:val="auto"/>
              </w:rPr>
              <w:t>(4)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478.0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519.8</w:t>
            </w:r>
          </w:p>
        </w:tc>
        <w:tc>
          <w:tcPr>
            <w:tcW w:w="106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220"/>
        </w:trPr>
        <w:tc>
          <w:tcPr>
            <w:tcW w:w="3040" w:type="dxa"/>
            <w:vAlign w:val="bottom"/>
          </w:tcPr>
          <w:p>
            <w:pPr>
              <w:ind w:left="120"/>
              <w:spacing w:after="0"/>
              <w:rPr>
                <w:sz w:val="20"/>
                <w:szCs w:val="20"/>
                <w:color w:val="auto"/>
              </w:rPr>
            </w:pPr>
            <w:r>
              <w:rPr>
                <w:rFonts w:ascii="Arial" w:cs="Arial" w:eastAsia="Arial" w:hAnsi="Arial"/>
                <w:sz w:val="17"/>
                <w:szCs w:val="17"/>
                <w:color w:val="auto"/>
              </w:rPr>
              <w:t>Mortgage loan warehouse facilities</w:t>
            </w:r>
          </w:p>
        </w:tc>
        <w:tc>
          <w:tcPr>
            <w:tcW w:w="260" w:type="dxa"/>
            <w:vAlign w:val="bottom"/>
          </w:tcPr>
          <w:p>
            <w:pPr>
              <w:spacing w:after="0"/>
              <w:rPr>
                <w:sz w:val="19"/>
                <w:szCs w:val="19"/>
                <w:color w:val="auto"/>
              </w:rPr>
            </w:pPr>
          </w:p>
        </w:tc>
        <w:tc>
          <w:tcPr>
            <w:tcW w:w="1180" w:type="dxa"/>
            <w:vAlign w:val="bottom"/>
          </w:tcPr>
          <w:p>
            <w:pPr>
              <w:jc w:val="right"/>
              <w:ind w:right="114"/>
              <w:spacing w:after="0"/>
              <w:rPr>
                <w:sz w:val="20"/>
                <w:szCs w:val="20"/>
                <w:color w:val="auto"/>
              </w:rPr>
            </w:pPr>
            <w:r>
              <w:rPr>
                <w:rFonts w:ascii="Arial" w:cs="Arial" w:eastAsia="Arial" w:hAnsi="Arial"/>
                <w:sz w:val="17"/>
                <w:szCs w:val="17"/>
                <w:color w:val="auto"/>
              </w:rPr>
              <w:t>205.1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ind w:right="114"/>
              <w:spacing w:after="0"/>
              <w:rPr>
                <w:sz w:val="20"/>
                <w:szCs w:val="20"/>
                <w:color w:val="auto"/>
              </w:rPr>
            </w:pPr>
            <w:r>
              <w:rPr>
                <w:rFonts w:ascii="Arial" w:cs="Arial" w:eastAsia="Arial" w:hAnsi="Arial"/>
                <w:sz w:val="17"/>
                <w:szCs w:val="17"/>
                <w:color w:val="auto"/>
              </w:rPr>
              <w:t>369.8</w:t>
            </w:r>
          </w:p>
        </w:tc>
        <w:tc>
          <w:tcPr>
            <w:tcW w:w="1080" w:type="dxa"/>
            <w:vAlign w:val="bottom"/>
            <w:gridSpan w:val="2"/>
          </w:tcPr>
          <w:p>
            <w:pPr>
              <w:jc w:val="right"/>
              <w:ind w:right="94"/>
              <w:spacing w:after="0"/>
              <w:rPr>
                <w:sz w:val="20"/>
                <w:szCs w:val="20"/>
                <w:color w:val="auto"/>
              </w:rPr>
            </w:pPr>
            <w:r>
              <w:rPr>
                <w:rFonts w:ascii="Arial" w:cs="Arial" w:eastAsia="Arial" w:hAnsi="Arial"/>
                <w:sz w:val="17"/>
                <w:szCs w:val="17"/>
                <w:color w:val="auto"/>
              </w:rPr>
              <w:t>(45)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ind w:right="134"/>
              <w:spacing w:after="0"/>
              <w:rPr>
                <w:sz w:val="20"/>
                <w:szCs w:val="20"/>
                <w:color w:val="auto"/>
              </w:rPr>
            </w:pPr>
            <w:r>
              <w:rPr>
                <w:rFonts w:ascii="Arial" w:cs="Arial" w:eastAsia="Arial" w:hAnsi="Arial"/>
                <w:sz w:val="17"/>
                <w:szCs w:val="17"/>
                <w:color w:val="auto"/>
              </w:rPr>
              <w:t>287.0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ind w:right="134"/>
              <w:spacing w:after="0"/>
              <w:rPr>
                <w:sz w:val="20"/>
                <w:szCs w:val="20"/>
                <w:color w:val="auto"/>
              </w:rPr>
            </w:pPr>
            <w:r>
              <w:rPr>
                <w:rFonts w:ascii="Arial" w:cs="Arial" w:eastAsia="Arial" w:hAnsi="Arial"/>
                <w:sz w:val="17"/>
                <w:szCs w:val="17"/>
                <w:color w:val="auto"/>
              </w:rPr>
              <w:t>180.3</w:t>
            </w:r>
          </w:p>
        </w:tc>
        <w:tc>
          <w:tcPr>
            <w:tcW w:w="1060" w:type="dxa"/>
            <w:vAlign w:val="bottom"/>
            <w:gridSpan w:val="2"/>
          </w:tcPr>
          <w:p>
            <w:pPr>
              <w:jc w:val="right"/>
              <w:ind w:right="114"/>
              <w:spacing w:after="0"/>
              <w:rPr>
                <w:sz w:val="20"/>
                <w:szCs w:val="20"/>
                <w:color w:val="auto"/>
              </w:rPr>
            </w:pPr>
            <w:r>
              <w:rPr>
                <w:rFonts w:ascii="Arial" w:cs="Arial" w:eastAsia="Arial" w:hAnsi="Arial"/>
                <w:sz w:val="17"/>
                <w:szCs w:val="17"/>
                <w:color w:val="auto"/>
              </w:rPr>
              <w:t>59</w:t>
            </w:r>
          </w:p>
        </w:tc>
        <w:tc>
          <w:tcPr>
            <w:tcW w:w="0" w:type="dxa"/>
            <w:vAlign w:val="bottom"/>
          </w:tcPr>
          <w:p>
            <w:pPr>
              <w:spacing w:after="0"/>
              <w:rPr>
                <w:sz w:val="1"/>
                <w:szCs w:val="1"/>
                <w:color w:val="auto"/>
              </w:rPr>
            </w:pPr>
          </w:p>
        </w:tc>
      </w:tr>
      <w:tr>
        <w:trPr>
          <w:trHeight w:val="220"/>
        </w:trPr>
        <w:tc>
          <w:tcPr>
            <w:tcW w:w="30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MSR financing facilities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901.6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925.8</w:t>
            </w:r>
          </w:p>
        </w:tc>
        <w:tc>
          <w:tcPr>
            <w:tcW w:w="1080" w:type="dxa"/>
            <w:vAlign w:val="bottom"/>
            <w:gridSpan w:val="2"/>
            <w:shd w:val="clear" w:color="auto" w:fill="CCEEFF"/>
          </w:tcPr>
          <w:p>
            <w:pPr>
              <w:jc w:val="right"/>
              <w:ind w:right="94"/>
              <w:spacing w:after="0"/>
              <w:rPr>
                <w:sz w:val="20"/>
                <w:szCs w:val="20"/>
                <w:color w:val="auto"/>
              </w:rPr>
            </w:pPr>
            <w:r>
              <w:rPr>
                <w:rFonts w:ascii="Arial" w:cs="Arial" w:eastAsia="Arial" w:hAnsi="Arial"/>
                <w:sz w:val="17"/>
                <w:szCs w:val="17"/>
                <w:color w:val="auto"/>
              </w:rPr>
              <w:t>(3)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913.6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442.5</w:t>
            </w:r>
          </w:p>
        </w:tc>
        <w:tc>
          <w:tcPr>
            <w:tcW w:w="1060" w:type="dxa"/>
            <w:vAlign w:val="bottom"/>
            <w:gridSpan w:val="2"/>
            <w:shd w:val="clear" w:color="auto" w:fill="CCEEFF"/>
          </w:tcPr>
          <w:p>
            <w:pPr>
              <w:jc w:val="right"/>
              <w:ind w:right="114"/>
              <w:spacing w:after="0"/>
              <w:rPr>
                <w:sz w:val="20"/>
                <w:szCs w:val="20"/>
                <w:color w:val="auto"/>
              </w:rPr>
            </w:pPr>
            <w:r>
              <w:rPr>
                <w:rFonts w:ascii="Arial" w:cs="Arial" w:eastAsia="Arial" w:hAnsi="Arial"/>
                <w:sz w:val="17"/>
                <w:szCs w:val="17"/>
                <w:color w:val="auto"/>
              </w:rPr>
              <w:t>106</w:t>
            </w:r>
          </w:p>
        </w:tc>
        <w:tc>
          <w:tcPr>
            <w:tcW w:w="0" w:type="dxa"/>
            <w:vAlign w:val="bottom"/>
          </w:tcPr>
          <w:p>
            <w:pPr>
              <w:spacing w:after="0"/>
              <w:rPr>
                <w:sz w:val="1"/>
                <w:szCs w:val="1"/>
                <w:color w:val="auto"/>
              </w:rPr>
            </w:pPr>
          </w:p>
        </w:tc>
      </w:tr>
      <w:tr>
        <w:trPr>
          <w:trHeight w:val="297"/>
        </w:trPr>
        <w:tc>
          <w:tcPr>
            <w:tcW w:w="3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3040" w:type="dxa"/>
            <w:vAlign w:val="bottom"/>
            <w:shd w:val="clear" w:color="auto" w:fill="CCEEFF"/>
          </w:tcPr>
          <w:p>
            <w:pPr>
              <w:ind w:left="40"/>
              <w:spacing w:after="0"/>
              <w:rPr>
                <w:sz w:val="20"/>
                <w:szCs w:val="20"/>
                <w:color w:val="auto"/>
              </w:rPr>
            </w:pPr>
            <w:r>
              <w:rPr>
                <w:rFonts w:ascii="Arial" w:cs="Arial" w:eastAsia="Arial" w:hAnsi="Arial"/>
                <w:sz w:val="17"/>
                <w:szCs w:val="17"/>
                <w:b w:val="1"/>
                <w:bCs w:val="1"/>
                <w:color w:val="auto"/>
              </w:rPr>
              <w:t>Effective average interest rate</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040" w:type="dxa"/>
            <w:vAlign w:val="bottom"/>
          </w:tcPr>
          <w:p>
            <w:pPr>
              <w:ind w:left="120"/>
              <w:spacing w:after="0"/>
              <w:rPr>
                <w:sz w:val="20"/>
                <w:szCs w:val="20"/>
                <w:color w:val="auto"/>
              </w:rPr>
            </w:pPr>
            <w:r>
              <w:rPr>
                <w:rFonts w:ascii="Arial" w:cs="Arial" w:eastAsia="Arial" w:hAnsi="Arial"/>
                <w:sz w:val="17"/>
                <w:szCs w:val="17"/>
                <w:color w:val="auto"/>
              </w:rPr>
              <w:t>Advance match funded liabilities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2.39 %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2.22 %</w:t>
            </w: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8 %</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2.30 %</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3.37 %</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(32)%</w:t>
            </w:r>
          </w:p>
        </w:tc>
        <w:tc>
          <w:tcPr>
            <w:tcW w:w="0" w:type="dxa"/>
            <w:vAlign w:val="bottom"/>
          </w:tcPr>
          <w:p>
            <w:pPr>
              <w:spacing w:after="0"/>
              <w:rPr>
                <w:sz w:val="1"/>
                <w:szCs w:val="1"/>
                <w:color w:val="auto"/>
              </w:rPr>
            </w:pPr>
          </w:p>
        </w:tc>
      </w:tr>
      <w:tr>
        <w:trPr>
          <w:trHeight w:val="220"/>
        </w:trPr>
        <w:tc>
          <w:tcPr>
            <w:tcW w:w="30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Mortgage loan warehouse facilities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3.50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3.32</w:t>
            </w:r>
          </w:p>
        </w:tc>
        <w:tc>
          <w:tcPr>
            <w:tcW w:w="1080" w:type="dxa"/>
            <w:vAlign w:val="bottom"/>
            <w:gridSpan w:val="2"/>
            <w:shd w:val="clear" w:color="auto" w:fill="CCEEFF"/>
          </w:tcPr>
          <w:p>
            <w:pPr>
              <w:jc w:val="right"/>
              <w:ind w:right="134"/>
              <w:spacing w:after="0"/>
              <w:rPr>
                <w:sz w:val="20"/>
                <w:szCs w:val="20"/>
                <w:color w:val="auto"/>
              </w:rPr>
            </w:pPr>
            <w:r>
              <w:rPr>
                <w:rFonts w:ascii="Arial" w:cs="Arial" w:eastAsia="Arial" w:hAnsi="Arial"/>
                <w:sz w:val="17"/>
                <w:szCs w:val="17"/>
                <w:color w:val="auto"/>
              </w:rPr>
              <w:t>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3.39</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3.81</w:t>
            </w:r>
          </w:p>
        </w:tc>
        <w:tc>
          <w:tcPr>
            <w:tcW w:w="106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20"/>
        </w:trPr>
        <w:tc>
          <w:tcPr>
            <w:tcW w:w="3040" w:type="dxa"/>
            <w:vAlign w:val="bottom"/>
          </w:tcPr>
          <w:p>
            <w:pPr>
              <w:ind w:left="120"/>
              <w:spacing w:after="0"/>
              <w:rPr>
                <w:sz w:val="20"/>
                <w:szCs w:val="20"/>
                <w:color w:val="auto"/>
              </w:rPr>
            </w:pPr>
            <w:r>
              <w:rPr>
                <w:rFonts w:ascii="Arial" w:cs="Arial" w:eastAsia="Arial" w:hAnsi="Arial"/>
                <w:sz w:val="17"/>
                <w:szCs w:val="17"/>
                <w:color w:val="auto"/>
              </w:rPr>
              <w:t>MSR financing facilities</w:t>
            </w:r>
          </w:p>
        </w:tc>
        <w:tc>
          <w:tcPr>
            <w:tcW w:w="260" w:type="dxa"/>
            <w:vAlign w:val="bottom"/>
          </w:tcPr>
          <w:p>
            <w:pPr>
              <w:spacing w:after="0"/>
              <w:rPr>
                <w:sz w:val="19"/>
                <w:szCs w:val="19"/>
                <w:color w:val="auto"/>
              </w:rPr>
            </w:pPr>
          </w:p>
        </w:tc>
        <w:tc>
          <w:tcPr>
            <w:tcW w:w="1180" w:type="dxa"/>
            <w:vAlign w:val="bottom"/>
          </w:tcPr>
          <w:p>
            <w:pPr>
              <w:jc w:val="right"/>
              <w:ind w:right="114"/>
              <w:spacing w:after="0"/>
              <w:rPr>
                <w:sz w:val="20"/>
                <w:szCs w:val="20"/>
                <w:color w:val="auto"/>
              </w:rPr>
            </w:pPr>
            <w:r>
              <w:rPr>
                <w:rFonts w:ascii="Arial" w:cs="Arial" w:eastAsia="Arial" w:hAnsi="Arial"/>
                <w:sz w:val="17"/>
                <w:szCs w:val="17"/>
                <w:color w:val="auto"/>
              </w:rPr>
              <w:t>3.80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ind w:right="114"/>
              <w:spacing w:after="0"/>
              <w:rPr>
                <w:sz w:val="20"/>
                <w:szCs w:val="20"/>
                <w:color w:val="auto"/>
              </w:rPr>
            </w:pPr>
            <w:r>
              <w:rPr>
                <w:rFonts w:ascii="Arial" w:cs="Arial" w:eastAsia="Arial" w:hAnsi="Arial"/>
                <w:sz w:val="17"/>
                <w:szCs w:val="17"/>
                <w:color w:val="auto"/>
              </w:rPr>
              <w:t>3.37</w:t>
            </w:r>
          </w:p>
        </w:tc>
        <w:tc>
          <w:tcPr>
            <w:tcW w:w="1080" w:type="dxa"/>
            <w:vAlign w:val="bottom"/>
            <w:gridSpan w:val="2"/>
          </w:tcPr>
          <w:p>
            <w:pPr>
              <w:jc w:val="right"/>
              <w:ind w:right="134"/>
              <w:spacing w:after="0"/>
              <w:rPr>
                <w:sz w:val="20"/>
                <w:szCs w:val="20"/>
                <w:color w:val="auto"/>
              </w:rPr>
            </w:pPr>
            <w:r>
              <w:rPr>
                <w:rFonts w:ascii="Arial" w:cs="Arial" w:eastAsia="Arial" w:hAnsi="Arial"/>
                <w:sz w:val="17"/>
                <w:szCs w:val="17"/>
                <w:color w:val="auto"/>
              </w:rPr>
              <w:t>13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ind w:right="134"/>
              <w:spacing w:after="0"/>
              <w:rPr>
                <w:sz w:val="20"/>
                <w:szCs w:val="20"/>
                <w:color w:val="auto"/>
              </w:rPr>
            </w:pPr>
            <w:r>
              <w:rPr>
                <w:rFonts w:ascii="Arial" w:cs="Arial" w:eastAsia="Arial" w:hAnsi="Arial"/>
                <w:sz w:val="17"/>
                <w:szCs w:val="17"/>
                <w:color w:val="auto"/>
              </w:rPr>
              <w:t>3.58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ind w:right="134"/>
              <w:spacing w:after="0"/>
              <w:rPr>
                <w:sz w:val="20"/>
                <w:szCs w:val="20"/>
                <w:color w:val="auto"/>
              </w:rPr>
            </w:pPr>
            <w:r>
              <w:rPr>
                <w:rFonts w:ascii="Arial" w:cs="Arial" w:eastAsia="Arial" w:hAnsi="Arial"/>
                <w:sz w:val="17"/>
                <w:szCs w:val="17"/>
                <w:color w:val="auto"/>
              </w:rPr>
              <w:t>4.22</w:t>
            </w:r>
          </w:p>
        </w:tc>
        <w:tc>
          <w:tcPr>
            <w:tcW w:w="1060" w:type="dxa"/>
            <w:vAlign w:val="bottom"/>
            <w:gridSpan w:val="2"/>
          </w:tcPr>
          <w:p>
            <w:pPr>
              <w:jc w:val="right"/>
              <w:ind w:right="74"/>
              <w:spacing w:after="0"/>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220"/>
        </w:trPr>
        <w:tc>
          <w:tcPr>
            <w:tcW w:w="330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w w:val="96"/>
              </w:rPr>
              <w:t>Facility costs included in interest expense $</w:t>
            </w:r>
          </w:p>
        </w:tc>
        <w:tc>
          <w:tcPr>
            <w:tcW w:w="118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2.3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2.2</w:t>
            </w:r>
          </w:p>
        </w:tc>
        <w:tc>
          <w:tcPr>
            <w:tcW w:w="1080" w:type="dxa"/>
            <w:vAlign w:val="bottom"/>
            <w:gridSpan w:val="2"/>
            <w:shd w:val="clear" w:color="auto" w:fill="CCEEFF"/>
          </w:tcPr>
          <w:p>
            <w:pPr>
              <w:jc w:val="right"/>
              <w:ind w:right="134"/>
              <w:spacing w:after="0"/>
              <w:rPr>
                <w:sz w:val="20"/>
                <w:szCs w:val="20"/>
                <w:color w:val="auto"/>
              </w:rPr>
            </w:pPr>
            <w:r>
              <w:rPr>
                <w:rFonts w:ascii="Arial" w:cs="Arial" w:eastAsia="Arial" w:hAnsi="Arial"/>
                <w:sz w:val="17"/>
                <w:szCs w:val="17"/>
                <w:color w:val="auto"/>
              </w:rPr>
              <w:t>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4.5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5.7</w:t>
            </w:r>
          </w:p>
        </w:tc>
        <w:tc>
          <w:tcPr>
            <w:tcW w:w="106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(20)</w:t>
            </w:r>
          </w:p>
        </w:tc>
        <w:tc>
          <w:tcPr>
            <w:tcW w:w="0" w:type="dxa"/>
            <w:vAlign w:val="bottom"/>
          </w:tcPr>
          <w:p>
            <w:pPr>
              <w:spacing w:after="0"/>
              <w:rPr>
                <w:sz w:val="1"/>
                <w:szCs w:val="1"/>
                <w:color w:val="auto"/>
              </w:rPr>
            </w:pPr>
          </w:p>
        </w:tc>
      </w:tr>
      <w:tr>
        <w:trPr>
          <w:trHeight w:val="220"/>
        </w:trPr>
        <w:tc>
          <w:tcPr>
            <w:tcW w:w="3040" w:type="dxa"/>
            <w:vAlign w:val="bottom"/>
          </w:tcPr>
          <w:p>
            <w:pPr>
              <w:ind w:left="20"/>
              <w:spacing w:after="0"/>
              <w:rPr>
                <w:sz w:val="20"/>
                <w:szCs w:val="20"/>
                <w:color w:val="auto"/>
              </w:rPr>
            </w:pPr>
            <w:r>
              <w:rPr>
                <w:rFonts w:ascii="Arial" w:cs="Arial" w:eastAsia="Arial" w:hAnsi="Arial"/>
                <w:sz w:val="17"/>
                <w:szCs w:val="17"/>
                <w:color w:val="auto"/>
              </w:rPr>
              <w:t>Average 1ML</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1.01 %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0.23 %</w:t>
            </w: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348 %</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0.61 %</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0.11 %</w:t>
            </w:r>
          </w:p>
        </w:tc>
        <w:tc>
          <w:tcPr>
            <w:tcW w:w="1060" w:type="dxa"/>
            <w:vAlign w:val="bottom"/>
            <w:gridSpan w:val="2"/>
          </w:tcPr>
          <w:p>
            <w:pPr>
              <w:jc w:val="right"/>
              <w:ind w:right="114"/>
              <w:spacing w:after="0"/>
              <w:rPr>
                <w:sz w:val="20"/>
                <w:szCs w:val="20"/>
                <w:color w:val="auto"/>
              </w:rPr>
            </w:pPr>
            <w:r>
              <w:rPr>
                <w:rFonts w:ascii="Arial" w:cs="Arial" w:eastAsia="Arial" w:hAnsi="Arial"/>
                <w:sz w:val="17"/>
                <w:szCs w:val="17"/>
                <w:color w:val="auto"/>
              </w:rPr>
              <w:t>467</w:t>
            </w:r>
          </w:p>
        </w:tc>
        <w:tc>
          <w:tcPr>
            <w:tcW w:w="0" w:type="dxa"/>
            <w:vAlign w:val="bottom"/>
          </w:tcPr>
          <w:p>
            <w:pPr>
              <w:spacing w:after="0"/>
              <w:rPr>
                <w:sz w:val="1"/>
                <w:szCs w:val="1"/>
                <w:color w:val="auto"/>
              </w:rPr>
            </w:pPr>
          </w:p>
        </w:tc>
      </w:tr>
      <w:tr>
        <w:trPr>
          <w:trHeight w:val="220"/>
        </w:trPr>
        <w:tc>
          <w:tcPr>
            <w:tcW w:w="3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Average 1M Term SOFR</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0.92 %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0.16 %</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475 %</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0.54 %</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0.03 %</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n/m</w:t>
            </w:r>
          </w:p>
        </w:tc>
        <w:tc>
          <w:tcPr>
            <w:tcW w:w="0" w:type="dxa"/>
            <w:vAlign w:val="bottom"/>
          </w:tcPr>
          <w:p>
            <w:pPr>
              <w:spacing w:after="0"/>
              <w:rPr>
                <w:sz w:val="1"/>
                <w:szCs w:val="1"/>
                <w:color w:val="auto"/>
              </w:rPr>
            </w:pPr>
          </w:p>
        </w:tc>
      </w:tr>
    </w:tbl>
    <w:p>
      <w:pPr>
        <w:spacing w:after="0" w:line="186" w:lineRule="exact"/>
        <w:rPr>
          <w:sz w:val="20"/>
          <w:szCs w:val="20"/>
          <w:color w:val="auto"/>
        </w:rPr>
      </w:pPr>
    </w:p>
    <w:p>
      <w:pPr>
        <w:ind w:left="320" w:right="120" w:hanging="317"/>
        <w:spacing w:after="0" w:line="243" w:lineRule="auto"/>
        <w:tabs>
          <w:tab w:leader="none" w:pos="320" w:val="left"/>
        </w:tabs>
        <w:numPr>
          <w:ilvl w:val="0"/>
          <w:numId w:val="52"/>
        </w:numPr>
        <w:rPr>
          <w:rFonts w:ascii="Arial" w:cs="Arial" w:eastAsia="Arial" w:hAnsi="Arial"/>
          <w:sz w:val="16"/>
          <w:szCs w:val="16"/>
          <w:color w:val="auto"/>
        </w:rPr>
      </w:pPr>
      <w:r>
        <w:rPr>
          <w:rFonts w:ascii="Arial" w:cs="Arial" w:eastAsia="Arial" w:hAnsi="Arial"/>
          <w:sz w:val="16"/>
          <w:szCs w:val="16"/>
          <w:color w:val="auto"/>
        </w:rPr>
        <w:t>Effective in the first quarter of 2022, interest expense on the OFC Senior Secured Notes is no longer allocated to the Servicing segment. Corporate debt interest expense allocation for prior periods has been recast to conform to the current period presentation. The interest expense allocation adjustment for the six months ended June 30, 2021 is $7.4 million.</w:t>
      </w:r>
    </w:p>
    <w:p>
      <w:pPr>
        <w:spacing w:after="0" w:line="83" w:lineRule="exact"/>
        <w:rPr>
          <w:sz w:val="20"/>
          <w:szCs w:val="20"/>
          <w:color w:val="auto"/>
        </w:rPr>
      </w:pPr>
    </w:p>
    <w:p>
      <w:pPr>
        <w:ind w:right="260"/>
        <w:spacing w:after="0" w:line="292" w:lineRule="auto"/>
        <w:rPr>
          <w:sz w:val="20"/>
          <w:szCs w:val="20"/>
          <w:color w:val="auto"/>
        </w:rPr>
      </w:pPr>
      <w:r>
        <w:rPr>
          <w:rFonts w:ascii="Arial" w:cs="Arial" w:eastAsia="Arial" w:hAnsi="Arial"/>
          <w:sz w:val="16"/>
          <w:szCs w:val="16"/>
          <w:color w:val="auto"/>
        </w:rPr>
        <w:t>Interest expense for the three months ended June 30, 2022 was mostly flat (declined by $0.8 million or 3%) as compared to the three months ended March 31, 2022, with the decrease in our average debt balances mostly offset by a higher average funding cost. The decrease in our average debt balances was mostly due our efforts to reduce the loans held for sale portfolio, including repurchased loans from Ginnie Mae securitizations.</w:t>
      </w:r>
    </w:p>
    <w:p>
      <w:pPr>
        <w:spacing w:after="0" w:line="52" w:lineRule="exact"/>
        <w:rPr>
          <w:sz w:val="20"/>
          <w:szCs w:val="20"/>
          <w:color w:val="auto"/>
        </w:rPr>
      </w:pPr>
    </w:p>
    <w:p>
      <w:pPr>
        <w:ind w:right="40"/>
        <w:spacing w:after="0" w:line="304" w:lineRule="auto"/>
        <w:rPr>
          <w:sz w:val="20"/>
          <w:szCs w:val="20"/>
          <w:color w:val="auto"/>
        </w:rPr>
      </w:pPr>
      <w:r>
        <w:rPr>
          <w:rFonts w:ascii="Arial" w:cs="Arial" w:eastAsia="Arial" w:hAnsi="Arial"/>
          <w:sz w:val="15"/>
          <w:szCs w:val="15"/>
          <w:color w:val="auto"/>
        </w:rPr>
        <w:t>As compared to the six months ended June 30, 2021, interest expense for the six months ended June 30, 2022 increased $9.2 million, or 25%, due to an overall increase in the average debt balances to finance the growth of the business, partially offset by a lower funding cost. The $7.1 million increase in interest expense on MSR financing facilities, $3.8 million increase in the corporate debt interest expense allocation and $1.4 million increase on mortgage loan warehouse facilities, are mostly the result of a larger MSR portfolio, partially offset by lower funding costs. These increases in interest expense were partially offset by a $3.3 million decline in interest expense on advance match funded facilities due to a lower average balance of advances and borrowings and a lower cost of funds.</w:t>
      </w:r>
    </w:p>
    <w:p>
      <w:pPr>
        <w:spacing w:after="0" w:line="45" w:lineRule="exact"/>
        <w:rPr>
          <w:sz w:val="20"/>
          <w:szCs w:val="20"/>
          <w:color w:val="auto"/>
        </w:rPr>
      </w:pPr>
    </w:p>
    <w:p>
      <w:pPr>
        <w:ind w:right="200"/>
        <w:spacing w:after="0" w:line="263" w:lineRule="auto"/>
        <w:rPr>
          <w:sz w:val="20"/>
          <w:szCs w:val="20"/>
          <w:color w:val="auto"/>
        </w:rPr>
      </w:pPr>
      <w:r>
        <w:rPr>
          <w:rFonts w:ascii="Arial" w:cs="Arial" w:eastAsia="Arial" w:hAnsi="Arial"/>
          <w:sz w:val="17"/>
          <w:szCs w:val="17"/>
          <w:color w:val="auto"/>
        </w:rPr>
        <w:t>Interest income for the three months ended June 30, 2022 decreased $1.1 million as compared to the three months ended March 31, 2022 mostly due to lower loans held for sale average balance driven by a significant sale of Ginnie Mae repurchased loans in the second quarter of 2022. As compared to the six months ended June 30, 2021, interest income for the six months ended June 30, 2022 increased $4.6 million primarily due to higher loans held for sale average balances driven by higher Ginnie Mae EBO repurchases during 2021 and the first quarter of 2022.</w:t>
      </w:r>
    </w:p>
    <w:p>
      <w:pPr>
        <w:spacing w:after="0" w:line="73" w:lineRule="exact"/>
        <w:rPr>
          <w:sz w:val="20"/>
          <w:szCs w:val="20"/>
          <w:color w:val="auto"/>
        </w:rPr>
      </w:pPr>
    </w:p>
    <w:p>
      <w:pPr>
        <w:ind w:right="180"/>
        <w:spacing w:after="0" w:line="283" w:lineRule="auto"/>
        <w:rPr>
          <w:sz w:val="20"/>
          <w:szCs w:val="20"/>
          <w:color w:val="auto"/>
        </w:rPr>
      </w:pPr>
      <w:r>
        <w:rPr>
          <w:rFonts w:ascii="Arial" w:cs="Arial" w:eastAsia="Arial" w:hAnsi="Arial"/>
          <w:sz w:val="17"/>
          <w:szCs w:val="17"/>
          <w:color w:val="auto"/>
        </w:rPr>
        <w:t>Pledged MSR liability expense relates to the MSR transfers that do not qualify for sale accounting and are presented on a gross basis in our financial statements. See Note 8 — MSR Transfers Not Qualifying for Sale Accounting to the Unaudited</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7" w:right="339" w:bottom="1440" w:gutter="0" w:footer="0" w:header="0"/>
        </w:sectPr>
      </w:pPr>
    </w:p>
    <w:bookmarkStart w:id="81" w:name="page82"/>
    <w:bookmarkEnd w:id="81"/>
    <w:p>
      <w:pPr>
        <w:ind w:right="500"/>
        <w:spacing w:after="0" w:line="283" w:lineRule="auto"/>
        <w:rPr>
          <w:sz w:val="20"/>
          <w:szCs w:val="20"/>
          <w:color w:val="auto"/>
        </w:rPr>
      </w:pPr>
      <w:r>
        <w:rPr>
          <w:rFonts w:ascii="Arial" w:cs="Arial" w:eastAsia="Arial" w:hAnsi="Arial"/>
          <w:sz w:val="17"/>
          <w:szCs w:val="17"/>
          <w:color w:val="auto"/>
        </w:rPr>
        <w:t>Consolidated Financial Statements. Pledged MSR liability expense includes the servicing fee remittance for these transfers and the fair value changes of the pledged MSR liability.</w:t>
      </w:r>
    </w:p>
    <w:p>
      <w:pPr>
        <w:spacing w:after="0" w:line="5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information regarding Pledged MSR liability expense:</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240" w:type="dxa"/>
            <w:vAlign w:val="bottom"/>
          </w:tcPr>
          <w:p>
            <w:pPr>
              <w:spacing w:after="0"/>
              <w:rPr>
                <w:sz w:val="19"/>
                <w:szCs w:val="19"/>
                <w:color w:val="auto"/>
              </w:rPr>
            </w:pPr>
          </w:p>
        </w:tc>
        <w:tc>
          <w:tcPr>
            <w:tcW w:w="2880" w:type="dxa"/>
            <w:vAlign w:val="bottom"/>
            <w:tcBorders>
              <w:bottom w:val="single" w:sz="8" w:color="auto"/>
            </w:tcBorders>
            <w:gridSpan w:val="5"/>
          </w:tcPr>
          <w:p>
            <w:pPr>
              <w:ind w:left="660"/>
              <w:spacing w:after="0"/>
              <w:rPr>
                <w:sz w:val="20"/>
                <w:szCs w:val="20"/>
                <w:color w:val="auto"/>
              </w:rPr>
            </w:pPr>
            <w:r>
              <w:rPr>
                <w:rFonts w:ascii="Arial" w:cs="Arial" w:eastAsia="Arial" w:hAnsi="Arial"/>
                <w:sz w:val="17"/>
                <w:szCs w:val="17"/>
                <w:b w:val="1"/>
                <w:bCs w:val="1"/>
                <w:color w:val="auto"/>
              </w:rPr>
              <w:t>Three Months Ended</w:t>
            </w:r>
          </w:p>
        </w:tc>
        <w:tc>
          <w:tcPr>
            <w:tcW w:w="100" w:type="dxa"/>
            <w:vAlign w:val="bottom"/>
            <w:tcBorders>
              <w:bottom w:val="single" w:sz="8" w:color="auto"/>
            </w:tcBorders>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620" w:type="dxa"/>
            <w:vAlign w:val="bottom"/>
            <w:tcBorders>
              <w:bottom w:val="single" w:sz="8" w:color="auto"/>
            </w:tcBorders>
            <w:gridSpan w:val="4"/>
          </w:tcPr>
          <w:p>
            <w:pPr>
              <w:jc w:val="right"/>
              <w:ind w:right="654"/>
              <w:spacing w:after="0"/>
              <w:rPr>
                <w:sz w:val="20"/>
                <w:szCs w:val="20"/>
                <w:color w:val="auto"/>
              </w:rPr>
            </w:pPr>
            <w:r>
              <w:rPr>
                <w:rFonts w:ascii="Arial" w:cs="Arial" w:eastAsia="Arial" w:hAnsi="Arial"/>
                <w:sz w:val="17"/>
                <w:szCs w:val="17"/>
                <w:b w:val="1"/>
                <w:bCs w:val="1"/>
                <w:color w:val="auto"/>
              </w:rPr>
              <w:t>Six Months Ended</w:t>
            </w: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June 30,</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ind w:left="100"/>
              <w:spacing w:after="0"/>
              <w:rPr>
                <w:sz w:val="20"/>
                <w:szCs w:val="20"/>
                <w:color w:val="auto"/>
              </w:rPr>
            </w:pPr>
            <w:r>
              <w:rPr>
                <w:rFonts w:ascii="Arial" w:cs="Arial" w:eastAsia="Arial" w:hAnsi="Arial"/>
                <w:sz w:val="17"/>
                <w:szCs w:val="17"/>
                <w:b w:val="1"/>
                <w:bCs w:val="1"/>
                <w:color w:val="auto"/>
              </w:rPr>
              <w:t>March 31</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2"/>
          </w:tcPr>
          <w:p>
            <w:pPr>
              <w:ind w:left="140"/>
              <w:spacing w:after="0"/>
              <w:rPr>
                <w:sz w:val="20"/>
                <w:szCs w:val="20"/>
                <w:color w:val="auto"/>
              </w:rPr>
            </w:pPr>
            <w:r>
              <w:rPr>
                <w:rFonts w:ascii="Arial" w:cs="Arial" w:eastAsia="Arial" w:hAnsi="Arial"/>
                <w:sz w:val="17"/>
                <w:szCs w:val="17"/>
                <w:b w:val="1"/>
                <w:bCs w:val="1"/>
                <w:color w:val="auto"/>
              </w:rPr>
              <w:t>June 30,</w:t>
            </w:r>
          </w:p>
        </w:tc>
        <w:tc>
          <w:tcPr>
            <w:tcW w:w="240" w:type="dxa"/>
            <w:vAlign w:val="bottom"/>
          </w:tcPr>
          <w:p>
            <w:pPr>
              <w:spacing w:after="0"/>
              <w:rPr>
                <w:sz w:val="19"/>
                <w:szCs w:val="19"/>
                <w:color w:val="auto"/>
              </w:rPr>
            </w:pPr>
          </w:p>
        </w:tc>
        <w:tc>
          <w:tcPr>
            <w:tcW w:w="1140" w:type="dxa"/>
            <w:vAlign w:val="bottom"/>
          </w:tcPr>
          <w:p>
            <w:pPr>
              <w:jc w:val="right"/>
              <w:ind w:right="294"/>
              <w:spacing w:after="0"/>
              <w:rPr>
                <w:sz w:val="20"/>
                <w:szCs w:val="20"/>
                <w:color w:val="auto"/>
              </w:rPr>
            </w:pPr>
            <w:r>
              <w:rPr>
                <w:rFonts w:ascii="Arial" w:cs="Arial" w:eastAsia="Arial" w:hAnsi="Arial"/>
                <w:sz w:val="17"/>
                <w:szCs w:val="17"/>
                <w:b w:val="1"/>
                <w:bCs w:val="1"/>
                <w:color w:val="auto"/>
              </w:rPr>
              <w:t>June 30,</w:t>
            </w: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3240" w:type="dxa"/>
            <w:vAlign w:val="bottom"/>
            <w:tcBorders>
              <w:bottom w:val="single" w:sz="8" w:color="CCEEFF"/>
            </w:tcBorders>
          </w:tcPr>
          <w:p>
            <w:pPr>
              <w:spacing w:after="0"/>
              <w:rPr>
                <w:sz w:val="21"/>
                <w:szCs w:val="21"/>
                <w:color w:val="auto"/>
              </w:rPr>
            </w:pPr>
          </w:p>
        </w:tc>
        <w:tc>
          <w:tcPr>
            <w:tcW w:w="102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b w:val="1"/>
                <w:bCs w:val="1"/>
                <w:color w:val="auto"/>
              </w:rPr>
              <w:t>2022</w:t>
            </w:r>
          </w:p>
        </w:tc>
        <w:tc>
          <w:tcPr>
            <w:tcW w:w="36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ind w:left="300"/>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bottom w:val="single" w:sz="8" w:color="CCEEFF"/>
            </w:tcBorders>
          </w:tcPr>
          <w:p>
            <w:pPr>
              <w:spacing w:after="0"/>
              <w:rPr>
                <w:sz w:val="21"/>
                <w:szCs w:val="21"/>
                <w:color w:val="auto"/>
              </w:rPr>
            </w:pPr>
          </w:p>
        </w:tc>
        <w:tc>
          <w:tcPr>
            <w:tcW w:w="1080" w:type="dxa"/>
            <w:vAlign w:val="bottom"/>
            <w:tcBorders>
              <w:bottom w:val="single" w:sz="8" w:color="CCEEFF"/>
            </w:tcBorders>
          </w:tcPr>
          <w:p>
            <w:pPr>
              <w:jc w:val="right"/>
              <w:ind w:right="114"/>
              <w:spacing w:after="0"/>
              <w:rPr>
                <w:sz w:val="20"/>
                <w:szCs w:val="20"/>
                <w:color w:val="auto"/>
              </w:rPr>
            </w:pPr>
            <w:r>
              <w:rPr>
                <w:rFonts w:ascii="Arial" w:cs="Arial" w:eastAsia="Arial" w:hAnsi="Arial"/>
                <w:sz w:val="17"/>
                <w:szCs w:val="17"/>
                <w:b w:val="1"/>
                <w:bCs w:val="1"/>
                <w:color w:val="auto"/>
              </w:rPr>
              <w:t>% Change</w:t>
            </w: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34"/>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34"/>
              <w:spacing w:after="0"/>
              <w:rPr>
                <w:sz w:val="20"/>
                <w:szCs w:val="20"/>
                <w:color w:val="auto"/>
              </w:rPr>
            </w:pPr>
            <w:r>
              <w:rPr>
                <w:rFonts w:ascii="Arial" w:cs="Arial" w:eastAsia="Arial" w:hAnsi="Arial"/>
                <w:sz w:val="17"/>
                <w:szCs w:val="17"/>
                <w:b w:val="1"/>
                <w:bCs w:val="1"/>
                <w:color w:val="auto"/>
              </w:rPr>
              <w:t>2021</w:t>
            </w:r>
          </w:p>
        </w:tc>
        <w:tc>
          <w:tcPr>
            <w:tcW w:w="1080" w:type="dxa"/>
            <w:vAlign w:val="bottom"/>
            <w:tcBorders>
              <w:bottom w:val="single" w:sz="8" w:color="CCEEFF"/>
            </w:tcBorders>
          </w:tcPr>
          <w:p>
            <w:pPr>
              <w:jc w:val="right"/>
              <w:ind w:right="14"/>
              <w:spacing w:after="0"/>
              <w:rPr>
                <w:sz w:val="20"/>
                <w:szCs w:val="20"/>
                <w:color w:val="auto"/>
              </w:rPr>
            </w:pPr>
            <w:r>
              <w:rPr>
                <w:rFonts w:ascii="Arial" w:cs="Arial" w:eastAsia="Arial" w:hAnsi="Arial"/>
                <w:sz w:val="17"/>
                <w:szCs w:val="17"/>
                <w:b w:val="1"/>
                <w:bCs w:val="1"/>
                <w:color w:val="auto"/>
              </w:rPr>
              <w:t>% Change</w:t>
            </w:r>
          </w:p>
        </w:tc>
        <w:tc>
          <w:tcPr>
            <w:tcW w:w="0" w:type="dxa"/>
            <w:vAlign w:val="bottom"/>
          </w:tcPr>
          <w:p>
            <w:pPr>
              <w:spacing w:after="0"/>
              <w:rPr>
                <w:sz w:val="1"/>
                <w:szCs w:val="1"/>
                <w:color w:val="auto"/>
              </w:rPr>
            </w:pPr>
          </w:p>
        </w:tc>
      </w:tr>
      <w:tr>
        <w:trPr>
          <w:trHeight w:val="213"/>
        </w:trPr>
        <w:tc>
          <w:tcPr>
            <w:tcW w:w="3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servicing fee remittance (1)</w:t>
            </w:r>
          </w:p>
        </w:tc>
        <w:tc>
          <w:tcPr>
            <w:tcW w:w="1020" w:type="dxa"/>
            <w:vAlign w:val="bottom"/>
            <w:shd w:val="clear" w:color="auto" w:fill="CCEEFF"/>
          </w:tcPr>
          <w:p>
            <w:pPr>
              <w:jc w:val="right"/>
              <w:ind w:right="834"/>
              <w:spacing w:after="0"/>
              <w:rPr>
                <w:sz w:val="20"/>
                <w:szCs w:val="20"/>
                <w:color w:val="auto"/>
              </w:rPr>
            </w:pPr>
            <w:r>
              <w:rPr>
                <w:rFonts w:ascii="Arial" w:cs="Arial" w:eastAsia="Arial" w:hAnsi="Arial"/>
                <w:sz w:val="17"/>
                <w:szCs w:val="17"/>
                <w:color w:val="auto"/>
                <w:w w:val="84"/>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61.2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ind w:left="780"/>
              <w:spacing w:after="0"/>
              <w:rPr>
                <w:sz w:val="20"/>
                <w:szCs w:val="20"/>
                <w:color w:val="auto"/>
              </w:rPr>
            </w:pPr>
            <w:r>
              <w:rPr>
                <w:rFonts w:ascii="Arial" w:cs="Arial" w:eastAsia="Arial" w:hAnsi="Arial"/>
                <w:sz w:val="17"/>
                <w:szCs w:val="17"/>
                <w:color w:val="auto"/>
              </w:rPr>
              <w:t>61.4</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 %</w:t>
            </w: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111.6</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10 %</w:t>
            </w:r>
          </w:p>
        </w:tc>
        <w:tc>
          <w:tcPr>
            <w:tcW w:w="0" w:type="dxa"/>
            <w:vAlign w:val="bottom"/>
          </w:tcPr>
          <w:p>
            <w:pPr>
              <w:spacing w:after="0"/>
              <w:rPr>
                <w:sz w:val="1"/>
                <w:szCs w:val="1"/>
                <w:color w:val="auto"/>
              </w:rPr>
            </w:pPr>
          </w:p>
        </w:tc>
      </w:tr>
      <w:tr>
        <w:trPr>
          <w:trHeight w:val="168"/>
        </w:trPr>
        <w:tc>
          <w:tcPr>
            <w:tcW w:w="3240" w:type="dxa"/>
            <w:vAlign w:val="bottom"/>
          </w:tcPr>
          <w:p>
            <w:pPr>
              <w:ind w:left="20"/>
              <w:spacing w:after="0" w:line="168" w:lineRule="exact"/>
              <w:rPr>
                <w:sz w:val="20"/>
                <w:szCs w:val="20"/>
                <w:color w:val="auto"/>
              </w:rPr>
            </w:pPr>
            <w:r>
              <w:rPr>
                <w:rFonts w:ascii="Arial" w:cs="Arial" w:eastAsia="Arial" w:hAnsi="Arial"/>
                <w:sz w:val="17"/>
                <w:szCs w:val="17"/>
                <w:color w:val="auto"/>
              </w:rPr>
              <w:t>Pledged MSR liability fair value (gain) loss</w:t>
            </w:r>
          </w:p>
        </w:tc>
        <w:tc>
          <w:tcPr>
            <w:tcW w:w="1020" w:type="dxa"/>
            <w:vAlign w:val="bottom"/>
          </w:tcPr>
          <w:p>
            <w:pPr>
              <w:spacing w:after="0"/>
              <w:rPr>
                <w:sz w:val="14"/>
                <w:szCs w:val="14"/>
                <w:color w:val="auto"/>
              </w:rPr>
            </w:pPr>
          </w:p>
        </w:tc>
        <w:tc>
          <w:tcPr>
            <w:tcW w:w="360" w:type="dxa"/>
            <w:vAlign w:val="bottom"/>
            <w:vMerge w:val="restart"/>
          </w:tcPr>
          <w:p>
            <w:pPr>
              <w:jc w:val="right"/>
              <w:spacing w:after="0"/>
              <w:rPr>
                <w:sz w:val="20"/>
                <w:szCs w:val="20"/>
                <w:color w:val="auto"/>
              </w:rPr>
            </w:pPr>
            <w:r>
              <w:rPr>
                <w:rFonts w:ascii="Arial" w:cs="Arial" w:eastAsia="Arial" w:hAnsi="Arial"/>
                <w:sz w:val="17"/>
                <w:szCs w:val="17"/>
                <w:color w:val="auto"/>
                <w:w w:val="84"/>
              </w:rPr>
              <w:t>11.1</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vMerge w:val="restart"/>
          </w:tcPr>
          <w:p>
            <w:pPr>
              <w:ind w:left="780"/>
              <w:spacing w:after="0"/>
              <w:rPr>
                <w:sz w:val="20"/>
                <w:szCs w:val="20"/>
                <w:color w:val="auto"/>
              </w:rPr>
            </w:pPr>
            <w:r>
              <w:rPr>
                <w:rFonts w:ascii="Arial" w:cs="Arial" w:eastAsia="Arial" w:hAnsi="Arial"/>
                <w:sz w:val="17"/>
                <w:szCs w:val="17"/>
                <w:color w:val="auto"/>
              </w:rPr>
              <w:t>27.2</w:t>
            </w:r>
          </w:p>
        </w:tc>
        <w:tc>
          <w:tcPr>
            <w:tcW w:w="1180" w:type="dxa"/>
            <w:vAlign w:val="bottom"/>
            <w:gridSpan w:val="2"/>
            <w:vMerge w:val="restart"/>
          </w:tcPr>
          <w:p>
            <w:pPr>
              <w:jc w:val="right"/>
              <w:ind w:right="174"/>
              <w:spacing w:after="0"/>
              <w:rPr>
                <w:sz w:val="20"/>
                <w:szCs w:val="20"/>
                <w:color w:val="auto"/>
              </w:rPr>
            </w:pPr>
            <w:r>
              <w:rPr>
                <w:rFonts w:ascii="Arial" w:cs="Arial" w:eastAsia="Arial" w:hAnsi="Arial"/>
                <w:sz w:val="17"/>
                <w:szCs w:val="17"/>
                <w:color w:val="auto"/>
              </w:rPr>
              <w:t>(59)</w:t>
            </w:r>
          </w:p>
        </w:tc>
        <w:tc>
          <w:tcPr>
            <w:tcW w:w="24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7"/>
                <w:szCs w:val="17"/>
                <w:color w:val="auto"/>
              </w:rPr>
              <w:t>38.3</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7"/>
                <w:szCs w:val="17"/>
                <w:color w:val="auto"/>
              </w:rPr>
              <w:t>(28.6)</w:t>
            </w:r>
          </w:p>
        </w:tc>
        <w:tc>
          <w:tcPr>
            <w:tcW w:w="1080" w:type="dxa"/>
            <w:vAlign w:val="bottom"/>
            <w:vMerge w:val="restart"/>
          </w:tcPr>
          <w:p>
            <w:pPr>
              <w:jc w:val="right"/>
              <w:ind w:right="74"/>
              <w:spacing w:after="0"/>
              <w:rPr>
                <w:sz w:val="20"/>
                <w:szCs w:val="20"/>
                <w:color w:val="auto"/>
              </w:rPr>
            </w:pPr>
            <w:r>
              <w:rPr>
                <w:rFonts w:ascii="Arial" w:cs="Arial" w:eastAsia="Arial" w:hAnsi="Arial"/>
                <w:sz w:val="17"/>
                <w:szCs w:val="17"/>
                <w:color w:val="auto"/>
              </w:rPr>
              <w:t>(234)</w:t>
            </w:r>
          </w:p>
        </w:tc>
        <w:tc>
          <w:tcPr>
            <w:tcW w:w="0" w:type="dxa"/>
            <w:vAlign w:val="bottom"/>
          </w:tcPr>
          <w:p>
            <w:pPr>
              <w:spacing w:after="0"/>
              <w:rPr>
                <w:sz w:val="1"/>
                <w:szCs w:val="1"/>
                <w:color w:val="auto"/>
              </w:rPr>
            </w:pPr>
          </w:p>
        </w:tc>
      </w:tr>
      <w:tr>
        <w:trPr>
          <w:trHeight w:val="219"/>
        </w:trPr>
        <w:tc>
          <w:tcPr>
            <w:tcW w:w="3240" w:type="dxa"/>
            <w:vAlign w:val="bottom"/>
          </w:tcPr>
          <w:p>
            <w:pPr>
              <w:ind w:left="180"/>
              <w:spacing w:after="0"/>
              <w:rPr>
                <w:sz w:val="20"/>
                <w:szCs w:val="20"/>
                <w:color w:val="auto"/>
              </w:rPr>
            </w:pPr>
            <w:r>
              <w:rPr>
                <w:rFonts w:ascii="Arial" w:cs="Arial" w:eastAsia="Arial" w:hAnsi="Arial"/>
                <w:sz w:val="17"/>
                <w:szCs w:val="17"/>
                <w:color w:val="auto"/>
              </w:rPr>
              <w:t>(1)</w:t>
            </w:r>
          </w:p>
        </w:tc>
        <w:tc>
          <w:tcPr>
            <w:tcW w:w="1020" w:type="dxa"/>
            <w:vAlign w:val="bottom"/>
          </w:tcPr>
          <w:p>
            <w:pPr>
              <w:spacing w:after="0"/>
              <w:rPr>
                <w:sz w:val="19"/>
                <w:szCs w:val="19"/>
                <w:color w:val="auto"/>
              </w:rPr>
            </w:pPr>
          </w:p>
        </w:tc>
        <w:tc>
          <w:tcPr>
            <w:tcW w:w="3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1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w:t>
            </w:r>
          </w:p>
        </w:tc>
        <w:tc>
          <w:tcPr>
            <w:tcW w:w="102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7"/>
                <w:szCs w:val="17"/>
                <w:color w:val="auto"/>
                <w:w w:val="97"/>
              </w:rPr>
              <w:t>(1.7)</w:t>
            </w:r>
          </w:p>
        </w:tc>
        <w:tc>
          <w:tcPr>
            <w:tcW w:w="1180" w:type="dxa"/>
            <w:vAlign w:val="bottom"/>
            <w:gridSpan w:val="2"/>
            <w:shd w:val="clear" w:color="auto" w:fill="CCEEFF"/>
          </w:tcPr>
          <w:p>
            <w:pPr>
              <w:jc w:val="right"/>
              <w:ind w:right="174"/>
              <w:spacing w:after="0"/>
              <w:rPr>
                <w:sz w:val="20"/>
                <w:szCs w:val="20"/>
                <w:color w:val="auto"/>
              </w:rPr>
            </w:pPr>
            <w:r>
              <w:rPr>
                <w:rFonts w:ascii="Arial" w:cs="Arial" w:eastAsia="Arial" w:hAnsi="Arial"/>
                <w:sz w:val="17"/>
                <w:szCs w:val="17"/>
                <w:color w:val="auto"/>
              </w:rPr>
              <w:t>(206)</w:t>
            </w: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w:t>
            </w:r>
          </w:p>
        </w:tc>
        <w:tc>
          <w:tcPr>
            <w:tcW w:w="108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(102)</w:t>
            </w:r>
          </w:p>
        </w:tc>
        <w:tc>
          <w:tcPr>
            <w:tcW w:w="0" w:type="dxa"/>
            <w:vAlign w:val="bottom"/>
          </w:tcPr>
          <w:p>
            <w:pPr>
              <w:spacing w:after="0"/>
              <w:rPr>
                <w:sz w:val="1"/>
                <w:szCs w:val="1"/>
                <w:color w:val="auto"/>
              </w:rPr>
            </w:pPr>
          </w:p>
        </w:tc>
      </w:tr>
      <w:tr>
        <w:trPr>
          <w:trHeight w:val="213"/>
        </w:trPr>
        <w:tc>
          <w:tcPr>
            <w:tcW w:w="3240" w:type="dxa"/>
            <w:vAlign w:val="bottom"/>
          </w:tcPr>
          <w:p>
            <w:pPr>
              <w:ind w:left="20"/>
              <w:spacing w:after="0"/>
              <w:rPr>
                <w:sz w:val="20"/>
                <w:szCs w:val="20"/>
                <w:color w:val="auto"/>
              </w:rPr>
            </w:pPr>
            <w:r>
              <w:rPr>
                <w:rFonts w:ascii="Arial" w:cs="Arial" w:eastAsia="Arial" w:hAnsi="Arial"/>
                <w:sz w:val="17"/>
                <w:szCs w:val="17"/>
                <w:color w:val="auto"/>
              </w:rPr>
              <w:t>Pledged MSR liability expense</w:t>
            </w:r>
          </w:p>
        </w:tc>
        <w:tc>
          <w:tcPr>
            <w:tcW w:w="1020" w:type="dxa"/>
            <w:vAlign w:val="bottom"/>
            <w:tcBorders>
              <w:bottom w:val="single" w:sz="8" w:color="auto"/>
            </w:tcBorders>
          </w:tcPr>
          <w:p>
            <w:pPr>
              <w:jc w:val="right"/>
              <w:ind w:right="834"/>
              <w:spacing w:after="0"/>
              <w:rPr>
                <w:sz w:val="20"/>
                <w:szCs w:val="20"/>
                <w:color w:val="auto"/>
              </w:rPr>
            </w:pPr>
            <w:r>
              <w:rPr>
                <w:rFonts w:ascii="Arial" w:cs="Arial" w:eastAsia="Arial" w:hAnsi="Arial"/>
                <w:sz w:val="17"/>
                <w:szCs w:val="17"/>
                <w:color w:val="auto"/>
                <w:w w:val="84"/>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74.1</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tcPr>
          <w:p>
            <w:pPr>
              <w:ind w:left="780"/>
              <w:spacing w:after="0"/>
              <w:rPr>
                <w:sz w:val="20"/>
                <w:szCs w:val="20"/>
                <w:color w:val="auto"/>
              </w:rPr>
            </w:pPr>
            <w:r>
              <w:rPr>
                <w:rFonts w:ascii="Arial" w:cs="Arial" w:eastAsia="Arial" w:hAnsi="Arial"/>
                <w:sz w:val="17"/>
                <w:szCs w:val="17"/>
                <w:color w:val="auto"/>
              </w:rPr>
              <w:t>86.9</w:t>
            </w:r>
          </w:p>
        </w:tc>
        <w:tc>
          <w:tcPr>
            <w:tcW w:w="1180" w:type="dxa"/>
            <w:vAlign w:val="bottom"/>
            <w:gridSpan w:val="2"/>
          </w:tcPr>
          <w:p>
            <w:pPr>
              <w:jc w:val="right"/>
              <w:ind w:right="14"/>
              <w:spacing w:after="0"/>
              <w:rPr>
                <w:sz w:val="20"/>
                <w:szCs w:val="20"/>
                <w:color w:val="auto"/>
              </w:rPr>
            </w:pPr>
            <w:r>
              <w:rPr>
                <w:rFonts w:ascii="Arial" w:cs="Arial" w:eastAsia="Arial" w:hAnsi="Arial"/>
                <w:sz w:val="17"/>
                <w:szCs w:val="17"/>
                <w:color w:val="auto"/>
              </w:rPr>
              <w:t>(15)%</w:t>
            </w:r>
          </w:p>
        </w:tc>
        <w:tc>
          <w:tcPr>
            <w:tcW w:w="2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161.0</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77.7</w:t>
            </w:r>
          </w:p>
        </w:tc>
        <w:tc>
          <w:tcPr>
            <w:tcW w:w="1080" w:type="dxa"/>
            <w:vAlign w:val="bottom"/>
          </w:tcPr>
          <w:p>
            <w:pPr>
              <w:jc w:val="right"/>
              <w:spacing w:after="0"/>
              <w:rPr>
                <w:sz w:val="20"/>
                <w:szCs w:val="20"/>
                <w:color w:val="auto"/>
              </w:rPr>
            </w:pPr>
            <w:r>
              <w:rPr>
                <w:rFonts w:ascii="Arial" w:cs="Arial" w:eastAsia="Arial" w:hAnsi="Arial"/>
                <w:sz w:val="17"/>
                <w:szCs w:val="17"/>
                <w:color w:val="auto"/>
              </w:rPr>
              <w:t>107 %</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spacing w:after="0"/>
        <w:tabs>
          <w:tab w:leader="none" w:pos="300"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4"/>
          <w:szCs w:val="14"/>
          <w:color w:val="auto"/>
        </w:rPr>
        <w:t>See Note 8 — MSR Transfers Not Qualifying for Sale Accounting.</w:t>
      </w:r>
    </w:p>
    <w:p>
      <w:pPr>
        <w:spacing w:after="0" w:line="96" w:lineRule="exact"/>
        <w:rPr>
          <w:sz w:val="20"/>
          <w:szCs w:val="20"/>
          <w:color w:val="auto"/>
        </w:rPr>
      </w:pPr>
    </w:p>
    <w:p>
      <w:pPr>
        <w:ind w:right="40"/>
        <w:spacing w:after="0" w:line="300" w:lineRule="auto"/>
        <w:rPr>
          <w:sz w:val="20"/>
          <w:szCs w:val="20"/>
          <w:color w:val="auto"/>
        </w:rPr>
      </w:pPr>
      <w:r>
        <w:rPr>
          <w:rFonts w:ascii="Arial" w:cs="Arial" w:eastAsia="Arial" w:hAnsi="Arial"/>
          <w:sz w:val="15"/>
          <w:szCs w:val="15"/>
          <w:color w:val="auto"/>
        </w:rPr>
        <w:t>Pledged MSR liability expense for the three months ended June 30, 2022 decreased $12.8 million, as compared to the three months ended March 31, 2022, largely due to a $14.1 million fair value loss recorded in the first quarter of 2022 as a result of the amendment in March 2022 of the MAV Subservicing agreement (as a change in the present value of future contractual cash flows). Effective March 1, 2022, PMC and MAV amended certain provisions of the subservicing agreement to adjust down the ancillary fee retained by PMC</w:t>
      </w:r>
      <w:r>
        <w:rPr>
          <w:rFonts w:ascii="Arial" w:cs="Arial" w:eastAsia="Arial" w:hAnsi="Arial"/>
          <w:sz w:val="15"/>
          <w:szCs w:val="15"/>
          <w:b w:val="1"/>
          <w:bCs w:val="1"/>
          <w:i w:val="1"/>
          <w:iCs w:val="1"/>
          <w:color w:val="auto"/>
        </w:rPr>
        <w:t>.</w:t>
      </w:r>
      <w:r>
        <w:rPr>
          <w:rFonts w:ascii="Arial" w:cs="Arial" w:eastAsia="Arial" w:hAnsi="Arial"/>
          <w:sz w:val="15"/>
          <w:szCs w:val="15"/>
          <w:color w:val="auto"/>
        </w:rPr>
        <w:t xml:space="preserve"> Fair value adjustments of our MSR pledged liability (losses in the first and second quarter of 2022 driven by rising interest rates) are partially offset by fair value adjustments (gains) to the related MSR asset, which are recorded in MSR valuation adjustments, net. Refer to the above discussions of MSR valuation adjustments, net (Pledged MSR) and Servicing and subservicing fees (NRZ and MAV).</w:t>
      </w:r>
    </w:p>
    <w:p>
      <w:pPr>
        <w:spacing w:after="0" w:line="50"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Pledged MSR liability expense for the six months ended June 30, 2022 increased $83.3 million, as compared to the six months ended June 30, 2021, primarily due to a $66.9 million increase in unfavorable fair value change on the pledged MSR liability and an $11.0 million increase in net servicing fee remittance. These changes are largely driven by rising interest rates in the six months ended June 30, 2022, as well as the launch of MAV in the second half of 2021 and the associated recognition of the MAV pledged MSR liability that is more interest rate sensitive than the NRZ pledged MSR liability.</w:t>
      </w:r>
    </w:p>
    <w:p>
      <w:pPr>
        <w:spacing w:after="0" w:line="32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ORIGINATIONS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84455</wp:posOffset>
            </wp:positionV>
            <wp:extent cx="712152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07" w:lineRule="exact"/>
        <w:rPr>
          <w:sz w:val="20"/>
          <w:szCs w:val="20"/>
          <w:color w:val="auto"/>
        </w:rPr>
      </w:pPr>
    </w:p>
    <w:p>
      <w:pPr>
        <w:ind w:right="260"/>
        <w:spacing w:after="0" w:line="283" w:lineRule="auto"/>
        <w:rPr>
          <w:sz w:val="20"/>
          <w:szCs w:val="20"/>
          <w:color w:val="auto"/>
        </w:rPr>
      </w:pPr>
      <w:r>
        <w:rPr>
          <w:rFonts w:ascii="Arial" w:cs="Arial" w:eastAsia="Arial" w:hAnsi="Arial"/>
          <w:sz w:val="17"/>
          <w:szCs w:val="17"/>
          <w:color w:val="auto"/>
        </w:rPr>
        <w:t>We originate and purchase loans and MSRs through multiple channels, including retail, wholesale, correspondent, flow MSR purchase agreements, the Agency Cash Window and Co-issue programs and bulk MSR purchases.</w:t>
      </w:r>
    </w:p>
    <w:p>
      <w:pPr>
        <w:spacing w:after="0" w:line="56" w:lineRule="exact"/>
        <w:rPr>
          <w:sz w:val="20"/>
          <w:szCs w:val="20"/>
          <w:color w:val="auto"/>
        </w:rPr>
      </w:pPr>
    </w:p>
    <w:p>
      <w:pPr>
        <w:jc w:val="both"/>
        <w:ind w:right="60"/>
        <w:spacing w:after="0" w:line="320" w:lineRule="auto"/>
        <w:rPr>
          <w:sz w:val="20"/>
          <w:szCs w:val="20"/>
          <w:color w:val="auto"/>
        </w:rPr>
      </w:pPr>
      <w:r>
        <w:rPr>
          <w:rFonts w:ascii="Arial" w:cs="Arial" w:eastAsia="Arial" w:hAnsi="Arial"/>
          <w:sz w:val="15"/>
          <w:szCs w:val="15"/>
          <w:color w:val="auto"/>
        </w:rPr>
        <w:t>We originate and purchase conventional loans (conforming to the underwriting standards of Fannie Mae or Freddie Mac; collectively referred to as Agency loans) and government-insured (FHA, VA or USDA) forward mortgage loans. The GSEs and Ginnie Mae guarantee these mortgage securitizations. We originate HECM loans, or reverse mortgages, that are mostly insured by the FHA and we are an approved issuer of HMBS that are guaranteed by Ginnie Mae.</w:t>
      </w:r>
    </w:p>
    <w:p>
      <w:pPr>
        <w:spacing w:after="0" w:line="34" w:lineRule="exact"/>
        <w:rPr>
          <w:sz w:val="20"/>
          <w:szCs w:val="20"/>
          <w:color w:val="auto"/>
        </w:rPr>
      </w:pPr>
    </w:p>
    <w:p>
      <w:pPr>
        <w:ind w:right="60"/>
        <w:spacing w:after="0" w:line="277" w:lineRule="auto"/>
        <w:rPr>
          <w:sz w:val="20"/>
          <w:szCs w:val="20"/>
          <w:color w:val="auto"/>
        </w:rPr>
      </w:pPr>
      <w:r>
        <w:rPr>
          <w:rFonts w:ascii="Arial" w:cs="Arial" w:eastAsia="Arial" w:hAnsi="Arial"/>
          <w:sz w:val="16"/>
          <w:szCs w:val="16"/>
          <w:color w:val="auto"/>
        </w:rPr>
        <w:t>Within retail, our consumer direct channel for forward mortgage loans focuses on targeting existing servicing customers by offering them competitive mortgage refinance opportunities, where permitted by the governing servicing and pooling agreement. In doing so, we generate revenues for our forward lending business and protect the servicing portfolio by retaining these customers. A portion of our servicing portfolio is susceptible to refinance activity during periods of declining interest rates. Origination recapture volume and related gains are a natural economic hedge, to a certain degree, to the impact of declining MSR values as interest rates decline. To the extent we refinance a loan underlying the MSRs subject to the MAV Subservicing Agreement, we are obligated to transfer such recaptured MSR to MAV under the terms of the Joint-Marketing Agreement. In addition to refinance activities, our Consumer Direct channel targets cash-out, debt consolidation, mortgage insurance premium reduction, and new customer acquisition.</w:t>
      </w:r>
    </w:p>
    <w:p>
      <w:pPr>
        <w:spacing w:after="0" w:line="64" w:lineRule="exact"/>
        <w:rPr>
          <w:sz w:val="20"/>
          <w:szCs w:val="20"/>
          <w:color w:val="auto"/>
        </w:rPr>
      </w:pPr>
    </w:p>
    <w:p>
      <w:pPr>
        <w:ind w:right="140"/>
        <w:spacing w:after="0" w:line="309" w:lineRule="auto"/>
        <w:rPr>
          <w:sz w:val="20"/>
          <w:szCs w:val="20"/>
          <w:color w:val="auto"/>
        </w:rPr>
      </w:pPr>
      <w:r>
        <w:rPr>
          <w:rFonts w:ascii="Arial" w:cs="Arial" w:eastAsia="Arial" w:hAnsi="Arial"/>
          <w:sz w:val="15"/>
          <w:szCs w:val="15"/>
          <w:color w:val="auto"/>
        </w:rPr>
        <w:t>Our forward lending correspondent channel drives higher servicing portfolio replenishment. We purchase closed loans that have been underwritten to investor guidelines from our network of correspondent sellers and sell and securitize them, on a servicing retained basis. We offer correspondent sellers the choice to take out mandatory or best efforts contracts, under which the seller's obligation to deliver the mortgage loan becomes mandatory only when and if the mortgage is closed and funded. As of June 30, 2022, we have relationships with 506 approved correspondent sellers, or 68 new sellers since December 31, 2021.</w:t>
      </w:r>
    </w:p>
    <w:p>
      <w:pPr>
        <w:spacing w:after="0" w:line="42" w:lineRule="exact"/>
        <w:rPr>
          <w:sz w:val="20"/>
          <w:szCs w:val="20"/>
          <w:color w:val="auto"/>
        </w:rPr>
      </w:pPr>
    </w:p>
    <w:p>
      <w:pPr>
        <w:ind w:right="280"/>
        <w:spacing w:after="0" w:line="268" w:lineRule="auto"/>
        <w:rPr>
          <w:sz w:val="20"/>
          <w:szCs w:val="20"/>
          <w:color w:val="auto"/>
        </w:rPr>
      </w:pPr>
      <w:r>
        <w:rPr>
          <w:rFonts w:ascii="Arial" w:cs="Arial" w:eastAsia="Arial" w:hAnsi="Arial"/>
          <w:sz w:val="17"/>
          <w:szCs w:val="17"/>
          <w:color w:val="auto"/>
        </w:rPr>
        <w:t>We originate and purchase reverse mortgage loans through our retail, wholesale and correspondent lending channels under the guidelines of the HECM reverse mortgage insurance program of the FHA. Loans originated under this program are generally insured by the FHA, which provides protection against risk of borrower default.</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7" w:right="339" w:bottom="1440" w:gutter="0" w:footer="0" w:header="0"/>
        </w:sectPr>
      </w:pPr>
    </w:p>
    <w:bookmarkStart w:id="82" w:name="page83"/>
    <w:bookmarkEnd w:id="82"/>
    <w:p>
      <w:pPr>
        <w:ind w:right="20"/>
        <w:spacing w:after="0" w:line="261" w:lineRule="auto"/>
        <w:rPr>
          <w:sz w:val="20"/>
          <w:szCs w:val="20"/>
          <w:color w:val="auto"/>
        </w:rPr>
      </w:pPr>
      <w:r>
        <w:rPr>
          <w:rFonts w:ascii="Arial" w:cs="Arial" w:eastAsia="Arial" w:hAnsi="Arial"/>
          <w:sz w:val="17"/>
          <w:szCs w:val="17"/>
          <w:color w:val="auto"/>
        </w:rPr>
        <w:t>After origination, we package and sell the loans in the secondary mortgage market, through GSE and Ginnie Mae securitizations on a servicing retained basis. Origination revenue mostly includes interest income earned for the period the loans are held by us, gain on sale revenue, which represents the difference between the origination or purchase value and the sale value of the loan including its MSR value, and fee income earned at origination. As the securitizations of reverse mortgage loans do not achieve sale accounting treatment and the loans are classified as loans held for investment, at fair value, reverse mortgage revenues include the fair value changes of the loan from lock date to securitization date.</w:t>
      </w:r>
    </w:p>
    <w:p>
      <w:pPr>
        <w:spacing w:after="0" w:line="74" w:lineRule="exact"/>
        <w:rPr>
          <w:sz w:val="20"/>
          <w:szCs w:val="20"/>
          <w:color w:val="auto"/>
        </w:rPr>
      </w:pPr>
    </w:p>
    <w:p>
      <w:pPr>
        <w:ind w:right="180"/>
        <w:spacing w:after="0" w:line="304" w:lineRule="auto"/>
        <w:rPr>
          <w:sz w:val="20"/>
          <w:szCs w:val="20"/>
          <w:color w:val="auto"/>
        </w:rPr>
      </w:pPr>
      <w:r>
        <w:rPr>
          <w:rFonts w:ascii="Arial" w:cs="Arial" w:eastAsia="Arial" w:hAnsi="Arial"/>
          <w:sz w:val="15"/>
          <w:szCs w:val="15"/>
          <w:color w:val="auto"/>
        </w:rPr>
        <w:t>We provide customary origination representations and warranties to investors in connection with our GSE loan sales and securitization activities. We receive customary origination representations and warranties from our network of approved correspondent lenders. We recognize the fair value of the liability for our representations and warranties at the time of sale. In the event we cannot remedy a breach of a representation or warranty, we may be required to repurchase the loan or provide an indemnification payment to the mortgage loan investor. To the extent that we have recourse against a third-party originator, we may recover part or all of any loss we incur. We actively monitor our counterparty risk associated with our network of correspondent lenders-sellers.</w:t>
      </w:r>
    </w:p>
    <w:p>
      <w:pPr>
        <w:spacing w:after="0" w:line="45"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We purchase MSRs through flow purchase agreements, the Agency Cash Window programs and bulk MSR purchases. The Agency Cash Window programs we participate in, and purchase MSR from, allow mortgage companies and financial institutions to sell whole loans to the respective agency and sell the MSR to the winning bidder servicing released. In addition, we partner with other originators to replenish our MSRs through flow purchase agreements. We do not provide any origination representations and warranties in connection with our MSR purchases through MSR flow purchase agreements or Agency Cash Window programs. As of June 30, 2022, we have relationships with 202 approved sellers through the Agency Cash Window co-issue programs, or 48 new sellers since December 31, 2021.</w:t>
      </w:r>
    </w:p>
    <w:p>
      <w:pPr>
        <w:spacing w:after="0" w:line="78" w:lineRule="exact"/>
        <w:rPr>
          <w:sz w:val="20"/>
          <w:szCs w:val="20"/>
          <w:color w:val="auto"/>
        </w:rPr>
      </w:pPr>
    </w:p>
    <w:p>
      <w:pPr>
        <w:ind w:right="80"/>
        <w:spacing w:after="0" w:line="278" w:lineRule="auto"/>
        <w:rPr>
          <w:sz w:val="20"/>
          <w:szCs w:val="20"/>
          <w:color w:val="auto"/>
        </w:rPr>
      </w:pPr>
      <w:r>
        <w:rPr>
          <w:rFonts w:ascii="Arial" w:cs="Arial" w:eastAsia="Arial" w:hAnsi="Arial"/>
          <w:sz w:val="16"/>
          <w:szCs w:val="16"/>
          <w:color w:val="auto"/>
        </w:rPr>
        <w:t>We initially recognize our MSR origination with the associated economics in our Originations segment, and transfer the MSR to our Servicing segment at fair value once the MSR is initially recognized on our balance sheet with all subsequent performance associated with the MSR, including funding cost, run-off and other fair value changes reflected in our Servicing segment. However, effective first quarter of 2022, we report MSRs purchased through the Fannie Mae Cash Window program and the associated economics in our Servicing segment upon acquisition, as such MSRs are transferred to MAV monthly under an MSR flow sale agreement and subserviced by PMC. Segment results for prior periods have been recast as applicable to conform to the current segment presentation. See the “MSR Valuations Adjustments, net” section below for additional information.</w:t>
      </w:r>
    </w:p>
    <w:p>
      <w:pPr>
        <w:spacing w:after="0" w:line="65" w:lineRule="exact"/>
        <w:rPr>
          <w:sz w:val="20"/>
          <w:szCs w:val="20"/>
          <w:color w:val="auto"/>
        </w:rPr>
      </w:pPr>
    </w:p>
    <w:p>
      <w:pPr>
        <w:ind w:right="60"/>
        <w:spacing w:after="0" w:line="292" w:lineRule="auto"/>
        <w:rPr>
          <w:sz w:val="20"/>
          <w:szCs w:val="20"/>
          <w:color w:val="auto"/>
        </w:rPr>
      </w:pPr>
      <w:r>
        <w:rPr>
          <w:rFonts w:ascii="Arial" w:cs="Arial" w:eastAsia="Arial" w:hAnsi="Arial"/>
          <w:sz w:val="16"/>
          <w:szCs w:val="16"/>
          <w:color w:val="auto"/>
        </w:rPr>
        <w:t>We source additional servicing volume through our subservicing and interim servicing agreements, through our existing relationships and our enterprise sales initiatives. We do not report any revenue or gain associated with subservicing within the Originations segment as the impact is captured in the Servicing segment. However, sales efforts and certain costs - marginal compensation and benefits - are managed and reported within the Originations segment.</w:t>
      </w:r>
    </w:p>
    <w:p>
      <w:pPr>
        <w:spacing w:after="0" w:line="52"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For the second quarter of 2022, our Originations business originated or purchased forward and reverse mortgage loans with a UPB of $4.3 billion and $431.5 million, respectively. In addition, we purchased $3.2 billion UPB MSR through the Agency Cash Window and flow purchase programs during the second quarter of 2022.</w:t>
      </w:r>
    </w:p>
    <w:p>
      <w:pPr>
        <w:spacing w:after="0" w:line="200" w:lineRule="exact"/>
        <w:rPr>
          <w:sz w:val="20"/>
          <w:szCs w:val="20"/>
          <w:color w:val="auto"/>
        </w:rPr>
      </w:pP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967" w:right="379" w:bottom="1440" w:gutter="0" w:footer="0" w:header="0"/>
        </w:sectPr>
      </w:pPr>
    </w:p>
    <w:bookmarkStart w:id="83" w:name="page84"/>
    <w:bookmarkEnd w:id="83"/>
    <w:p>
      <w:pPr>
        <w:ind w:right="120"/>
        <w:spacing w:after="0" w:line="283" w:lineRule="auto"/>
        <w:rPr>
          <w:sz w:val="20"/>
          <w:szCs w:val="20"/>
          <w:color w:val="auto"/>
        </w:rPr>
      </w:pPr>
      <w:r>
        <w:rPr>
          <w:rFonts w:ascii="Arial" w:cs="Arial" w:eastAsia="Arial" w:hAnsi="Arial"/>
          <w:sz w:val="17"/>
          <w:szCs w:val="17"/>
          <w:color w:val="auto"/>
        </w:rPr>
        <w:t>The following table presents the results of operations of our Originations segment. The amounts presented are before the elimination of balances and transactions with our other segments: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3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580" w:type="dxa"/>
            <w:vAlign w:val="bottom"/>
            <w:tcBorders>
              <w:bottom w:val="single" w:sz="8" w:color="auto"/>
            </w:tcBorders>
            <w:gridSpan w:val="4"/>
          </w:tcPr>
          <w:p>
            <w:pPr>
              <w:jc w:val="right"/>
              <w:ind w:right="534"/>
              <w:spacing w:after="0"/>
              <w:rPr>
                <w:sz w:val="20"/>
                <w:szCs w:val="20"/>
                <w:color w:val="auto"/>
              </w:rPr>
            </w:pPr>
            <w:r>
              <w:rPr>
                <w:rFonts w:ascii="Arial" w:cs="Arial" w:eastAsia="Arial" w:hAnsi="Arial"/>
                <w:sz w:val="17"/>
                <w:szCs w:val="17"/>
                <w:b w:val="1"/>
                <w:bCs w:val="1"/>
                <w:color w:val="auto"/>
              </w:rPr>
              <w:t>Three Months Ended</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620" w:type="dxa"/>
            <w:vAlign w:val="bottom"/>
            <w:tcBorders>
              <w:bottom w:val="single" w:sz="8" w:color="auto"/>
            </w:tcBorders>
            <w:gridSpan w:val="4"/>
          </w:tcPr>
          <w:p>
            <w:pPr>
              <w:jc w:val="right"/>
              <w:ind w:right="654"/>
              <w:spacing w:after="0"/>
              <w:rPr>
                <w:sz w:val="20"/>
                <w:szCs w:val="20"/>
                <w:color w:val="auto"/>
              </w:rPr>
            </w:pPr>
            <w:r>
              <w:rPr>
                <w:rFonts w:ascii="Arial" w:cs="Arial" w:eastAsia="Arial" w:hAnsi="Arial"/>
                <w:sz w:val="17"/>
                <w:szCs w:val="17"/>
                <w:b w:val="1"/>
                <w:bCs w:val="1"/>
                <w:color w:val="auto"/>
              </w:rPr>
              <w:t>Six Months Ended</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9"/>
        </w:trPr>
        <w:tc>
          <w:tcPr>
            <w:tcW w:w="3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gridSpan w:val="2"/>
          </w:tcPr>
          <w:p>
            <w:pPr>
              <w:ind w:left="140"/>
              <w:spacing w:after="0"/>
              <w:rPr>
                <w:sz w:val="20"/>
                <w:szCs w:val="20"/>
                <w:color w:val="auto"/>
              </w:rPr>
            </w:pPr>
            <w:r>
              <w:rPr>
                <w:rFonts w:ascii="Arial" w:cs="Arial" w:eastAsia="Arial" w:hAnsi="Arial"/>
                <w:sz w:val="17"/>
                <w:szCs w:val="17"/>
                <w:b w:val="1"/>
                <w:bCs w:val="1"/>
                <w:color w:val="auto"/>
              </w:rPr>
              <w:t>June 30,</w:t>
            </w:r>
          </w:p>
        </w:tc>
        <w:tc>
          <w:tcPr>
            <w:tcW w:w="200" w:type="dxa"/>
            <w:vAlign w:val="bottom"/>
          </w:tcPr>
          <w:p>
            <w:pPr>
              <w:spacing w:after="0"/>
              <w:rPr>
                <w:sz w:val="20"/>
                <w:szCs w:val="20"/>
                <w:color w:val="auto"/>
              </w:rPr>
            </w:pPr>
          </w:p>
        </w:tc>
        <w:tc>
          <w:tcPr>
            <w:tcW w:w="1160" w:type="dxa"/>
            <w:vAlign w:val="bottom"/>
          </w:tcPr>
          <w:p>
            <w:pPr>
              <w:jc w:val="right"/>
              <w:ind w:right="214"/>
              <w:spacing w:after="0"/>
              <w:rPr>
                <w:sz w:val="20"/>
                <w:szCs w:val="20"/>
                <w:color w:val="auto"/>
              </w:rPr>
            </w:pPr>
            <w:r>
              <w:rPr>
                <w:rFonts w:ascii="Arial" w:cs="Arial" w:eastAsia="Arial" w:hAnsi="Arial"/>
                <w:sz w:val="17"/>
                <w:szCs w:val="17"/>
                <w:b w:val="1"/>
                <w:bCs w:val="1"/>
                <w:color w:val="auto"/>
              </w:rPr>
              <w:t>March 31,</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gridSpan w:val="2"/>
          </w:tcPr>
          <w:p>
            <w:pPr>
              <w:ind w:left="140"/>
              <w:spacing w:after="0"/>
              <w:rPr>
                <w:sz w:val="20"/>
                <w:szCs w:val="20"/>
                <w:color w:val="auto"/>
              </w:rPr>
            </w:pPr>
            <w:r>
              <w:rPr>
                <w:rFonts w:ascii="Arial" w:cs="Arial" w:eastAsia="Arial" w:hAnsi="Arial"/>
                <w:sz w:val="17"/>
                <w:szCs w:val="17"/>
                <w:b w:val="1"/>
                <w:bCs w:val="1"/>
                <w:color w:val="auto"/>
              </w:rPr>
              <w:t>June 30,</w:t>
            </w:r>
          </w:p>
        </w:tc>
        <w:tc>
          <w:tcPr>
            <w:tcW w:w="240" w:type="dxa"/>
            <w:vAlign w:val="bottom"/>
          </w:tcPr>
          <w:p>
            <w:pPr>
              <w:spacing w:after="0"/>
              <w:rPr>
                <w:sz w:val="20"/>
                <w:szCs w:val="20"/>
                <w:color w:val="auto"/>
              </w:rPr>
            </w:pPr>
          </w:p>
        </w:tc>
        <w:tc>
          <w:tcPr>
            <w:tcW w:w="1140" w:type="dxa"/>
            <w:vAlign w:val="bottom"/>
          </w:tcPr>
          <w:p>
            <w:pPr>
              <w:jc w:val="right"/>
              <w:ind w:right="294"/>
              <w:spacing w:after="0"/>
              <w:rPr>
                <w:sz w:val="20"/>
                <w:szCs w:val="20"/>
                <w:color w:val="auto"/>
              </w:rPr>
            </w:pPr>
            <w:r>
              <w:rPr>
                <w:rFonts w:ascii="Arial" w:cs="Arial" w:eastAsia="Arial" w:hAnsi="Arial"/>
                <w:sz w:val="17"/>
                <w:szCs w:val="17"/>
                <w:b w:val="1"/>
                <w:bCs w:val="1"/>
                <w:color w:val="auto"/>
              </w:rPr>
              <w:t>June 30,</w:t>
            </w: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58"/>
        </w:trPr>
        <w:tc>
          <w:tcPr>
            <w:tcW w:w="33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jc w:val="right"/>
              <w:ind w:right="414"/>
              <w:spacing w:after="0"/>
              <w:rPr>
                <w:sz w:val="20"/>
                <w:szCs w:val="20"/>
                <w:color w:val="auto"/>
              </w:rPr>
            </w:pPr>
            <w:r>
              <w:rPr>
                <w:rFonts w:ascii="Arial" w:cs="Arial" w:eastAsia="Arial" w:hAnsi="Arial"/>
                <w:sz w:val="17"/>
                <w:szCs w:val="17"/>
                <w:b w:val="1"/>
                <w:bCs w:val="1"/>
                <w:color w:val="auto"/>
              </w:rPr>
              <w:t>2022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ind w:right="414"/>
              <w:spacing w:after="0"/>
              <w:rPr>
                <w:sz w:val="20"/>
                <w:szCs w:val="20"/>
                <w:color w:val="auto"/>
              </w:rPr>
            </w:pPr>
            <w:r>
              <w:rPr>
                <w:rFonts w:ascii="Arial" w:cs="Arial" w:eastAsia="Arial" w:hAnsi="Arial"/>
                <w:sz w:val="17"/>
                <w:szCs w:val="17"/>
                <w:b w:val="1"/>
                <w:bCs w:val="1"/>
                <w:color w:val="auto"/>
              </w:rPr>
              <w:t>2022</w:t>
            </w:r>
          </w:p>
        </w:tc>
        <w:tc>
          <w:tcPr>
            <w:tcW w:w="100" w:type="dxa"/>
            <w:vAlign w:val="bottom"/>
          </w:tcPr>
          <w:p>
            <w:pPr>
              <w:spacing w:after="0"/>
              <w:rPr>
                <w:sz w:val="22"/>
                <w:szCs w:val="22"/>
                <w:color w:val="auto"/>
              </w:rPr>
            </w:pPr>
          </w:p>
        </w:tc>
        <w:tc>
          <w:tcPr>
            <w:tcW w:w="1080" w:type="dxa"/>
            <w:vAlign w:val="bottom"/>
            <w:gridSpan w:val="2"/>
          </w:tcPr>
          <w:p>
            <w:pPr>
              <w:ind w:left="100"/>
              <w:spacing w:after="0"/>
              <w:rPr>
                <w:sz w:val="20"/>
                <w:szCs w:val="20"/>
                <w:color w:val="auto"/>
              </w:rPr>
            </w:pPr>
            <w:r>
              <w:rPr>
                <w:rFonts w:ascii="Arial" w:cs="Arial" w:eastAsia="Arial" w:hAnsi="Arial"/>
                <w:sz w:val="17"/>
                <w:szCs w:val="17"/>
                <w:b w:val="1"/>
                <w:bCs w:val="1"/>
                <w:color w:val="auto"/>
              </w:rPr>
              <w:t>% Change</w:t>
            </w:r>
          </w:p>
        </w:tc>
        <w:tc>
          <w:tcPr>
            <w:tcW w:w="240" w:type="dxa"/>
            <w:vAlign w:val="bottom"/>
          </w:tcPr>
          <w:p>
            <w:pPr>
              <w:spacing w:after="0"/>
              <w:rPr>
                <w:sz w:val="22"/>
                <w:szCs w:val="22"/>
                <w:color w:val="auto"/>
              </w:rPr>
            </w:pPr>
          </w:p>
        </w:tc>
        <w:tc>
          <w:tcPr>
            <w:tcW w:w="1140" w:type="dxa"/>
            <w:vAlign w:val="bottom"/>
          </w:tcPr>
          <w:p>
            <w:pPr>
              <w:jc w:val="right"/>
              <w:ind w:right="434"/>
              <w:spacing w:after="0"/>
              <w:rPr>
                <w:sz w:val="20"/>
                <w:szCs w:val="20"/>
                <w:color w:val="auto"/>
              </w:rPr>
            </w:pPr>
            <w:r>
              <w:rPr>
                <w:rFonts w:ascii="Arial" w:cs="Arial" w:eastAsia="Arial" w:hAnsi="Arial"/>
                <w:sz w:val="17"/>
                <w:szCs w:val="17"/>
                <w:b w:val="1"/>
                <w:bCs w:val="1"/>
                <w:color w:val="auto"/>
              </w:rPr>
              <w:t>2022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jc w:val="right"/>
              <w:ind w:right="434"/>
              <w:spacing w:after="0"/>
              <w:rPr>
                <w:sz w:val="20"/>
                <w:szCs w:val="20"/>
                <w:color w:val="auto"/>
              </w:rPr>
            </w:pPr>
            <w:r>
              <w:rPr>
                <w:rFonts w:ascii="Arial" w:cs="Arial" w:eastAsia="Arial" w:hAnsi="Arial"/>
                <w:sz w:val="17"/>
                <w:szCs w:val="17"/>
                <w:b w:val="1"/>
                <w:bCs w:val="1"/>
                <w:color w:val="auto"/>
              </w:rPr>
              <w:t>2021</w:t>
            </w:r>
          </w:p>
        </w:tc>
        <w:tc>
          <w:tcPr>
            <w:tcW w:w="80" w:type="dxa"/>
            <w:vAlign w:val="bottom"/>
          </w:tcPr>
          <w:p>
            <w:pPr>
              <w:spacing w:after="0"/>
              <w:rPr>
                <w:sz w:val="22"/>
                <w:szCs w:val="22"/>
                <w:color w:val="auto"/>
              </w:rPr>
            </w:pPr>
          </w:p>
        </w:tc>
        <w:tc>
          <w:tcPr>
            <w:tcW w:w="1000" w:type="dxa"/>
            <w:vAlign w:val="bottom"/>
          </w:tcPr>
          <w:p>
            <w:pPr>
              <w:jc w:val="right"/>
              <w:ind w:right="14"/>
              <w:spacing w:after="0"/>
              <w:rPr>
                <w:sz w:val="20"/>
                <w:szCs w:val="20"/>
                <w:color w:val="auto"/>
              </w:rPr>
            </w:pPr>
            <w:r>
              <w:rPr>
                <w:rFonts w:ascii="Arial" w:cs="Arial" w:eastAsia="Arial" w:hAnsi="Arial"/>
                <w:sz w:val="17"/>
                <w:szCs w:val="17"/>
                <w:b w:val="1"/>
                <w:bCs w:val="1"/>
                <w:color w:val="auto"/>
              </w:rPr>
              <w:t>% Change</w:t>
            </w:r>
          </w:p>
        </w:tc>
      </w:tr>
      <w:tr>
        <w:trPr>
          <w:trHeight w:val="200"/>
        </w:trPr>
        <w:tc>
          <w:tcPr>
            <w:tcW w:w="3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Revenue</w:t>
            </w:r>
          </w:p>
        </w:tc>
        <w:tc>
          <w:tcPr>
            <w:tcW w:w="2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r>
      <w:tr>
        <w:trPr>
          <w:trHeight w:val="220"/>
        </w:trPr>
        <w:tc>
          <w:tcPr>
            <w:tcW w:w="3300" w:type="dxa"/>
            <w:vAlign w:val="bottom"/>
          </w:tcPr>
          <w:p>
            <w:pPr>
              <w:ind w:left="140"/>
              <w:spacing w:after="0"/>
              <w:rPr>
                <w:sz w:val="20"/>
                <w:szCs w:val="20"/>
                <w:color w:val="auto"/>
              </w:rPr>
            </w:pPr>
            <w:r>
              <w:rPr>
                <w:rFonts w:ascii="Arial" w:cs="Arial" w:eastAsia="Arial" w:hAnsi="Arial"/>
                <w:sz w:val="17"/>
                <w:szCs w:val="17"/>
                <w:color w:val="auto"/>
              </w:rPr>
              <w:t>Gain on loans held for sale, net</w:t>
            </w: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ind w:right="34"/>
              <w:spacing w:after="0"/>
              <w:rPr>
                <w:sz w:val="20"/>
                <w:szCs w:val="20"/>
                <w:color w:val="auto"/>
              </w:rPr>
            </w:pPr>
            <w:r>
              <w:rPr>
                <w:rFonts w:ascii="Arial" w:cs="Arial" w:eastAsia="Arial" w:hAnsi="Arial"/>
                <w:sz w:val="17"/>
                <w:szCs w:val="17"/>
                <w:color w:val="auto"/>
              </w:rPr>
              <w:t>12.5</w:t>
            </w:r>
          </w:p>
        </w:tc>
        <w:tc>
          <w:tcPr>
            <w:tcW w:w="10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ind w:right="34"/>
              <w:spacing w:after="0"/>
              <w:rPr>
                <w:sz w:val="20"/>
                <w:szCs w:val="20"/>
                <w:color w:val="auto"/>
              </w:rPr>
            </w:pPr>
            <w:r>
              <w:rPr>
                <w:rFonts w:ascii="Arial" w:cs="Arial" w:eastAsia="Arial" w:hAnsi="Arial"/>
                <w:sz w:val="17"/>
                <w:szCs w:val="17"/>
                <w:color w:val="auto"/>
              </w:rPr>
              <w:t>12.8</w:t>
            </w: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(2)%</w:t>
            </w:r>
          </w:p>
        </w:tc>
        <w:tc>
          <w:tcPr>
            <w:tcW w:w="8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ind w:right="34"/>
              <w:spacing w:after="0"/>
              <w:rPr>
                <w:sz w:val="20"/>
                <w:szCs w:val="20"/>
                <w:color w:val="auto"/>
              </w:rPr>
            </w:pPr>
            <w:r>
              <w:rPr>
                <w:rFonts w:ascii="Arial" w:cs="Arial" w:eastAsia="Arial" w:hAnsi="Arial"/>
                <w:sz w:val="17"/>
                <w:szCs w:val="17"/>
                <w:color w:val="auto"/>
              </w:rPr>
              <w:t>25.3</w:t>
            </w:r>
          </w:p>
        </w:tc>
        <w:tc>
          <w:tcPr>
            <w:tcW w:w="10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ind w:right="34"/>
              <w:spacing w:after="0"/>
              <w:rPr>
                <w:sz w:val="20"/>
                <w:szCs w:val="20"/>
                <w:color w:val="auto"/>
              </w:rPr>
            </w:pPr>
            <w:r>
              <w:rPr>
                <w:rFonts w:ascii="Arial" w:cs="Arial" w:eastAsia="Arial" w:hAnsi="Arial"/>
                <w:sz w:val="17"/>
                <w:szCs w:val="17"/>
                <w:color w:val="auto"/>
              </w:rPr>
              <w:t>64.9</w:t>
            </w: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(61)%</w:t>
            </w:r>
          </w:p>
        </w:tc>
      </w:tr>
      <w:tr>
        <w:trPr>
          <w:trHeight w:val="220"/>
        </w:trPr>
        <w:tc>
          <w:tcPr>
            <w:tcW w:w="33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Reverse mortgage revenue, net</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16.4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25.0</w:t>
            </w:r>
          </w:p>
        </w:tc>
        <w:tc>
          <w:tcPr>
            <w:tcW w:w="1100" w:type="dxa"/>
            <w:vAlign w:val="bottom"/>
            <w:gridSpan w:val="2"/>
            <w:shd w:val="clear" w:color="auto" w:fill="CCEEFF"/>
          </w:tcPr>
          <w:p>
            <w:pPr>
              <w:jc w:val="right"/>
              <w:ind w:right="94"/>
              <w:spacing w:after="0"/>
              <w:rPr>
                <w:sz w:val="20"/>
                <w:szCs w:val="20"/>
                <w:color w:val="auto"/>
              </w:rPr>
            </w:pPr>
            <w:r>
              <w:rPr>
                <w:rFonts w:ascii="Arial" w:cs="Arial" w:eastAsia="Arial" w:hAnsi="Arial"/>
                <w:sz w:val="17"/>
                <w:szCs w:val="17"/>
                <w:color w:val="auto"/>
              </w:rPr>
              <w:t>(34)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41.4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38.6</w:t>
            </w:r>
          </w:p>
        </w:tc>
        <w:tc>
          <w:tcPr>
            <w:tcW w:w="1080" w:type="dxa"/>
            <w:vAlign w:val="bottom"/>
            <w:gridSpan w:val="2"/>
            <w:shd w:val="clear" w:color="auto" w:fill="CCEEFF"/>
          </w:tcPr>
          <w:p>
            <w:pPr>
              <w:jc w:val="right"/>
              <w:ind w:right="114"/>
              <w:spacing w:after="0"/>
              <w:rPr>
                <w:sz w:val="20"/>
                <w:szCs w:val="20"/>
                <w:color w:val="auto"/>
              </w:rPr>
            </w:pPr>
            <w:r>
              <w:rPr>
                <w:rFonts w:ascii="Arial" w:cs="Arial" w:eastAsia="Arial" w:hAnsi="Arial"/>
                <w:sz w:val="17"/>
                <w:szCs w:val="17"/>
                <w:color w:val="auto"/>
              </w:rPr>
              <w:t>7</w:t>
            </w:r>
          </w:p>
        </w:tc>
      </w:tr>
      <w:tr>
        <w:trPr>
          <w:trHeight w:val="220"/>
        </w:trPr>
        <w:tc>
          <w:tcPr>
            <w:tcW w:w="330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Other revenue, net (1)</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7.3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7.3</w:t>
            </w: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gridSpan w:val="2"/>
          </w:tcPr>
          <w:p>
            <w:pPr>
              <w:jc w:val="right"/>
              <w:ind w:right="300"/>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14.6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18.2</w:t>
            </w:r>
          </w:p>
        </w:tc>
        <w:tc>
          <w:tcPr>
            <w:tcW w:w="1080" w:type="dxa"/>
            <w:vAlign w:val="bottom"/>
            <w:tcBorders>
              <w:bottom w:val="single" w:sz="8" w:color="CCEEFF"/>
            </w:tcBorders>
            <w:gridSpan w:val="2"/>
          </w:tcPr>
          <w:p>
            <w:pPr>
              <w:jc w:val="right"/>
              <w:ind w:right="74"/>
              <w:spacing w:after="0"/>
              <w:rPr>
                <w:sz w:val="20"/>
                <w:szCs w:val="20"/>
                <w:color w:val="auto"/>
              </w:rPr>
            </w:pPr>
            <w:r>
              <w:rPr>
                <w:rFonts w:ascii="Arial" w:cs="Arial" w:eastAsia="Arial" w:hAnsi="Arial"/>
                <w:sz w:val="17"/>
                <w:szCs w:val="17"/>
                <w:color w:val="auto"/>
              </w:rPr>
              <w:t>(20)</w:t>
            </w:r>
          </w:p>
        </w:tc>
      </w:tr>
      <w:tr>
        <w:trPr>
          <w:trHeight w:val="213"/>
        </w:trPr>
        <w:tc>
          <w:tcPr>
            <w:tcW w:w="33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Total revenue</w:t>
            </w:r>
          </w:p>
        </w:tc>
        <w:tc>
          <w:tcPr>
            <w:tcW w:w="2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36.3</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45.0</w:t>
            </w:r>
          </w:p>
        </w:tc>
        <w:tc>
          <w:tcPr>
            <w:tcW w:w="1100" w:type="dxa"/>
            <w:vAlign w:val="bottom"/>
            <w:gridSpan w:val="2"/>
            <w:shd w:val="clear" w:color="auto" w:fill="CCEEFF"/>
          </w:tcPr>
          <w:p>
            <w:pPr>
              <w:jc w:val="right"/>
              <w:ind w:right="94"/>
              <w:spacing w:after="0"/>
              <w:rPr>
                <w:sz w:val="20"/>
                <w:szCs w:val="20"/>
                <w:color w:val="auto"/>
              </w:rPr>
            </w:pPr>
            <w:r>
              <w:rPr>
                <w:rFonts w:ascii="Arial" w:cs="Arial" w:eastAsia="Arial" w:hAnsi="Arial"/>
                <w:sz w:val="17"/>
                <w:szCs w:val="17"/>
                <w:color w:val="auto"/>
              </w:rPr>
              <w:t>(19)</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81.3</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121.7</w:t>
            </w:r>
          </w:p>
        </w:tc>
        <w:tc>
          <w:tcPr>
            <w:tcW w:w="108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(33)</w:t>
            </w:r>
          </w:p>
        </w:tc>
      </w:tr>
      <w:tr>
        <w:trPr>
          <w:trHeight w:val="135"/>
        </w:trPr>
        <w:tc>
          <w:tcPr>
            <w:tcW w:w="3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r>
      <w:tr>
        <w:trPr>
          <w:trHeight w:val="220"/>
        </w:trPr>
        <w:tc>
          <w:tcPr>
            <w:tcW w:w="33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MSR valuation adjustments, net (2)</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2.6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1.1</w:t>
            </w:r>
          </w:p>
        </w:tc>
        <w:tc>
          <w:tcPr>
            <w:tcW w:w="1100" w:type="dxa"/>
            <w:vAlign w:val="bottom"/>
            <w:gridSpan w:val="2"/>
            <w:shd w:val="clear" w:color="auto" w:fill="CCEEFF"/>
          </w:tcPr>
          <w:p>
            <w:pPr>
              <w:jc w:val="right"/>
              <w:ind w:right="154"/>
              <w:spacing w:after="0"/>
              <w:rPr>
                <w:sz w:val="20"/>
                <w:szCs w:val="20"/>
                <w:color w:val="auto"/>
              </w:rPr>
            </w:pPr>
            <w:r>
              <w:rPr>
                <w:rFonts w:ascii="Arial" w:cs="Arial" w:eastAsia="Arial" w:hAnsi="Arial"/>
                <w:sz w:val="17"/>
                <w:szCs w:val="17"/>
                <w:color w:val="auto"/>
              </w:rPr>
              <w:t>146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3.7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17.3</w:t>
            </w:r>
          </w:p>
        </w:tc>
        <w:tc>
          <w:tcPr>
            <w:tcW w:w="1080" w:type="dxa"/>
            <w:vAlign w:val="bottom"/>
            <w:gridSpan w:val="2"/>
            <w:shd w:val="clear" w:color="auto" w:fill="CCEEFF"/>
          </w:tcPr>
          <w:p>
            <w:pPr>
              <w:jc w:val="right"/>
              <w:ind w:right="134"/>
              <w:spacing w:after="0"/>
              <w:rPr>
                <w:sz w:val="20"/>
                <w:szCs w:val="20"/>
                <w:color w:val="auto"/>
              </w:rPr>
            </w:pPr>
            <w:r>
              <w:rPr>
                <w:rFonts w:ascii="Arial" w:cs="Arial" w:eastAsia="Arial" w:hAnsi="Arial"/>
                <w:sz w:val="17"/>
                <w:szCs w:val="17"/>
                <w:color w:val="auto"/>
              </w:rPr>
              <w:t>(79)</w:t>
            </w:r>
          </w:p>
        </w:tc>
      </w:tr>
      <w:tr>
        <w:trPr>
          <w:trHeight w:val="155"/>
        </w:trPr>
        <w:tc>
          <w:tcPr>
            <w:tcW w:w="3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220"/>
        </w:trPr>
        <w:tc>
          <w:tcPr>
            <w:tcW w:w="33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Operating expenses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0"/>
        </w:trPr>
        <w:tc>
          <w:tcPr>
            <w:tcW w:w="3300" w:type="dxa"/>
            <w:vAlign w:val="bottom"/>
          </w:tcPr>
          <w:p>
            <w:pPr>
              <w:ind w:left="140"/>
              <w:spacing w:after="0"/>
              <w:rPr>
                <w:sz w:val="20"/>
                <w:szCs w:val="20"/>
                <w:color w:val="auto"/>
              </w:rPr>
            </w:pPr>
            <w:r>
              <w:rPr>
                <w:rFonts w:ascii="Arial" w:cs="Arial" w:eastAsia="Arial" w:hAnsi="Arial"/>
                <w:sz w:val="17"/>
                <w:szCs w:val="17"/>
                <w:color w:val="auto"/>
              </w:rPr>
              <w:t>Compensation and benefits</w:t>
            </w:r>
          </w:p>
        </w:tc>
        <w:tc>
          <w:tcPr>
            <w:tcW w:w="240" w:type="dxa"/>
            <w:vAlign w:val="bottom"/>
          </w:tcPr>
          <w:p>
            <w:pPr>
              <w:spacing w:after="0"/>
              <w:rPr>
                <w:sz w:val="19"/>
                <w:szCs w:val="19"/>
                <w:color w:val="auto"/>
              </w:rPr>
            </w:pPr>
          </w:p>
        </w:tc>
        <w:tc>
          <w:tcPr>
            <w:tcW w:w="1120" w:type="dxa"/>
            <w:vAlign w:val="bottom"/>
          </w:tcPr>
          <w:p>
            <w:pPr>
              <w:jc w:val="right"/>
              <w:ind w:right="34"/>
              <w:spacing w:after="0"/>
              <w:rPr>
                <w:sz w:val="20"/>
                <w:szCs w:val="20"/>
                <w:color w:val="auto"/>
              </w:rPr>
            </w:pPr>
            <w:r>
              <w:rPr>
                <w:rFonts w:ascii="Arial" w:cs="Arial" w:eastAsia="Arial" w:hAnsi="Arial"/>
                <w:sz w:val="17"/>
                <w:szCs w:val="17"/>
                <w:color w:val="auto"/>
              </w:rPr>
              <w:t>24.6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ind w:right="34"/>
              <w:spacing w:after="0"/>
              <w:rPr>
                <w:sz w:val="20"/>
                <w:szCs w:val="20"/>
                <w:color w:val="auto"/>
              </w:rPr>
            </w:pPr>
            <w:r>
              <w:rPr>
                <w:rFonts w:ascii="Arial" w:cs="Arial" w:eastAsia="Arial" w:hAnsi="Arial"/>
                <w:sz w:val="17"/>
                <w:szCs w:val="17"/>
                <w:color w:val="auto"/>
              </w:rPr>
              <w:t>28.5</w:t>
            </w:r>
          </w:p>
        </w:tc>
        <w:tc>
          <w:tcPr>
            <w:tcW w:w="1100" w:type="dxa"/>
            <w:vAlign w:val="bottom"/>
            <w:gridSpan w:val="2"/>
          </w:tcPr>
          <w:p>
            <w:pPr>
              <w:jc w:val="right"/>
              <w:ind w:right="94"/>
              <w:spacing w:after="0"/>
              <w:rPr>
                <w:sz w:val="20"/>
                <w:szCs w:val="20"/>
                <w:color w:val="auto"/>
              </w:rPr>
            </w:pPr>
            <w:r>
              <w:rPr>
                <w:rFonts w:ascii="Arial" w:cs="Arial" w:eastAsia="Arial" w:hAnsi="Arial"/>
                <w:sz w:val="17"/>
                <w:szCs w:val="17"/>
                <w:color w:val="auto"/>
              </w:rPr>
              <w:t>(14)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ind w:right="34"/>
              <w:spacing w:after="0"/>
              <w:rPr>
                <w:sz w:val="20"/>
                <w:szCs w:val="20"/>
                <w:color w:val="auto"/>
              </w:rPr>
            </w:pPr>
            <w:r>
              <w:rPr>
                <w:rFonts w:ascii="Arial" w:cs="Arial" w:eastAsia="Arial" w:hAnsi="Arial"/>
                <w:sz w:val="17"/>
                <w:szCs w:val="17"/>
                <w:color w:val="auto"/>
              </w:rPr>
              <w:t>53.0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ind w:right="34"/>
              <w:spacing w:after="0"/>
              <w:rPr>
                <w:sz w:val="20"/>
                <w:szCs w:val="20"/>
                <w:color w:val="auto"/>
              </w:rPr>
            </w:pPr>
            <w:r>
              <w:rPr>
                <w:rFonts w:ascii="Arial" w:cs="Arial" w:eastAsia="Arial" w:hAnsi="Arial"/>
                <w:sz w:val="17"/>
                <w:szCs w:val="17"/>
                <w:color w:val="auto"/>
              </w:rPr>
              <w:t>46.2</w:t>
            </w:r>
          </w:p>
        </w:tc>
        <w:tc>
          <w:tcPr>
            <w:tcW w:w="1080" w:type="dxa"/>
            <w:vAlign w:val="bottom"/>
            <w:gridSpan w:val="2"/>
          </w:tcPr>
          <w:p>
            <w:pPr>
              <w:jc w:val="right"/>
              <w:ind w:right="114"/>
              <w:spacing w:after="0"/>
              <w:rPr>
                <w:sz w:val="20"/>
                <w:szCs w:val="20"/>
                <w:color w:val="auto"/>
              </w:rPr>
            </w:pPr>
            <w:r>
              <w:rPr>
                <w:rFonts w:ascii="Arial" w:cs="Arial" w:eastAsia="Arial" w:hAnsi="Arial"/>
                <w:sz w:val="17"/>
                <w:szCs w:val="17"/>
                <w:color w:val="auto"/>
              </w:rPr>
              <w:t>15</w:t>
            </w:r>
          </w:p>
        </w:tc>
      </w:tr>
      <w:tr>
        <w:trPr>
          <w:trHeight w:val="220"/>
        </w:trPr>
        <w:tc>
          <w:tcPr>
            <w:tcW w:w="33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Origination expense</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3.5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3.5</w:t>
            </w:r>
          </w:p>
        </w:tc>
        <w:tc>
          <w:tcPr>
            <w:tcW w:w="1100" w:type="dxa"/>
            <w:vAlign w:val="bottom"/>
            <w:gridSpan w:val="2"/>
            <w:shd w:val="clear" w:color="auto" w:fill="CCEEFF"/>
          </w:tcPr>
          <w:p>
            <w:pPr>
              <w:jc w:val="right"/>
              <w:ind w:right="94"/>
              <w:spacing w:after="0"/>
              <w:rPr>
                <w:sz w:val="20"/>
                <w:szCs w:val="20"/>
                <w:color w:val="auto"/>
              </w:rPr>
            </w:pPr>
            <w:r>
              <w:rPr>
                <w:rFonts w:ascii="Arial" w:cs="Arial" w:eastAsia="Arial" w:hAnsi="Arial"/>
                <w:sz w:val="17"/>
                <w:szCs w:val="17"/>
                <w:color w:val="auto"/>
              </w:rPr>
              <w:t>(1)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7.0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6.0</w:t>
            </w:r>
          </w:p>
        </w:tc>
        <w:tc>
          <w:tcPr>
            <w:tcW w:w="1080" w:type="dxa"/>
            <w:vAlign w:val="bottom"/>
            <w:gridSpan w:val="2"/>
            <w:shd w:val="clear" w:color="auto" w:fill="CCEEFF"/>
          </w:tcPr>
          <w:p>
            <w:pPr>
              <w:jc w:val="right"/>
              <w:ind w:right="114"/>
              <w:spacing w:after="0"/>
              <w:rPr>
                <w:sz w:val="20"/>
                <w:szCs w:val="20"/>
                <w:color w:val="auto"/>
              </w:rPr>
            </w:pPr>
            <w:r>
              <w:rPr>
                <w:rFonts w:ascii="Arial" w:cs="Arial" w:eastAsia="Arial" w:hAnsi="Arial"/>
                <w:sz w:val="17"/>
                <w:szCs w:val="17"/>
                <w:color w:val="auto"/>
              </w:rPr>
              <w:t>17</w:t>
            </w:r>
          </w:p>
        </w:tc>
      </w:tr>
      <w:tr>
        <w:trPr>
          <w:trHeight w:val="220"/>
        </w:trPr>
        <w:tc>
          <w:tcPr>
            <w:tcW w:w="3300" w:type="dxa"/>
            <w:vAlign w:val="bottom"/>
          </w:tcPr>
          <w:p>
            <w:pPr>
              <w:ind w:left="140"/>
              <w:spacing w:after="0"/>
              <w:rPr>
                <w:sz w:val="20"/>
                <w:szCs w:val="20"/>
                <w:color w:val="auto"/>
              </w:rPr>
            </w:pPr>
            <w:r>
              <w:rPr>
                <w:rFonts w:ascii="Arial" w:cs="Arial" w:eastAsia="Arial" w:hAnsi="Arial"/>
                <w:sz w:val="17"/>
                <w:szCs w:val="17"/>
                <w:color w:val="auto"/>
              </w:rPr>
              <w:t>Occupancy and equipment</w:t>
            </w:r>
          </w:p>
        </w:tc>
        <w:tc>
          <w:tcPr>
            <w:tcW w:w="240" w:type="dxa"/>
            <w:vAlign w:val="bottom"/>
          </w:tcPr>
          <w:p>
            <w:pPr>
              <w:spacing w:after="0"/>
              <w:rPr>
                <w:sz w:val="19"/>
                <w:szCs w:val="19"/>
                <w:color w:val="auto"/>
              </w:rPr>
            </w:pPr>
          </w:p>
        </w:tc>
        <w:tc>
          <w:tcPr>
            <w:tcW w:w="1120" w:type="dxa"/>
            <w:vAlign w:val="bottom"/>
          </w:tcPr>
          <w:p>
            <w:pPr>
              <w:jc w:val="right"/>
              <w:ind w:right="34"/>
              <w:spacing w:after="0"/>
              <w:rPr>
                <w:sz w:val="20"/>
                <w:szCs w:val="20"/>
                <w:color w:val="auto"/>
              </w:rPr>
            </w:pPr>
            <w:r>
              <w:rPr>
                <w:rFonts w:ascii="Arial" w:cs="Arial" w:eastAsia="Arial" w:hAnsi="Arial"/>
                <w:sz w:val="17"/>
                <w:szCs w:val="17"/>
                <w:color w:val="auto"/>
              </w:rPr>
              <w:t>1.3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ind w:right="34"/>
              <w:spacing w:after="0"/>
              <w:rPr>
                <w:sz w:val="20"/>
                <w:szCs w:val="20"/>
                <w:color w:val="auto"/>
              </w:rPr>
            </w:pPr>
            <w:r>
              <w:rPr>
                <w:rFonts w:ascii="Arial" w:cs="Arial" w:eastAsia="Arial" w:hAnsi="Arial"/>
                <w:sz w:val="17"/>
                <w:szCs w:val="17"/>
                <w:color w:val="auto"/>
              </w:rPr>
              <w:t>1.6</w:t>
            </w:r>
          </w:p>
        </w:tc>
        <w:tc>
          <w:tcPr>
            <w:tcW w:w="1100" w:type="dxa"/>
            <w:vAlign w:val="bottom"/>
            <w:gridSpan w:val="2"/>
          </w:tcPr>
          <w:p>
            <w:pPr>
              <w:jc w:val="right"/>
              <w:ind w:right="94"/>
              <w:spacing w:after="0"/>
              <w:rPr>
                <w:sz w:val="20"/>
                <w:szCs w:val="20"/>
                <w:color w:val="auto"/>
              </w:rPr>
            </w:pPr>
            <w:r>
              <w:rPr>
                <w:rFonts w:ascii="Arial" w:cs="Arial" w:eastAsia="Arial" w:hAnsi="Arial"/>
                <w:sz w:val="17"/>
                <w:szCs w:val="17"/>
                <w:color w:val="auto"/>
              </w:rPr>
              <w:t>(17)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ind w:right="34"/>
              <w:spacing w:after="0"/>
              <w:rPr>
                <w:sz w:val="20"/>
                <w:szCs w:val="20"/>
                <w:color w:val="auto"/>
              </w:rPr>
            </w:pPr>
            <w:r>
              <w:rPr>
                <w:rFonts w:ascii="Arial" w:cs="Arial" w:eastAsia="Arial" w:hAnsi="Arial"/>
                <w:sz w:val="17"/>
                <w:szCs w:val="17"/>
                <w:color w:val="auto"/>
              </w:rPr>
              <w:t>2.9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ind w:right="34"/>
              <w:spacing w:after="0"/>
              <w:rPr>
                <w:sz w:val="20"/>
                <w:szCs w:val="20"/>
                <w:color w:val="auto"/>
              </w:rPr>
            </w:pPr>
            <w:r>
              <w:rPr>
                <w:rFonts w:ascii="Arial" w:cs="Arial" w:eastAsia="Arial" w:hAnsi="Arial"/>
                <w:sz w:val="17"/>
                <w:szCs w:val="17"/>
                <w:color w:val="auto"/>
              </w:rPr>
              <w:t>3.1</w:t>
            </w:r>
          </w:p>
        </w:tc>
        <w:tc>
          <w:tcPr>
            <w:tcW w:w="1080" w:type="dxa"/>
            <w:vAlign w:val="bottom"/>
            <w:gridSpan w:val="2"/>
          </w:tcPr>
          <w:p>
            <w:pPr>
              <w:jc w:val="right"/>
              <w:ind w:right="74"/>
              <w:spacing w:after="0"/>
              <w:rPr>
                <w:sz w:val="20"/>
                <w:szCs w:val="20"/>
                <w:color w:val="auto"/>
              </w:rPr>
            </w:pPr>
            <w:r>
              <w:rPr>
                <w:rFonts w:ascii="Arial" w:cs="Arial" w:eastAsia="Arial" w:hAnsi="Arial"/>
                <w:sz w:val="17"/>
                <w:szCs w:val="17"/>
                <w:color w:val="auto"/>
              </w:rPr>
              <w:t>(7)</w:t>
            </w:r>
          </w:p>
        </w:tc>
      </w:tr>
      <w:tr>
        <w:trPr>
          <w:trHeight w:val="220"/>
        </w:trPr>
        <w:tc>
          <w:tcPr>
            <w:tcW w:w="33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Technology and communications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2.6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2.5</w:t>
            </w:r>
          </w:p>
        </w:tc>
        <w:tc>
          <w:tcPr>
            <w:tcW w:w="1100" w:type="dxa"/>
            <w:vAlign w:val="bottom"/>
            <w:gridSpan w:val="2"/>
            <w:shd w:val="clear" w:color="auto" w:fill="CCEEFF"/>
          </w:tcPr>
          <w:p>
            <w:pPr>
              <w:jc w:val="right"/>
              <w:ind w:right="134"/>
              <w:spacing w:after="0"/>
              <w:rPr>
                <w:sz w:val="20"/>
                <w:szCs w:val="20"/>
                <w:color w:val="auto"/>
              </w:rPr>
            </w:pPr>
            <w:r>
              <w:rPr>
                <w:rFonts w:ascii="Arial" w:cs="Arial" w:eastAsia="Arial" w:hAnsi="Arial"/>
                <w:sz w:val="17"/>
                <w:szCs w:val="17"/>
                <w:color w:val="auto"/>
              </w:rPr>
              <w:t>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5.1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3.7</w:t>
            </w:r>
          </w:p>
        </w:tc>
        <w:tc>
          <w:tcPr>
            <w:tcW w:w="1080" w:type="dxa"/>
            <w:vAlign w:val="bottom"/>
            <w:gridSpan w:val="2"/>
            <w:shd w:val="clear" w:color="auto" w:fill="CCEEFF"/>
          </w:tcPr>
          <w:p>
            <w:pPr>
              <w:jc w:val="right"/>
              <w:ind w:right="114"/>
              <w:spacing w:after="0"/>
              <w:rPr>
                <w:sz w:val="20"/>
                <w:szCs w:val="20"/>
                <w:color w:val="auto"/>
              </w:rPr>
            </w:pPr>
            <w:r>
              <w:rPr>
                <w:rFonts w:ascii="Arial" w:cs="Arial" w:eastAsia="Arial" w:hAnsi="Arial"/>
                <w:sz w:val="17"/>
                <w:szCs w:val="17"/>
                <w:color w:val="auto"/>
              </w:rPr>
              <w:t>38</w:t>
            </w:r>
          </w:p>
        </w:tc>
      </w:tr>
      <w:tr>
        <w:trPr>
          <w:trHeight w:val="220"/>
        </w:trPr>
        <w:tc>
          <w:tcPr>
            <w:tcW w:w="3300" w:type="dxa"/>
            <w:vAlign w:val="bottom"/>
          </w:tcPr>
          <w:p>
            <w:pPr>
              <w:ind w:left="140"/>
              <w:spacing w:after="0"/>
              <w:rPr>
                <w:sz w:val="20"/>
                <w:szCs w:val="20"/>
                <w:color w:val="auto"/>
              </w:rPr>
            </w:pPr>
            <w:r>
              <w:rPr>
                <w:rFonts w:ascii="Arial" w:cs="Arial" w:eastAsia="Arial" w:hAnsi="Arial"/>
                <w:sz w:val="17"/>
                <w:szCs w:val="17"/>
                <w:color w:val="auto"/>
              </w:rPr>
              <w:t>Professional services</w:t>
            </w:r>
          </w:p>
        </w:tc>
        <w:tc>
          <w:tcPr>
            <w:tcW w:w="240" w:type="dxa"/>
            <w:vAlign w:val="bottom"/>
          </w:tcPr>
          <w:p>
            <w:pPr>
              <w:spacing w:after="0"/>
              <w:rPr>
                <w:sz w:val="19"/>
                <w:szCs w:val="19"/>
                <w:color w:val="auto"/>
              </w:rPr>
            </w:pPr>
          </w:p>
        </w:tc>
        <w:tc>
          <w:tcPr>
            <w:tcW w:w="1120" w:type="dxa"/>
            <w:vAlign w:val="bottom"/>
          </w:tcPr>
          <w:p>
            <w:pPr>
              <w:jc w:val="right"/>
              <w:ind w:right="34"/>
              <w:spacing w:after="0"/>
              <w:rPr>
                <w:sz w:val="20"/>
                <w:szCs w:val="20"/>
                <w:color w:val="auto"/>
              </w:rPr>
            </w:pPr>
            <w:r>
              <w:rPr>
                <w:rFonts w:ascii="Arial" w:cs="Arial" w:eastAsia="Arial" w:hAnsi="Arial"/>
                <w:sz w:val="17"/>
                <w:szCs w:val="17"/>
                <w:color w:val="auto"/>
              </w:rPr>
              <w:t>1.5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ind w:right="34"/>
              <w:spacing w:after="0"/>
              <w:rPr>
                <w:sz w:val="20"/>
                <w:szCs w:val="20"/>
                <w:color w:val="auto"/>
              </w:rPr>
            </w:pPr>
            <w:r>
              <w:rPr>
                <w:rFonts w:ascii="Arial" w:cs="Arial" w:eastAsia="Arial" w:hAnsi="Arial"/>
                <w:sz w:val="17"/>
                <w:szCs w:val="17"/>
                <w:color w:val="auto"/>
              </w:rPr>
              <w:t>1.7</w:t>
            </w:r>
          </w:p>
        </w:tc>
        <w:tc>
          <w:tcPr>
            <w:tcW w:w="1100" w:type="dxa"/>
            <w:vAlign w:val="bottom"/>
            <w:gridSpan w:val="2"/>
          </w:tcPr>
          <w:p>
            <w:pPr>
              <w:jc w:val="right"/>
              <w:ind w:right="154"/>
              <w:spacing w:after="0"/>
              <w:rPr>
                <w:sz w:val="20"/>
                <w:szCs w:val="20"/>
                <w:color w:val="auto"/>
              </w:rPr>
            </w:pPr>
            <w:r>
              <w:rPr>
                <w:rFonts w:ascii="Arial" w:cs="Arial" w:eastAsia="Arial" w:hAnsi="Arial"/>
                <w:sz w:val="17"/>
                <w:szCs w:val="17"/>
                <w:color w:val="auto"/>
              </w:rPr>
              <w:t>(13)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ind w:right="34"/>
              <w:spacing w:after="0"/>
              <w:rPr>
                <w:sz w:val="20"/>
                <w:szCs w:val="20"/>
                <w:color w:val="auto"/>
              </w:rPr>
            </w:pPr>
            <w:r>
              <w:rPr>
                <w:rFonts w:ascii="Arial" w:cs="Arial" w:eastAsia="Arial" w:hAnsi="Arial"/>
                <w:sz w:val="17"/>
                <w:szCs w:val="17"/>
                <w:color w:val="auto"/>
              </w:rPr>
              <w:t>3.2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ind w:right="34"/>
              <w:spacing w:after="0"/>
              <w:rPr>
                <w:sz w:val="20"/>
                <w:szCs w:val="20"/>
                <w:color w:val="auto"/>
              </w:rPr>
            </w:pPr>
            <w:r>
              <w:rPr>
                <w:rFonts w:ascii="Arial" w:cs="Arial" w:eastAsia="Arial" w:hAnsi="Arial"/>
                <w:sz w:val="17"/>
                <w:szCs w:val="17"/>
                <w:color w:val="auto"/>
              </w:rPr>
              <w:t>5.0</w:t>
            </w:r>
          </w:p>
        </w:tc>
        <w:tc>
          <w:tcPr>
            <w:tcW w:w="1080" w:type="dxa"/>
            <w:vAlign w:val="bottom"/>
            <w:gridSpan w:val="2"/>
          </w:tcPr>
          <w:p>
            <w:pPr>
              <w:jc w:val="right"/>
              <w:ind w:right="74"/>
              <w:spacing w:after="0"/>
              <w:rPr>
                <w:sz w:val="20"/>
                <w:szCs w:val="20"/>
                <w:color w:val="auto"/>
              </w:rPr>
            </w:pPr>
            <w:r>
              <w:rPr>
                <w:rFonts w:ascii="Arial" w:cs="Arial" w:eastAsia="Arial" w:hAnsi="Arial"/>
                <w:sz w:val="17"/>
                <w:szCs w:val="17"/>
                <w:color w:val="auto"/>
              </w:rPr>
              <w:t>(36)</w:t>
            </w:r>
          </w:p>
        </w:tc>
      </w:tr>
      <w:tr>
        <w:trPr>
          <w:trHeight w:val="220"/>
        </w:trPr>
        <w:tc>
          <w:tcPr>
            <w:tcW w:w="33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Corporate overhead allocations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5.5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5.3</w:t>
            </w:r>
          </w:p>
        </w:tc>
        <w:tc>
          <w:tcPr>
            <w:tcW w:w="1100" w:type="dxa"/>
            <w:vAlign w:val="bottom"/>
            <w:gridSpan w:val="2"/>
            <w:shd w:val="clear" w:color="auto" w:fill="CCEEFF"/>
          </w:tcPr>
          <w:p>
            <w:pPr>
              <w:jc w:val="right"/>
              <w:ind w:right="134"/>
              <w:spacing w:after="0"/>
              <w:rPr>
                <w:sz w:val="20"/>
                <w:szCs w:val="20"/>
                <w:color w:val="auto"/>
              </w:rPr>
            </w:pPr>
            <w:r>
              <w:rPr>
                <w:rFonts w:ascii="Arial" w:cs="Arial" w:eastAsia="Arial" w:hAnsi="Arial"/>
                <w:sz w:val="17"/>
                <w:szCs w:val="17"/>
                <w:color w:val="auto"/>
              </w:rPr>
              <w:t>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10.7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9.7</w:t>
            </w:r>
          </w:p>
        </w:tc>
        <w:tc>
          <w:tcPr>
            <w:tcW w:w="1080" w:type="dxa"/>
            <w:vAlign w:val="bottom"/>
            <w:gridSpan w:val="2"/>
            <w:shd w:val="clear" w:color="auto" w:fill="CCEEFF"/>
          </w:tcPr>
          <w:p>
            <w:pPr>
              <w:jc w:val="right"/>
              <w:ind w:right="114"/>
              <w:spacing w:after="0"/>
              <w:rPr>
                <w:sz w:val="20"/>
                <w:szCs w:val="20"/>
                <w:color w:val="auto"/>
              </w:rPr>
            </w:pPr>
            <w:r>
              <w:rPr>
                <w:rFonts w:ascii="Arial" w:cs="Arial" w:eastAsia="Arial" w:hAnsi="Arial"/>
                <w:sz w:val="17"/>
                <w:szCs w:val="17"/>
                <w:color w:val="auto"/>
              </w:rPr>
              <w:t>11</w:t>
            </w:r>
          </w:p>
        </w:tc>
      </w:tr>
      <w:tr>
        <w:trPr>
          <w:trHeight w:val="220"/>
        </w:trPr>
        <w:tc>
          <w:tcPr>
            <w:tcW w:w="330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Other expenses</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3.6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3.2</w:t>
            </w:r>
          </w:p>
        </w:tc>
        <w:tc>
          <w:tcPr>
            <w:tcW w:w="1100" w:type="dxa"/>
            <w:vAlign w:val="bottom"/>
            <w:tcBorders>
              <w:bottom w:val="single" w:sz="8" w:color="CCEEFF"/>
            </w:tcBorders>
            <w:gridSpan w:val="2"/>
          </w:tcPr>
          <w:p>
            <w:pPr>
              <w:jc w:val="right"/>
              <w:ind w:right="134"/>
              <w:spacing w:after="0"/>
              <w:rPr>
                <w:sz w:val="20"/>
                <w:szCs w:val="20"/>
                <w:color w:val="auto"/>
              </w:rPr>
            </w:pPr>
            <w:r>
              <w:rPr>
                <w:rFonts w:ascii="Arial" w:cs="Arial" w:eastAsia="Arial" w:hAnsi="Arial"/>
                <w:sz w:val="17"/>
                <w:szCs w:val="17"/>
                <w:color w:val="auto"/>
              </w:rPr>
              <w:t>11</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6.8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4.3</w:t>
            </w:r>
          </w:p>
        </w:tc>
        <w:tc>
          <w:tcPr>
            <w:tcW w:w="1080" w:type="dxa"/>
            <w:vAlign w:val="bottom"/>
            <w:tcBorders>
              <w:bottom w:val="single" w:sz="8" w:color="CCEEFF"/>
            </w:tcBorders>
            <w:gridSpan w:val="2"/>
          </w:tcPr>
          <w:p>
            <w:pPr>
              <w:jc w:val="right"/>
              <w:ind w:right="114"/>
              <w:spacing w:after="0"/>
              <w:rPr>
                <w:sz w:val="20"/>
                <w:szCs w:val="20"/>
                <w:color w:val="auto"/>
              </w:rPr>
            </w:pPr>
            <w:r>
              <w:rPr>
                <w:rFonts w:ascii="Arial" w:cs="Arial" w:eastAsia="Arial" w:hAnsi="Arial"/>
                <w:sz w:val="17"/>
                <w:szCs w:val="17"/>
                <w:color w:val="auto"/>
              </w:rPr>
              <w:t>59</w:t>
            </w:r>
          </w:p>
        </w:tc>
      </w:tr>
      <w:tr>
        <w:trPr>
          <w:trHeight w:val="213"/>
        </w:trPr>
        <w:tc>
          <w:tcPr>
            <w:tcW w:w="33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Total operating expenses</w:t>
            </w:r>
          </w:p>
        </w:tc>
        <w:tc>
          <w:tcPr>
            <w:tcW w:w="2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42.5</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46.2</w:t>
            </w:r>
          </w:p>
        </w:tc>
        <w:tc>
          <w:tcPr>
            <w:tcW w:w="1100" w:type="dxa"/>
            <w:vAlign w:val="bottom"/>
            <w:gridSpan w:val="2"/>
            <w:shd w:val="clear" w:color="auto" w:fill="CCEEFF"/>
          </w:tcPr>
          <w:p>
            <w:pPr>
              <w:jc w:val="right"/>
              <w:ind w:right="94"/>
              <w:spacing w:after="0"/>
              <w:rPr>
                <w:sz w:val="20"/>
                <w:szCs w:val="20"/>
                <w:color w:val="auto"/>
              </w:rPr>
            </w:pPr>
            <w:r>
              <w:rPr>
                <w:rFonts w:ascii="Arial" w:cs="Arial" w:eastAsia="Arial" w:hAnsi="Arial"/>
                <w:sz w:val="17"/>
                <w:szCs w:val="17"/>
                <w:color w:val="auto"/>
              </w:rPr>
              <w:t>(8)</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88.7</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77.9</w:t>
            </w:r>
          </w:p>
        </w:tc>
        <w:tc>
          <w:tcPr>
            <w:tcW w:w="1080" w:type="dxa"/>
            <w:vAlign w:val="bottom"/>
            <w:gridSpan w:val="2"/>
            <w:shd w:val="clear" w:color="auto" w:fill="CCEEFF"/>
          </w:tcPr>
          <w:p>
            <w:pPr>
              <w:jc w:val="right"/>
              <w:ind w:right="114"/>
              <w:spacing w:after="0"/>
              <w:rPr>
                <w:sz w:val="20"/>
                <w:szCs w:val="20"/>
                <w:color w:val="auto"/>
              </w:rPr>
            </w:pPr>
            <w:r>
              <w:rPr>
                <w:rFonts w:ascii="Arial" w:cs="Arial" w:eastAsia="Arial" w:hAnsi="Arial"/>
                <w:sz w:val="17"/>
                <w:szCs w:val="17"/>
                <w:color w:val="auto"/>
              </w:rPr>
              <w:t>14</w:t>
            </w:r>
          </w:p>
        </w:tc>
      </w:tr>
      <w:tr>
        <w:trPr>
          <w:trHeight w:val="135"/>
        </w:trPr>
        <w:tc>
          <w:tcPr>
            <w:tcW w:w="3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r>
      <w:tr>
        <w:trPr>
          <w:trHeight w:val="220"/>
        </w:trPr>
        <w:tc>
          <w:tcPr>
            <w:tcW w:w="33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Other income (expense)</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0"/>
        </w:trPr>
        <w:tc>
          <w:tcPr>
            <w:tcW w:w="3300" w:type="dxa"/>
            <w:vAlign w:val="bottom"/>
          </w:tcPr>
          <w:p>
            <w:pPr>
              <w:ind w:left="140"/>
              <w:spacing w:after="0"/>
              <w:rPr>
                <w:sz w:val="20"/>
                <w:szCs w:val="20"/>
                <w:color w:val="auto"/>
              </w:rPr>
            </w:pPr>
            <w:r>
              <w:rPr>
                <w:rFonts w:ascii="Arial" w:cs="Arial" w:eastAsia="Arial" w:hAnsi="Arial"/>
                <w:sz w:val="17"/>
                <w:szCs w:val="17"/>
                <w:color w:val="auto"/>
              </w:rPr>
              <w:t>Interest income</w:t>
            </w:r>
          </w:p>
        </w:tc>
        <w:tc>
          <w:tcPr>
            <w:tcW w:w="240" w:type="dxa"/>
            <w:vAlign w:val="bottom"/>
          </w:tcPr>
          <w:p>
            <w:pPr>
              <w:spacing w:after="0"/>
              <w:rPr>
                <w:sz w:val="19"/>
                <w:szCs w:val="19"/>
                <w:color w:val="auto"/>
              </w:rPr>
            </w:pPr>
          </w:p>
        </w:tc>
        <w:tc>
          <w:tcPr>
            <w:tcW w:w="1120" w:type="dxa"/>
            <w:vAlign w:val="bottom"/>
          </w:tcPr>
          <w:p>
            <w:pPr>
              <w:jc w:val="right"/>
              <w:ind w:right="34"/>
              <w:spacing w:after="0"/>
              <w:rPr>
                <w:sz w:val="20"/>
                <w:szCs w:val="20"/>
                <w:color w:val="auto"/>
              </w:rPr>
            </w:pPr>
            <w:r>
              <w:rPr>
                <w:rFonts w:ascii="Arial" w:cs="Arial" w:eastAsia="Arial" w:hAnsi="Arial"/>
                <w:sz w:val="17"/>
                <w:szCs w:val="17"/>
                <w:color w:val="auto"/>
              </w:rPr>
              <w:t>6.6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ind w:right="34"/>
              <w:spacing w:after="0"/>
              <w:rPr>
                <w:sz w:val="20"/>
                <w:szCs w:val="20"/>
                <w:color w:val="auto"/>
              </w:rPr>
            </w:pPr>
            <w:r>
              <w:rPr>
                <w:rFonts w:ascii="Arial" w:cs="Arial" w:eastAsia="Arial" w:hAnsi="Arial"/>
                <w:sz w:val="17"/>
                <w:szCs w:val="17"/>
                <w:color w:val="auto"/>
              </w:rPr>
              <w:t>3.0</w:t>
            </w:r>
          </w:p>
        </w:tc>
        <w:tc>
          <w:tcPr>
            <w:tcW w:w="1100" w:type="dxa"/>
            <w:vAlign w:val="bottom"/>
            <w:gridSpan w:val="2"/>
          </w:tcPr>
          <w:p>
            <w:pPr>
              <w:jc w:val="right"/>
              <w:ind w:right="134"/>
              <w:spacing w:after="0"/>
              <w:rPr>
                <w:sz w:val="20"/>
                <w:szCs w:val="20"/>
                <w:color w:val="auto"/>
              </w:rPr>
            </w:pPr>
            <w:r>
              <w:rPr>
                <w:rFonts w:ascii="Arial" w:cs="Arial" w:eastAsia="Arial" w:hAnsi="Arial"/>
                <w:sz w:val="17"/>
                <w:szCs w:val="17"/>
                <w:color w:val="auto"/>
              </w:rPr>
              <w:t>122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ind w:right="34"/>
              <w:spacing w:after="0"/>
              <w:rPr>
                <w:sz w:val="20"/>
                <w:szCs w:val="20"/>
                <w:color w:val="auto"/>
              </w:rPr>
            </w:pPr>
            <w:r>
              <w:rPr>
                <w:rFonts w:ascii="Arial" w:cs="Arial" w:eastAsia="Arial" w:hAnsi="Arial"/>
                <w:sz w:val="17"/>
                <w:szCs w:val="17"/>
                <w:color w:val="auto"/>
              </w:rPr>
              <w:t>9.6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ind w:right="34"/>
              <w:spacing w:after="0"/>
              <w:rPr>
                <w:sz w:val="20"/>
                <w:szCs w:val="20"/>
                <w:color w:val="auto"/>
              </w:rPr>
            </w:pPr>
            <w:r>
              <w:rPr>
                <w:rFonts w:ascii="Arial" w:cs="Arial" w:eastAsia="Arial" w:hAnsi="Arial"/>
                <w:sz w:val="17"/>
                <w:szCs w:val="17"/>
                <w:color w:val="auto"/>
              </w:rPr>
              <w:t>5.4</w:t>
            </w:r>
          </w:p>
        </w:tc>
        <w:tc>
          <w:tcPr>
            <w:tcW w:w="1080" w:type="dxa"/>
            <w:vAlign w:val="bottom"/>
            <w:gridSpan w:val="2"/>
          </w:tcPr>
          <w:p>
            <w:pPr>
              <w:jc w:val="right"/>
              <w:ind w:right="114"/>
              <w:spacing w:after="0"/>
              <w:rPr>
                <w:sz w:val="20"/>
                <w:szCs w:val="20"/>
                <w:color w:val="auto"/>
              </w:rPr>
            </w:pPr>
            <w:r>
              <w:rPr>
                <w:rFonts w:ascii="Arial" w:cs="Arial" w:eastAsia="Arial" w:hAnsi="Arial"/>
                <w:sz w:val="17"/>
                <w:szCs w:val="17"/>
                <w:color w:val="auto"/>
              </w:rPr>
              <w:t>77</w:t>
            </w:r>
          </w:p>
        </w:tc>
      </w:tr>
      <w:tr>
        <w:trPr>
          <w:trHeight w:val="220"/>
        </w:trPr>
        <w:tc>
          <w:tcPr>
            <w:tcW w:w="33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Interest expense</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(5.1)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(4.2)</w:t>
            </w:r>
          </w:p>
        </w:tc>
        <w:tc>
          <w:tcPr>
            <w:tcW w:w="1100" w:type="dxa"/>
            <w:vAlign w:val="bottom"/>
            <w:gridSpan w:val="2"/>
            <w:shd w:val="clear" w:color="auto" w:fill="CCEEFF"/>
          </w:tcPr>
          <w:p>
            <w:pPr>
              <w:jc w:val="right"/>
              <w:ind w:right="134"/>
              <w:spacing w:after="0"/>
              <w:rPr>
                <w:sz w:val="20"/>
                <w:szCs w:val="20"/>
                <w:color w:val="auto"/>
              </w:rPr>
            </w:pPr>
            <w:r>
              <w:rPr>
                <w:rFonts w:ascii="Arial" w:cs="Arial" w:eastAsia="Arial" w:hAnsi="Arial"/>
                <w:sz w:val="17"/>
                <w:szCs w:val="17"/>
                <w:color w:val="auto"/>
              </w:rPr>
              <w:t>21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(9.4)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(8.3)</w:t>
            </w:r>
          </w:p>
        </w:tc>
        <w:tc>
          <w:tcPr>
            <w:tcW w:w="1080" w:type="dxa"/>
            <w:vAlign w:val="bottom"/>
            <w:gridSpan w:val="2"/>
            <w:shd w:val="clear" w:color="auto" w:fill="CCEEFF"/>
          </w:tcPr>
          <w:p>
            <w:pPr>
              <w:jc w:val="right"/>
              <w:ind w:right="114"/>
              <w:spacing w:after="0"/>
              <w:rPr>
                <w:sz w:val="20"/>
                <w:szCs w:val="20"/>
                <w:color w:val="auto"/>
              </w:rPr>
            </w:pPr>
            <w:r>
              <w:rPr>
                <w:rFonts w:ascii="Arial" w:cs="Arial" w:eastAsia="Arial" w:hAnsi="Arial"/>
                <w:sz w:val="17"/>
                <w:szCs w:val="17"/>
                <w:color w:val="auto"/>
              </w:rPr>
              <w:t>14</w:t>
            </w:r>
          </w:p>
        </w:tc>
      </w:tr>
      <w:tr>
        <w:trPr>
          <w:trHeight w:val="220"/>
        </w:trPr>
        <w:tc>
          <w:tcPr>
            <w:tcW w:w="330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Other, net</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0.3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(1.4)</w:t>
            </w:r>
          </w:p>
        </w:tc>
        <w:tc>
          <w:tcPr>
            <w:tcW w:w="1100" w:type="dxa"/>
            <w:vAlign w:val="bottom"/>
            <w:tcBorders>
              <w:bottom w:val="single" w:sz="8" w:color="CCEEFF"/>
            </w:tcBorders>
            <w:gridSpan w:val="2"/>
          </w:tcPr>
          <w:p>
            <w:pPr>
              <w:jc w:val="right"/>
              <w:ind w:right="94"/>
              <w:spacing w:after="0"/>
              <w:rPr>
                <w:sz w:val="20"/>
                <w:szCs w:val="20"/>
                <w:color w:val="auto"/>
              </w:rPr>
            </w:pPr>
            <w:r>
              <w:rPr>
                <w:rFonts w:ascii="Arial" w:cs="Arial" w:eastAsia="Arial" w:hAnsi="Arial"/>
                <w:sz w:val="17"/>
                <w:szCs w:val="17"/>
                <w:color w:val="auto"/>
              </w:rPr>
              <w:t>(120)</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(1.1)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(0.1)</w:t>
            </w:r>
          </w:p>
        </w:tc>
        <w:tc>
          <w:tcPr>
            <w:tcW w:w="1080" w:type="dxa"/>
            <w:vAlign w:val="bottom"/>
            <w:tcBorders>
              <w:bottom w:val="single" w:sz="8" w:color="CCEEFF"/>
            </w:tcBorders>
            <w:gridSpan w:val="2"/>
          </w:tcPr>
          <w:p>
            <w:pPr>
              <w:jc w:val="right"/>
              <w:ind w:right="114"/>
              <w:spacing w:after="0"/>
              <w:rPr>
                <w:sz w:val="20"/>
                <w:szCs w:val="20"/>
                <w:color w:val="auto"/>
              </w:rPr>
            </w:pPr>
            <w:r>
              <w:rPr>
                <w:rFonts w:ascii="Arial" w:cs="Arial" w:eastAsia="Arial" w:hAnsi="Arial"/>
                <w:sz w:val="17"/>
                <w:szCs w:val="17"/>
                <w:color w:val="auto"/>
              </w:rPr>
              <w:t>846</w:t>
            </w:r>
          </w:p>
        </w:tc>
      </w:tr>
      <w:tr>
        <w:trPr>
          <w:trHeight w:val="213"/>
        </w:trPr>
        <w:tc>
          <w:tcPr>
            <w:tcW w:w="33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Total other income (expense), net</w:t>
            </w:r>
          </w:p>
        </w:tc>
        <w:tc>
          <w:tcPr>
            <w:tcW w:w="2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1.8</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(2.7)</w:t>
            </w:r>
          </w:p>
        </w:tc>
        <w:tc>
          <w:tcPr>
            <w:tcW w:w="1100" w:type="dxa"/>
            <w:vAlign w:val="bottom"/>
            <w:gridSpan w:val="2"/>
            <w:shd w:val="clear" w:color="auto" w:fill="CCEEFF"/>
          </w:tcPr>
          <w:p>
            <w:pPr>
              <w:jc w:val="right"/>
              <w:ind w:right="94"/>
              <w:spacing w:after="0"/>
              <w:rPr>
                <w:sz w:val="20"/>
                <w:szCs w:val="20"/>
                <w:color w:val="auto"/>
              </w:rPr>
            </w:pPr>
            <w:r>
              <w:rPr>
                <w:rFonts w:ascii="Arial" w:cs="Arial" w:eastAsia="Arial" w:hAnsi="Arial"/>
                <w:sz w:val="17"/>
                <w:szCs w:val="17"/>
                <w:color w:val="auto"/>
              </w:rPr>
              <w:t>(166)</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(0.9)</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(2.9)</w:t>
            </w:r>
          </w:p>
        </w:tc>
        <w:tc>
          <w:tcPr>
            <w:tcW w:w="108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(69)</w:t>
            </w:r>
          </w:p>
        </w:tc>
      </w:tr>
      <w:tr>
        <w:trPr>
          <w:trHeight w:val="135"/>
        </w:trPr>
        <w:tc>
          <w:tcPr>
            <w:tcW w:w="330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00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000" w:type="dxa"/>
            <w:vAlign w:val="bottom"/>
            <w:tcBorders>
              <w:bottom w:val="single" w:sz="8" w:color="CCEEFF"/>
            </w:tcBorders>
          </w:tcPr>
          <w:p>
            <w:pPr>
              <w:spacing w:after="0"/>
              <w:rPr>
                <w:sz w:val="11"/>
                <w:szCs w:val="11"/>
                <w:color w:val="auto"/>
              </w:rPr>
            </w:pPr>
          </w:p>
        </w:tc>
      </w:tr>
      <w:tr>
        <w:trPr>
          <w:trHeight w:val="238"/>
        </w:trPr>
        <w:tc>
          <w:tcPr>
            <w:tcW w:w="3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Income (loss) before income taxes</w:t>
            </w: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(1.8)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(2.8)</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(35)%</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(4.7)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58.1</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(108)%</w:t>
            </w: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r>
    </w:tbl>
    <w:p>
      <w:pPr>
        <w:spacing w:after="0" w:line="95" w:lineRule="exact"/>
        <w:rPr>
          <w:sz w:val="20"/>
          <w:szCs w:val="20"/>
          <w:color w:val="auto"/>
        </w:rPr>
      </w:pPr>
    </w:p>
    <w:p>
      <w:pPr>
        <w:ind w:left="320" w:right="240" w:hanging="317"/>
        <w:spacing w:after="0" w:line="278" w:lineRule="auto"/>
        <w:tabs>
          <w:tab w:leader="none" w:pos="320" w:val="left"/>
        </w:tabs>
        <w:numPr>
          <w:ilvl w:val="0"/>
          <w:numId w:val="53"/>
        </w:numPr>
        <w:rPr>
          <w:rFonts w:ascii="Arial" w:cs="Arial" w:eastAsia="Arial" w:hAnsi="Arial"/>
          <w:sz w:val="14"/>
          <w:szCs w:val="14"/>
          <w:color w:val="auto"/>
        </w:rPr>
      </w:pPr>
      <w:r>
        <w:rPr>
          <w:rFonts w:ascii="Arial" w:cs="Arial" w:eastAsia="Arial" w:hAnsi="Arial"/>
          <w:sz w:val="14"/>
          <w:szCs w:val="14"/>
          <w:color w:val="auto"/>
        </w:rPr>
        <w:t>Includes ancillary fee income related to MSR acquisitions reported as Servicing and subservicing fees at the consolidated level of $0.6 million and $0.5 million for the three months ended June 30, 2022 and March 31, 2022, respectively, and $1.1 million and $4.7 million for the six months ended June 30, 2022 and June 30, 2021, respectively.</w:t>
      </w:r>
    </w:p>
    <w:p>
      <w:pPr>
        <w:ind w:left="320" w:right="80" w:hanging="317"/>
        <w:spacing w:after="0" w:line="237" w:lineRule="auto"/>
        <w:tabs>
          <w:tab w:leader="none" w:pos="320" w:val="left"/>
        </w:tabs>
        <w:numPr>
          <w:ilvl w:val="0"/>
          <w:numId w:val="53"/>
        </w:numPr>
        <w:rPr>
          <w:rFonts w:ascii="Arial" w:cs="Arial" w:eastAsia="Arial" w:hAnsi="Arial"/>
          <w:sz w:val="16"/>
          <w:szCs w:val="16"/>
          <w:color w:val="auto"/>
        </w:rPr>
      </w:pPr>
      <w:r>
        <w:rPr>
          <w:rFonts w:ascii="Arial" w:cs="Arial" w:eastAsia="Arial" w:hAnsi="Arial"/>
          <w:sz w:val="16"/>
          <w:szCs w:val="16"/>
          <w:color w:val="auto"/>
        </w:rPr>
        <w:t>Effective first quarter of 2022, we report MSRs purchased through the Fannie Mae Cash Window program and the associated economics in our Servicing segment upon acquisition, as such MSRs are transferred to MAV monthly under an MSR flow sale agreement and subserviced by PMC. Segment results for prior periods have been recast as applicable to conform to the current segment presentation. The MSR valuation adjustments, net reclassified to the Servicing segment for the six months ended June 30, 2021 was nil.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7" w:right="339" w:bottom="1440" w:gutter="0" w:footer="0" w:header="0"/>
        </w:sectPr>
      </w:pPr>
    </w:p>
    <w:bookmarkStart w:id="84" w:name="page85"/>
    <w:bookmarkEnd w:id="84"/>
    <w:p>
      <w:pPr>
        <w:spacing w:after="0"/>
        <w:rPr>
          <w:sz w:val="20"/>
          <w:szCs w:val="20"/>
          <w:color w:val="auto"/>
        </w:rPr>
      </w:pPr>
      <w:r>
        <w:rPr>
          <w:rFonts w:ascii="Arial" w:cs="Arial" w:eastAsia="Arial" w:hAnsi="Arial"/>
          <w:sz w:val="17"/>
          <w:szCs w:val="17"/>
          <w:color w:val="auto"/>
        </w:rPr>
        <w:t>The following table provides selected operating statistics for our Originations segment: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680" w:type="dxa"/>
            <w:vAlign w:val="bottom"/>
            <w:tcBorders>
              <w:bottom w:val="single" w:sz="8" w:color="auto"/>
            </w:tcBorders>
            <w:gridSpan w:val="4"/>
          </w:tcPr>
          <w:p>
            <w:pPr>
              <w:jc w:val="right"/>
              <w:ind w:right="594"/>
              <w:spacing w:after="0"/>
              <w:rPr>
                <w:sz w:val="20"/>
                <w:szCs w:val="20"/>
                <w:color w:val="auto"/>
              </w:rPr>
            </w:pPr>
            <w:r>
              <w:rPr>
                <w:rFonts w:ascii="Arial" w:cs="Arial" w:eastAsia="Arial" w:hAnsi="Arial"/>
                <w:sz w:val="17"/>
                <w:szCs w:val="17"/>
                <w:b w:val="1"/>
                <w:bCs w:val="1"/>
                <w:color w:val="auto"/>
              </w:rPr>
              <w:t>Three Months Ended</w:t>
            </w: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gridSpan w:val="4"/>
          </w:tcPr>
          <w:p>
            <w:pPr>
              <w:jc w:val="right"/>
              <w:ind w:right="734"/>
              <w:spacing w:after="0"/>
              <w:rPr>
                <w:sz w:val="20"/>
                <w:szCs w:val="20"/>
                <w:color w:val="auto"/>
              </w:rPr>
            </w:pPr>
            <w:r>
              <w:rPr>
                <w:rFonts w:ascii="Arial" w:cs="Arial" w:eastAsia="Arial" w:hAnsi="Arial"/>
                <w:sz w:val="17"/>
                <w:szCs w:val="17"/>
                <w:b w:val="1"/>
                <w:bCs w:val="1"/>
                <w:color w:val="auto"/>
              </w:rPr>
              <w:t>Six Months Ended</w:t>
            </w: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6"/>
        </w:trPr>
        <w:tc>
          <w:tcPr>
            <w:tcW w:w="3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gridSpan w:val="2"/>
          </w:tcPr>
          <w:p>
            <w:pPr>
              <w:ind w:left="140"/>
              <w:spacing w:after="0"/>
              <w:rPr>
                <w:sz w:val="20"/>
                <w:szCs w:val="20"/>
                <w:color w:val="auto"/>
              </w:rPr>
            </w:pPr>
            <w:r>
              <w:rPr>
                <w:rFonts w:ascii="Arial" w:cs="Arial" w:eastAsia="Arial" w:hAnsi="Arial"/>
                <w:sz w:val="17"/>
                <w:szCs w:val="17"/>
                <w:b w:val="1"/>
                <w:bCs w:val="1"/>
                <w:color w:val="auto"/>
              </w:rPr>
              <w:t>June 30,</w:t>
            </w:r>
          </w:p>
        </w:tc>
        <w:tc>
          <w:tcPr>
            <w:tcW w:w="220" w:type="dxa"/>
            <w:vAlign w:val="bottom"/>
          </w:tcPr>
          <w:p>
            <w:pPr>
              <w:spacing w:after="0"/>
              <w:rPr>
                <w:sz w:val="19"/>
                <w:szCs w:val="19"/>
                <w:color w:val="auto"/>
              </w:rPr>
            </w:pPr>
          </w:p>
        </w:tc>
        <w:tc>
          <w:tcPr>
            <w:tcW w:w="1200" w:type="dxa"/>
            <w:vAlign w:val="bottom"/>
          </w:tcPr>
          <w:p>
            <w:pPr>
              <w:jc w:val="right"/>
              <w:ind w:right="254"/>
              <w:spacing w:after="0"/>
              <w:rPr>
                <w:sz w:val="20"/>
                <w:szCs w:val="20"/>
                <w:color w:val="auto"/>
              </w:rPr>
            </w:pPr>
            <w:r>
              <w:rPr>
                <w:rFonts w:ascii="Arial" w:cs="Arial" w:eastAsia="Arial" w:hAnsi="Arial"/>
                <w:sz w:val="17"/>
                <w:szCs w:val="17"/>
                <w:b w:val="1"/>
                <w:bCs w:val="1"/>
                <w:color w:val="auto"/>
              </w:rPr>
              <w:t>March 31,</w:t>
            </w: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gridSpan w:val="2"/>
          </w:tcPr>
          <w:p>
            <w:pPr>
              <w:ind w:left="160"/>
              <w:spacing w:after="0"/>
              <w:rPr>
                <w:sz w:val="20"/>
                <w:szCs w:val="20"/>
                <w:color w:val="auto"/>
              </w:rPr>
            </w:pPr>
            <w:r>
              <w:rPr>
                <w:rFonts w:ascii="Arial" w:cs="Arial" w:eastAsia="Arial" w:hAnsi="Arial"/>
                <w:sz w:val="17"/>
                <w:szCs w:val="17"/>
                <w:b w:val="1"/>
                <w:bCs w:val="1"/>
                <w:color w:val="auto"/>
              </w:rPr>
              <w:t>June 30,</w:t>
            </w:r>
          </w:p>
        </w:tc>
        <w:tc>
          <w:tcPr>
            <w:tcW w:w="260" w:type="dxa"/>
            <w:vAlign w:val="bottom"/>
          </w:tcPr>
          <w:p>
            <w:pPr>
              <w:spacing w:after="0"/>
              <w:rPr>
                <w:sz w:val="19"/>
                <w:szCs w:val="19"/>
                <w:color w:val="auto"/>
              </w:rPr>
            </w:pPr>
          </w:p>
        </w:tc>
        <w:tc>
          <w:tcPr>
            <w:tcW w:w="1200" w:type="dxa"/>
            <w:vAlign w:val="bottom"/>
          </w:tcPr>
          <w:p>
            <w:pPr>
              <w:jc w:val="right"/>
              <w:ind w:right="334"/>
              <w:spacing w:after="0"/>
              <w:rPr>
                <w:sz w:val="20"/>
                <w:szCs w:val="20"/>
                <w:color w:val="auto"/>
              </w:rPr>
            </w:pPr>
            <w:r>
              <w:rPr>
                <w:rFonts w:ascii="Arial" w:cs="Arial" w:eastAsia="Arial" w:hAnsi="Arial"/>
                <w:sz w:val="17"/>
                <w:szCs w:val="17"/>
                <w:b w:val="1"/>
                <w:bCs w:val="1"/>
                <w:color w:val="auto"/>
              </w:rPr>
              <w:t>June 30,</w:t>
            </w: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45"/>
        </w:trPr>
        <w:tc>
          <w:tcPr>
            <w:tcW w:w="3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ind w:right="454"/>
              <w:spacing w:after="0"/>
              <w:rPr>
                <w:sz w:val="20"/>
                <w:szCs w:val="20"/>
                <w:color w:val="auto"/>
              </w:rPr>
            </w:pPr>
            <w:r>
              <w:rPr>
                <w:rFonts w:ascii="Arial" w:cs="Arial" w:eastAsia="Arial" w:hAnsi="Arial"/>
                <w:sz w:val="17"/>
                <w:szCs w:val="17"/>
                <w:b w:val="1"/>
                <w:bCs w:val="1"/>
                <w:color w:val="auto"/>
              </w:rPr>
              <w:t>2022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jc w:val="right"/>
              <w:ind w:right="454"/>
              <w:spacing w:after="0"/>
              <w:rPr>
                <w:sz w:val="20"/>
                <w:szCs w:val="20"/>
                <w:color w:val="auto"/>
              </w:rPr>
            </w:pPr>
            <w:r>
              <w:rPr>
                <w:rFonts w:ascii="Arial" w:cs="Arial" w:eastAsia="Arial" w:hAnsi="Arial"/>
                <w:sz w:val="17"/>
                <w:szCs w:val="17"/>
                <w:b w:val="1"/>
                <w:bCs w:val="1"/>
                <w:color w:val="auto"/>
              </w:rPr>
              <w:t>2022</w:t>
            </w:r>
          </w:p>
        </w:tc>
        <w:tc>
          <w:tcPr>
            <w:tcW w:w="80" w:type="dxa"/>
            <w:vAlign w:val="bottom"/>
          </w:tcPr>
          <w:p>
            <w:pPr>
              <w:spacing w:after="0"/>
              <w:rPr>
                <w:sz w:val="21"/>
                <w:szCs w:val="21"/>
                <w:color w:val="auto"/>
              </w:rPr>
            </w:pPr>
          </w:p>
        </w:tc>
        <w:tc>
          <w:tcPr>
            <w:tcW w:w="1060" w:type="dxa"/>
            <w:vAlign w:val="bottom"/>
            <w:gridSpan w:val="2"/>
          </w:tcPr>
          <w:p>
            <w:pPr>
              <w:ind w:left="100"/>
              <w:spacing w:after="0"/>
              <w:rPr>
                <w:sz w:val="20"/>
                <w:szCs w:val="20"/>
                <w:color w:val="auto"/>
              </w:rPr>
            </w:pPr>
            <w:r>
              <w:rPr>
                <w:rFonts w:ascii="Arial" w:cs="Arial" w:eastAsia="Arial" w:hAnsi="Arial"/>
                <w:sz w:val="17"/>
                <w:szCs w:val="17"/>
                <w:b w:val="1"/>
                <w:bCs w:val="1"/>
                <w:color w:val="auto"/>
              </w:rPr>
              <w:t>% Change</w:t>
            </w:r>
          </w:p>
        </w:tc>
        <w:tc>
          <w:tcPr>
            <w:tcW w:w="260" w:type="dxa"/>
            <w:vAlign w:val="bottom"/>
          </w:tcPr>
          <w:p>
            <w:pPr>
              <w:spacing w:after="0"/>
              <w:rPr>
                <w:sz w:val="21"/>
                <w:szCs w:val="21"/>
                <w:color w:val="auto"/>
              </w:rPr>
            </w:pPr>
          </w:p>
        </w:tc>
        <w:tc>
          <w:tcPr>
            <w:tcW w:w="1200" w:type="dxa"/>
            <w:vAlign w:val="bottom"/>
          </w:tcPr>
          <w:p>
            <w:pPr>
              <w:jc w:val="right"/>
              <w:ind w:right="474"/>
              <w:spacing w:after="0"/>
              <w:rPr>
                <w:sz w:val="20"/>
                <w:szCs w:val="20"/>
                <w:color w:val="auto"/>
              </w:rPr>
            </w:pPr>
            <w:r>
              <w:rPr>
                <w:rFonts w:ascii="Arial" w:cs="Arial" w:eastAsia="Arial" w:hAnsi="Arial"/>
                <w:sz w:val="17"/>
                <w:szCs w:val="17"/>
                <w:b w:val="1"/>
                <w:bCs w:val="1"/>
                <w:color w:val="auto"/>
              </w:rPr>
              <w:t>2022</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474"/>
              <w:spacing w:after="0"/>
              <w:rPr>
                <w:sz w:val="20"/>
                <w:szCs w:val="20"/>
                <w:color w:val="auto"/>
              </w:rPr>
            </w:pPr>
            <w:r>
              <w:rPr>
                <w:rFonts w:ascii="Arial" w:cs="Arial" w:eastAsia="Arial" w:hAnsi="Arial"/>
                <w:sz w:val="17"/>
                <w:szCs w:val="17"/>
                <w:b w:val="1"/>
                <w:bCs w:val="1"/>
                <w:color w:val="auto"/>
              </w:rPr>
              <w:t>2021</w:t>
            </w:r>
          </w:p>
        </w:tc>
        <w:tc>
          <w:tcPr>
            <w:tcW w:w="8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7"/>
                <w:szCs w:val="17"/>
                <w:b w:val="1"/>
                <w:bCs w:val="1"/>
                <w:color w:val="auto"/>
              </w:rPr>
              <w:t>% Change</w:t>
            </w:r>
          </w:p>
        </w:tc>
      </w:tr>
      <w:tr>
        <w:trPr>
          <w:trHeight w:val="238"/>
        </w:trPr>
        <w:tc>
          <w:tcPr>
            <w:tcW w:w="310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116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spacing w:after="0"/>
              <w:rPr>
                <w:sz w:val="20"/>
                <w:szCs w:val="20"/>
                <w:color w:val="auto"/>
              </w:rPr>
            </w:pPr>
          </w:p>
        </w:tc>
        <w:tc>
          <w:tcPr>
            <w:tcW w:w="120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98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120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120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980" w:type="dxa"/>
            <w:vAlign w:val="bottom"/>
            <w:tcBorders>
              <w:top w:val="single" w:sz="8" w:color="auto"/>
            </w:tcBorders>
            <w:shd w:val="clear" w:color="auto" w:fill="CCEEFF"/>
          </w:tcPr>
          <w:p>
            <w:pPr>
              <w:spacing w:after="0"/>
              <w:rPr>
                <w:sz w:val="20"/>
                <w:szCs w:val="20"/>
                <w:color w:val="auto"/>
              </w:rPr>
            </w:pPr>
          </w:p>
        </w:tc>
      </w:tr>
      <w:tr>
        <w:trPr>
          <w:trHeight w:val="220"/>
        </w:trPr>
        <w:tc>
          <w:tcPr>
            <w:tcW w:w="3100" w:type="dxa"/>
            <w:vAlign w:val="bottom"/>
          </w:tcPr>
          <w:p>
            <w:pPr>
              <w:ind w:left="20"/>
              <w:spacing w:after="0"/>
              <w:rPr>
                <w:sz w:val="20"/>
                <w:szCs w:val="20"/>
                <w:color w:val="auto"/>
              </w:rPr>
            </w:pPr>
            <w:r>
              <w:rPr>
                <w:rFonts w:ascii="Arial" w:cs="Arial" w:eastAsia="Arial" w:hAnsi="Arial"/>
                <w:sz w:val="17"/>
                <w:szCs w:val="17"/>
                <w:b w:val="1"/>
                <w:bCs w:val="1"/>
                <w:color w:val="auto"/>
              </w:rPr>
              <w:t>Loan Production by Channel</w:t>
            </w: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0"/>
        </w:trPr>
        <w:tc>
          <w:tcPr>
            <w:tcW w:w="31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Forward loans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0"/>
        </w:trPr>
        <w:tc>
          <w:tcPr>
            <w:tcW w:w="3100" w:type="dxa"/>
            <w:vAlign w:val="bottom"/>
          </w:tcPr>
          <w:p>
            <w:pPr>
              <w:ind w:left="220"/>
              <w:spacing w:after="0"/>
              <w:rPr>
                <w:sz w:val="20"/>
                <w:szCs w:val="20"/>
                <w:color w:val="auto"/>
              </w:rPr>
            </w:pPr>
            <w:r>
              <w:rPr>
                <w:rFonts w:ascii="Arial" w:cs="Arial" w:eastAsia="Arial" w:hAnsi="Arial"/>
                <w:sz w:val="17"/>
                <w:szCs w:val="17"/>
                <w:color w:val="auto"/>
              </w:rPr>
              <w:t>Correspondent</w:t>
            </w: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ind w:right="114"/>
              <w:spacing w:after="0"/>
              <w:rPr>
                <w:sz w:val="20"/>
                <w:szCs w:val="20"/>
                <w:color w:val="auto"/>
              </w:rPr>
            </w:pPr>
            <w:r>
              <w:rPr>
                <w:rFonts w:ascii="Arial" w:cs="Arial" w:eastAsia="Arial" w:hAnsi="Arial"/>
                <w:sz w:val="17"/>
                <w:szCs w:val="17"/>
                <w:color w:val="auto"/>
              </w:rPr>
              <w:t>3,937.4</w:t>
            </w:r>
          </w:p>
        </w:tc>
        <w:tc>
          <w:tcPr>
            <w:tcW w:w="10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ind w:right="134"/>
              <w:spacing w:after="0"/>
              <w:rPr>
                <w:sz w:val="20"/>
                <w:szCs w:val="20"/>
                <w:color w:val="auto"/>
              </w:rPr>
            </w:pPr>
            <w:r>
              <w:rPr>
                <w:rFonts w:ascii="Arial" w:cs="Arial" w:eastAsia="Arial" w:hAnsi="Arial"/>
                <w:sz w:val="17"/>
                <w:szCs w:val="17"/>
                <w:color w:val="auto"/>
              </w:rPr>
              <w:t>2,674.0</w:t>
            </w:r>
          </w:p>
        </w:tc>
        <w:tc>
          <w:tcPr>
            <w:tcW w:w="1060" w:type="dxa"/>
            <w:vAlign w:val="bottom"/>
            <w:gridSpan w:val="2"/>
          </w:tcPr>
          <w:p>
            <w:pPr>
              <w:ind w:left="320"/>
              <w:spacing w:after="0"/>
              <w:rPr>
                <w:sz w:val="20"/>
                <w:szCs w:val="20"/>
                <w:color w:val="auto"/>
              </w:rPr>
            </w:pPr>
            <w:r>
              <w:rPr>
                <w:rFonts w:ascii="Arial" w:cs="Arial" w:eastAsia="Arial" w:hAnsi="Arial"/>
                <w:sz w:val="17"/>
                <w:szCs w:val="17"/>
                <w:color w:val="auto"/>
              </w:rPr>
              <w:t>47%</w:t>
            </w:r>
          </w:p>
        </w:tc>
        <w:tc>
          <w:tcPr>
            <w:tcW w:w="80" w:type="dxa"/>
            <w:vAlign w:val="bottom"/>
          </w:tcPr>
          <w:p>
            <w:pPr>
              <w:spacing w:after="0"/>
              <w:rPr>
                <w:sz w:val="19"/>
                <w:szCs w:val="19"/>
                <w:color w:val="auto"/>
              </w:rPr>
            </w:pPr>
          </w:p>
        </w:tc>
        <w:tc>
          <w:tcPr>
            <w:tcW w:w="260" w:type="dxa"/>
            <w:vAlign w:val="bottom"/>
          </w:tcPr>
          <w:p>
            <w:pPr>
              <w:jc w:val="right"/>
              <w:ind w:right="54"/>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134"/>
              <w:spacing w:after="0"/>
              <w:rPr>
                <w:sz w:val="20"/>
                <w:szCs w:val="20"/>
                <w:color w:val="auto"/>
              </w:rPr>
            </w:pPr>
            <w:r>
              <w:rPr>
                <w:rFonts w:ascii="Arial" w:cs="Arial" w:eastAsia="Arial" w:hAnsi="Arial"/>
                <w:sz w:val="17"/>
                <w:szCs w:val="17"/>
                <w:color w:val="auto"/>
              </w:rPr>
              <w:t>6,611.4</w:t>
            </w:r>
          </w:p>
        </w:tc>
        <w:tc>
          <w:tcPr>
            <w:tcW w:w="8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ind w:right="134"/>
              <w:spacing w:after="0"/>
              <w:rPr>
                <w:sz w:val="20"/>
                <w:szCs w:val="20"/>
                <w:color w:val="auto"/>
              </w:rPr>
            </w:pPr>
            <w:r>
              <w:rPr>
                <w:rFonts w:ascii="Arial" w:cs="Arial" w:eastAsia="Arial" w:hAnsi="Arial"/>
                <w:sz w:val="17"/>
                <w:szCs w:val="17"/>
                <w:color w:val="auto"/>
              </w:rPr>
              <w:t>5,116.3</w:t>
            </w:r>
          </w:p>
        </w:tc>
        <w:tc>
          <w:tcPr>
            <w:tcW w:w="1060" w:type="dxa"/>
            <w:vAlign w:val="bottom"/>
            <w:gridSpan w:val="2"/>
          </w:tcPr>
          <w:p>
            <w:pPr>
              <w:ind w:left="300"/>
              <w:spacing w:after="0"/>
              <w:rPr>
                <w:sz w:val="20"/>
                <w:szCs w:val="20"/>
                <w:color w:val="auto"/>
              </w:rPr>
            </w:pPr>
            <w:r>
              <w:rPr>
                <w:rFonts w:ascii="Arial" w:cs="Arial" w:eastAsia="Arial" w:hAnsi="Arial"/>
                <w:sz w:val="17"/>
                <w:szCs w:val="17"/>
                <w:color w:val="auto"/>
              </w:rPr>
              <w:t>29%</w:t>
            </w:r>
          </w:p>
        </w:tc>
      </w:tr>
      <w:tr>
        <w:trPr>
          <w:trHeight w:val="220"/>
        </w:trPr>
        <w:tc>
          <w:tcPr>
            <w:tcW w:w="31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Consumer Direct</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323.7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662.8</w:t>
            </w:r>
          </w:p>
        </w:tc>
        <w:tc>
          <w:tcPr>
            <w:tcW w:w="106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(51)%</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986.4</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1,172.1</w:t>
            </w:r>
          </w:p>
        </w:tc>
        <w:tc>
          <w:tcPr>
            <w:tcW w:w="106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(16)</w:t>
            </w:r>
          </w:p>
        </w:tc>
      </w:tr>
      <w:tr>
        <w:trPr>
          <w:trHeight w:val="213"/>
        </w:trPr>
        <w:tc>
          <w:tcPr>
            <w:tcW w:w="3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4,261.1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3,336.7</w:t>
            </w:r>
          </w:p>
        </w:tc>
        <w:tc>
          <w:tcPr>
            <w:tcW w:w="1060" w:type="dxa"/>
            <w:vAlign w:val="bottom"/>
            <w:tcBorders>
              <w:bottom w:val="single" w:sz="8" w:color="CCEEFF"/>
            </w:tcBorders>
            <w:gridSpan w:val="2"/>
          </w:tcPr>
          <w:p>
            <w:pPr>
              <w:ind w:left="320"/>
              <w:spacing w:after="0"/>
              <w:rPr>
                <w:sz w:val="20"/>
                <w:szCs w:val="20"/>
                <w:color w:val="auto"/>
              </w:rPr>
            </w:pPr>
            <w:r>
              <w:rPr>
                <w:rFonts w:ascii="Arial" w:cs="Arial" w:eastAsia="Arial" w:hAnsi="Arial"/>
                <w:sz w:val="17"/>
                <w:szCs w:val="17"/>
                <w:color w:val="auto"/>
              </w:rPr>
              <w:t>28%</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7,597.8</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6,288.3</w:t>
            </w:r>
          </w:p>
        </w:tc>
        <w:tc>
          <w:tcPr>
            <w:tcW w:w="1060" w:type="dxa"/>
            <w:vAlign w:val="bottom"/>
            <w:tcBorders>
              <w:bottom w:val="single" w:sz="8" w:color="CCEEFF"/>
            </w:tcBorders>
            <w:gridSpan w:val="2"/>
          </w:tcPr>
          <w:p>
            <w:pPr>
              <w:ind w:left="300"/>
              <w:spacing w:after="0"/>
              <w:rPr>
                <w:sz w:val="20"/>
                <w:szCs w:val="20"/>
                <w:color w:val="auto"/>
              </w:rPr>
            </w:pPr>
            <w:r>
              <w:rPr>
                <w:rFonts w:ascii="Arial" w:cs="Arial" w:eastAsia="Arial" w:hAnsi="Arial"/>
                <w:sz w:val="17"/>
                <w:szCs w:val="17"/>
                <w:color w:val="auto"/>
              </w:rPr>
              <w:t>21%</w:t>
            </w:r>
          </w:p>
        </w:tc>
      </w:tr>
      <w:tr>
        <w:trPr>
          <w:trHeight w:val="135"/>
        </w:trPr>
        <w:tc>
          <w:tcPr>
            <w:tcW w:w="3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r>
      <w:tr>
        <w:trPr>
          <w:trHeight w:val="220"/>
        </w:trPr>
        <w:tc>
          <w:tcPr>
            <w:tcW w:w="3100" w:type="dxa"/>
            <w:vAlign w:val="bottom"/>
          </w:tcPr>
          <w:p>
            <w:pPr>
              <w:ind w:left="220"/>
              <w:spacing w:after="0"/>
              <w:rPr>
                <w:sz w:val="20"/>
                <w:szCs w:val="20"/>
                <w:color w:val="auto"/>
              </w:rPr>
            </w:pPr>
            <w:r>
              <w:rPr>
                <w:rFonts w:ascii="Arial" w:cs="Arial" w:eastAsia="Arial" w:hAnsi="Arial"/>
                <w:sz w:val="17"/>
                <w:szCs w:val="17"/>
                <w:color w:val="auto"/>
              </w:rPr>
              <w:t>% Purchase production</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69 %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40 %</w:t>
            </w:r>
          </w:p>
        </w:tc>
        <w:tc>
          <w:tcPr>
            <w:tcW w:w="1060" w:type="dxa"/>
            <w:vAlign w:val="bottom"/>
            <w:gridSpan w:val="2"/>
          </w:tcPr>
          <w:p>
            <w:pPr>
              <w:jc w:val="right"/>
              <w:ind w:right="134"/>
              <w:spacing w:after="0"/>
              <w:rPr>
                <w:sz w:val="20"/>
                <w:szCs w:val="20"/>
                <w:color w:val="auto"/>
              </w:rPr>
            </w:pPr>
            <w:r>
              <w:rPr>
                <w:rFonts w:ascii="Arial" w:cs="Arial" w:eastAsia="Arial" w:hAnsi="Arial"/>
                <w:sz w:val="17"/>
                <w:szCs w:val="17"/>
                <w:color w:val="auto"/>
              </w:rPr>
              <w:t>73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55 %</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21 %</w:t>
            </w:r>
          </w:p>
        </w:tc>
        <w:tc>
          <w:tcPr>
            <w:tcW w:w="1060" w:type="dxa"/>
            <w:vAlign w:val="bottom"/>
            <w:gridSpan w:val="2"/>
          </w:tcPr>
          <w:p>
            <w:pPr>
              <w:jc w:val="right"/>
              <w:ind w:right="114"/>
              <w:spacing w:after="0"/>
              <w:rPr>
                <w:sz w:val="20"/>
                <w:szCs w:val="20"/>
                <w:color w:val="auto"/>
              </w:rPr>
            </w:pPr>
            <w:r>
              <w:rPr>
                <w:rFonts w:ascii="Arial" w:cs="Arial" w:eastAsia="Arial" w:hAnsi="Arial"/>
                <w:sz w:val="17"/>
                <w:szCs w:val="17"/>
                <w:color w:val="auto"/>
              </w:rPr>
              <w:t>158</w:t>
            </w:r>
          </w:p>
        </w:tc>
      </w:tr>
      <w:tr>
        <w:trPr>
          <w:trHeight w:val="220"/>
        </w:trPr>
        <w:tc>
          <w:tcPr>
            <w:tcW w:w="31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 Refinance production</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31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60</w:t>
            </w:r>
          </w:p>
        </w:tc>
        <w:tc>
          <w:tcPr>
            <w:tcW w:w="1060" w:type="dxa"/>
            <w:vAlign w:val="bottom"/>
            <w:gridSpan w:val="2"/>
            <w:shd w:val="clear" w:color="auto" w:fill="CCEEFF"/>
          </w:tcPr>
          <w:p>
            <w:pPr>
              <w:jc w:val="right"/>
              <w:ind w:right="94"/>
              <w:spacing w:after="0"/>
              <w:rPr>
                <w:sz w:val="20"/>
                <w:szCs w:val="20"/>
                <w:color w:val="auto"/>
              </w:rPr>
            </w:pPr>
            <w:r>
              <w:rPr>
                <w:rFonts w:ascii="Arial" w:cs="Arial" w:eastAsia="Arial" w:hAnsi="Arial"/>
                <w:sz w:val="17"/>
                <w:szCs w:val="17"/>
                <w:color w:val="auto"/>
              </w:rPr>
              <w:t>(48)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45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79</w:t>
            </w:r>
          </w:p>
        </w:tc>
        <w:tc>
          <w:tcPr>
            <w:tcW w:w="106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(43)</w:t>
            </w:r>
          </w:p>
        </w:tc>
      </w:tr>
      <w:tr>
        <w:trPr>
          <w:trHeight w:val="258"/>
        </w:trPr>
        <w:tc>
          <w:tcPr>
            <w:tcW w:w="3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20"/>
        </w:trPr>
        <w:tc>
          <w:tcPr>
            <w:tcW w:w="31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Reverse loans (1)</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0"/>
        </w:trPr>
        <w:tc>
          <w:tcPr>
            <w:tcW w:w="3100" w:type="dxa"/>
            <w:vAlign w:val="bottom"/>
          </w:tcPr>
          <w:p>
            <w:pPr>
              <w:ind w:left="220"/>
              <w:spacing w:after="0"/>
              <w:rPr>
                <w:sz w:val="20"/>
                <w:szCs w:val="20"/>
                <w:color w:val="auto"/>
              </w:rPr>
            </w:pPr>
            <w:r>
              <w:rPr>
                <w:rFonts w:ascii="Arial" w:cs="Arial" w:eastAsia="Arial" w:hAnsi="Arial"/>
                <w:sz w:val="17"/>
                <w:szCs w:val="17"/>
                <w:color w:val="auto"/>
              </w:rPr>
              <w:t>Correspondent</w:t>
            </w: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ind w:right="114"/>
              <w:spacing w:after="0"/>
              <w:rPr>
                <w:sz w:val="20"/>
                <w:szCs w:val="20"/>
                <w:color w:val="auto"/>
              </w:rPr>
            </w:pPr>
            <w:r>
              <w:rPr>
                <w:rFonts w:ascii="Arial" w:cs="Arial" w:eastAsia="Arial" w:hAnsi="Arial"/>
                <w:sz w:val="17"/>
                <w:szCs w:val="17"/>
                <w:color w:val="auto"/>
              </w:rPr>
              <w:t>206.0</w:t>
            </w:r>
          </w:p>
        </w:tc>
        <w:tc>
          <w:tcPr>
            <w:tcW w:w="10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ind w:right="134"/>
              <w:spacing w:after="0"/>
              <w:rPr>
                <w:sz w:val="20"/>
                <w:szCs w:val="20"/>
                <w:color w:val="auto"/>
              </w:rPr>
            </w:pPr>
            <w:r>
              <w:rPr>
                <w:rFonts w:ascii="Arial" w:cs="Arial" w:eastAsia="Arial" w:hAnsi="Arial"/>
                <w:sz w:val="17"/>
                <w:szCs w:val="17"/>
                <w:color w:val="auto"/>
              </w:rPr>
              <w:t>281.5</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(27)%</w:t>
            </w:r>
          </w:p>
        </w:tc>
        <w:tc>
          <w:tcPr>
            <w:tcW w:w="80" w:type="dxa"/>
            <w:vAlign w:val="bottom"/>
          </w:tcPr>
          <w:p>
            <w:pPr>
              <w:spacing w:after="0"/>
              <w:rPr>
                <w:sz w:val="19"/>
                <w:szCs w:val="19"/>
                <w:color w:val="auto"/>
              </w:rPr>
            </w:pPr>
          </w:p>
        </w:tc>
        <w:tc>
          <w:tcPr>
            <w:tcW w:w="260" w:type="dxa"/>
            <w:vAlign w:val="bottom"/>
          </w:tcPr>
          <w:p>
            <w:pPr>
              <w:jc w:val="right"/>
              <w:ind w:right="54"/>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134"/>
              <w:spacing w:after="0"/>
              <w:rPr>
                <w:sz w:val="20"/>
                <w:szCs w:val="20"/>
                <w:color w:val="auto"/>
              </w:rPr>
            </w:pPr>
            <w:r>
              <w:rPr>
                <w:rFonts w:ascii="Arial" w:cs="Arial" w:eastAsia="Arial" w:hAnsi="Arial"/>
                <w:sz w:val="17"/>
                <w:szCs w:val="17"/>
                <w:color w:val="auto"/>
              </w:rPr>
              <w:t>487.5</w:t>
            </w:r>
          </w:p>
        </w:tc>
        <w:tc>
          <w:tcPr>
            <w:tcW w:w="8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ind w:right="134"/>
              <w:spacing w:after="0"/>
              <w:rPr>
                <w:sz w:val="20"/>
                <w:szCs w:val="20"/>
                <w:color w:val="auto"/>
              </w:rPr>
            </w:pPr>
            <w:r>
              <w:rPr>
                <w:rFonts w:ascii="Arial" w:cs="Arial" w:eastAsia="Arial" w:hAnsi="Arial"/>
                <w:sz w:val="17"/>
                <w:szCs w:val="17"/>
                <w:color w:val="auto"/>
              </w:rPr>
              <w:t>338.4</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44 %</w:t>
            </w:r>
          </w:p>
        </w:tc>
      </w:tr>
      <w:tr>
        <w:trPr>
          <w:trHeight w:val="220"/>
        </w:trPr>
        <w:tc>
          <w:tcPr>
            <w:tcW w:w="31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Wholesale</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90.2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118.2</w:t>
            </w:r>
          </w:p>
        </w:tc>
        <w:tc>
          <w:tcPr>
            <w:tcW w:w="1060" w:type="dxa"/>
            <w:vAlign w:val="bottom"/>
            <w:gridSpan w:val="2"/>
            <w:shd w:val="clear" w:color="auto" w:fill="CCEEFF"/>
          </w:tcPr>
          <w:p>
            <w:pPr>
              <w:jc w:val="right"/>
              <w:ind w:right="94"/>
              <w:spacing w:after="0"/>
              <w:rPr>
                <w:sz w:val="20"/>
                <w:szCs w:val="20"/>
                <w:color w:val="auto"/>
              </w:rPr>
            </w:pPr>
            <w:r>
              <w:rPr>
                <w:rFonts w:ascii="Arial" w:cs="Arial" w:eastAsia="Arial" w:hAnsi="Arial"/>
                <w:sz w:val="17"/>
                <w:szCs w:val="17"/>
                <w:color w:val="auto"/>
              </w:rPr>
              <w:t>(24)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208.4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110.9</w:t>
            </w:r>
          </w:p>
        </w:tc>
        <w:tc>
          <w:tcPr>
            <w:tcW w:w="1060" w:type="dxa"/>
            <w:vAlign w:val="bottom"/>
            <w:gridSpan w:val="2"/>
            <w:shd w:val="clear" w:color="auto" w:fill="CCEEFF"/>
          </w:tcPr>
          <w:p>
            <w:pPr>
              <w:jc w:val="right"/>
              <w:ind w:right="114"/>
              <w:spacing w:after="0"/>
              <w:rPr>
                <w:sz w:val="20"/>
                <w:szCs w:val="20"/>
                <w:color w:val="auto"/>
              </w:rPr>
            </w:pPr>
            <w:r>
              <w:rPr>
                <w:rFonts w:ascii="Arial" w:cs="Arial" w:eastAsia="Arial" w:hAnsi="Arial"/>
                <w:sz w:val="17"/>
                <w:szCs w:val="17"/>
                <w:color w:val="auto"/>
              </w:rPr>
              <w:t>88</w:t>
            </w:r>
          </w:p>
        </w:tc>
      </w:tr>
      <w:tr>
        <w:trPr>
          <w:trHeight w:val="220"/>
        </w:trPr>
        <w:tc>
          <w:tcPr>
            <w:tcW w:w="310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Retail</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135.3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147.3</w:t>
            </w:r>
          </w:p>
        </w:tc>
        <w:tc>
          <w:tcPr>
            <w:tcW w:w="1060" w:type="dxa"/>
            <w:vAlign w:val="bottom"/>
            <w:tcBorders>
              <w:bottom w:val="single" w:sz="8" w:color="CCEEFF"/>
            </w:tcBorders>
            <w:gridSpan w:val="2"/>
          </w:tcPr>
          <w:p>
            <w:pPr>
              <w:jc w:val="right"/>
              <w:ind w:right="94"/>
              <w:spacing w:after="0"/>
              <w:rPr>
                <w:sz w:val="20"/>
                <w:szCs w:val="20"/>
                <w:color w:val="auto"/>
              </w:rPr>
            </w:pPr>
            <w:r>
              <w:rPr>
                <w:rFonts w:ascii="Arial" w:cs="Arial" w:eastAsia="Arial" w:hAnsi="Arial"/>
                <w:sz w:val="17"/>
                <w:szCs w:val="17"/>
                <w:color w:val="auto"/>
              </w:rPr>
              <w:t>(8)</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282.6</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153.8</w:t>
            </w:r>
          </w:p>
        </w:tc>
        <w:tc>
          <w:tcPr>
            <w:tcW w:w="1060" w:type="dxa"/>
            <w:vAlign w:val="bottom"/>
            <w:tcBorders>
              <w:bottom w:val="single" w:sz="8" w:color="CCEEFF"/>
            </w:tcBorders>
            <w:gridSpan w:val="2"/>
          </w:tcPr>
          <w:p>
            <w:pPr>
              <w:jc w:val="right"/>
              <w:ind w:right="114"/>
              <w:spacing w:after="0"/>
              <w:rPr>
                <w:sz w:val="20"/>
                <w:szCs w:val="20"/>
                <w:color w:val="auto"/>
              </w:rPr>
            </w:pPr>
            <w:r>
              <w:rPr>
                <w:rFonts w:ascii="Arial" w:cs="Arial" w:eastAsia="Arial" w:hAnsi="Arial"/>
                <w:sz w:val="17"/>
                <w:szCs w:val="17"/>
                <w:color w:val="auto"/>
              </w:rPr>
              <w:t>84</w:t>
            </w:r>
          </w:p>
        </w:tc>
      </w:tr>
      <w:tr>
        <w:trPr>
          <w:trHeight w:val="213"/>
        </w:trPr>
        <w:tc>
          <w:tcPr>
            <w:tcW w:w="3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431.5</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547.0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978.5</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603.2</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62 %</w:t>
            </w:r>
          </w:p>
        </w:tc>
      </w:tr>
      <w:tr>
        <w:trPr>
          <w:trHeight w:val="225"/>
        </w:trPr>
        <w:tc>
          <w:tcPr>
            <w:tcW w:w="3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0"/>
        </w:trPr>
        <w:tc>
          <w:tcPr>
            <w:tcW w:w="31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MSR Purchases by Channel</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0"/>
        </w:trPr>
        <w:tc>
          <w:tcPr>
            <w:tcW w:w="3100" w:type="dxa"/>
            <w:vAlign w:val="bottom"/>
          </w:tcPr>
          <w:p>
            <w:pPr>
              <w:ind w:left="120"/>
              <w:spacing w:after="0"/>
              <w:rPr>
                <w:sz w:val="20"/>
                <w:szCs w:val="20"/>
                <w:color w:val="auto"/>
              </w:rPr>
            </w:pPr>
            <w:r>
              <w:rPr>
                <w:rFonts w:ascii="Arial" w:cs="Arial" w:eastAsia="Arial" w:hAnsi="Arial"/>
                <w:sz w:val="17"/>
                <w:szCs w:val="17"/>
                <w:color w:val="auto"/>
              </w:rPr>
              <w:t>Agency Cash Window / Flow MSR</w:t>
            </w: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ind w:right="114"/>
              <w:spacing w:after="0"/>
              <w:rPr>
                <w:sz w:val="20"/>
                <w:szCs w:val="20"/>
                <w:color w:val="auto"/>
              </w:rPr>
            </w:pPr>
            <w:r>
              <w:rPr>
                <w:rFonts w:ascii="Arial" w:cs="Arial" w:eastAsia="Arial" w:hAnsi="Arial"/>
                <w:sz w:val="17"/>
                <w:szCs w:val="17"/>
                <w:color w:val="auto"/>
              </w:rPr>
              <w:t>3,207.9</w:t>
            </w:r>
          </w:p>
        </w:tc>
        <w:tc>
          <w:tcPr>
            <w:tcW w:w="10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ind w:right="134"/>
              <w:spacing w:after="0"/>
              <w:rPr>
                <w:sz w:val="20"/>
                <w:szCs w:val="20"/>
                <w:color w:val="auto"/>
              </w:rPr>
            </w:pPr>
            <w:r>
              <w:rPr>
                <w:rFonts w:ascii="Arial" w:cs="Arial" w:eastAsia="Arial" w:hAnsi="Arial"/>
                <w:sz w:val="17"/>
                <w:szCs w:val="17"/>
                <w:color w:val="auto"/>
              </w:rPr>
              <w:t>4,091.5</w:t>
            </w:r>
          </w:p>
        </w:tc>
        <w:tc>
          <w:tcPr>
            <w:tcW w:w="1060" w:type="dxa"/>
            <w:vAlign w:val="bottom"/>
            <w:gridSpan w:val="2"/>
          </w:tcPr>
          <w:p>
            <w:pPr>
              <w:ind w:left="320"/>
              <w:spacing w:after="0"/>
              <w:rPr>
                <w:sz w:val="20"/>
                <w:szCs w:val="20"/>
                <w:color w:val="auto"/>
              </w:rPr>
            </w:pPr>
            <w:r>
              <w:rPr>
                <w:rFonts w:ascii="Arial" w:cs="Arial" w:eastAsia="Arial" w:hAnsi="Arial"/>
                <w:sz w:val="17"/>
                <w:szCs w:val="17"/>
                <w:color w:val="auto"/>
              </w:rPr>
              <w:t>(22)%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ind w:right="134"/>
              <w:spacing w:after="0"/>
              <w:rPr>
                <w:sz w:val="20"/>
                <w:szCs w:val="20"/>
                <w:color w:val="auto"/>
              </w:rPr>
            </w:pPr>
            <w:r>
              <w:rPr>
                <w:rFonts w:ascii="Arial" w:cs="Arial" w:eastAsia="Arial" w:hAnsi="Arial"/>
                <w:sz w:val="17"/>
                <w:szCs w:val="17"/>
                <w:color w:val="auto"/>
              </w:rPr>
              <w:t>7,299.4</w:t>
            </w:r>
          </w:p>
        </w:tc>
        <w:tc>
          <w:tcPr>
            <w:tcW w:w="8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ind w:right="134"/>
              <w:spacing w:after="0"/>
              <w:rPr>
                <w:sz w:val="20"/>
                <w:szCs w:val="20"/>
                <w:color w:val="auto"/>
              </w:rPr>
            </w:pPr>
            <w:r>
              <w:rPr>
                <w:rFonts w:ascii="Arial" w:cs="Arial" w:eastAsia="Arial" w:hAnsi="Arial"/>
                <w:sz w:val="17"/>
                <w:szCs w:val="17"/>
                <w:color w:val="auto"/>
              </w:rPr>
              <w:t>12,153.5</w:t>
            </w:r>
          </w:p>
        </w:tc>
        <w:tc>
          <w:tcPr>
            <w:tcW w:w="1060" w:type="dxa"/>
            <w:vAlign w:val="bottom"/>
            <w:gridSpan w:val="2"/>
          </w:tcPr>
          <w:p>
            <w:pPr>
              <w:ind w:left="300"/>
              <w:spacing w:after="0"/>
              <w:rPr>
                <w:sz w:val="20"/>
                <w:szCs w:val="20"/>
                <w:color w:val="auto"/>
              </w:rPr>
            </w:pPr>
            <w:r>
              <w:rPr>
                <w:rFonts w:ascii="Arial" w:cs="Arial" w:eastAsia="Arial" w:hAnsi="Arial"/>
                <w:sz w:val="17"/>
                <w:szCs w:val="17"/>
                <w:color w:val="auto"/>
              </w:rPr>
              <w:t>(40)%</w:t>
            </w:r>
          </w:p>
        </w:tc>
      </w:tr>
      <w:tr>
        <w:trPr>
          <w:trHeight w:val="220"/>
        </w:trPr>
        <w:tc>
          <w:tcPr>
            <w:tcW w:w="31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Bulk MSR purchases</w:t>
            </w: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rPr>
              <w:t>n/m</w:t>
            </w:r>
          </w:p>
        </w:tc>
        <w:tc>
          <w:tcPr>
            <w:tcW w:w="2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55,133.5</w:t>
            </w:r>
          </w:p>
        </w:tc>
        <w:tc>
          <w:tcPr>
            <w:tcW w:w="106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(100)</w:t>
            </w:r>
          </w:p>
        </w:tc>
      </w:tr>
      <w:tr>
        <w:trPr>
          <w:trHeight w:val="220"/>
        </w:trPr>
        <w:tc>
          <w:tcPr>
            <w:tcW w:w="3100" w:type="dxa"/>
            <w:vAlign w:val="bottom"/>
          </w:tcPr>
          <w:p>
            <w:pPr>
              <w:ind w:left="120"/>
              <w:spacing w:after="0"/>
              <w:rPr>
                <w:sz w:val="20"/>
                <w:szCs w:val="20"/>
                <w:color w:val="auto"/>
              </w:rPr>
            </w:pPr>
            <w:r>
              <w:rPr>
                <w:rFonts w:ascii="Arial" w:cs="Arial" w:eastAsia="Arial" w:hAnsi="Arial"/>
                <w:sz w:val="17"/>
                <w:szCs w:val="17"/>
                <w:color w:val="auto"/>
              </w:rPr>
              <w:t>Bulk reverse purchases</w:t>
            </w:r>
          </w:p>
        </w:tc>
        <w:tc>
          <w:tcPr>
            <w:tcW w:w="260" w:type="dxa"/>
            <w:vAlign w:val="bottom"/>
          </w:tcPr>
          <w:p>
            <w:pPr>
              <w:spacing w:after="0"/>
              <w:rPr>
                <w:sz w:val="19"/>
                <w:szCs w:val="19"/>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200" w:type="dxa"/>
            <w:vAlign w:val="bottom"/>
          </w:tcPr>
          <w:p>
            <w:pPr>
              <w:jc w:val="right"/>
              <w:ind w:right="134"/>
              <w:spacing w:after="0"/>
              <w:rPr>
                <w:sz w:val="20"/>
                <w:szCs w:val="20"/>
                <w:color w:val="auto"/>
              </w:rPr>
            </w:pPr>
            <w:r>
              <w:rPr>
                <w:rFonts w:ascii="Arial" w:cs="Arial" w:eastAsia="Arial" w:hAnsi="Arial"/>
                <w:sz w:val="17"/>
                <w:szCs w:val="17"/>
                <w:color w:val="auto"/>
              </w:rPr>
              <w:t>209.1</w:t>
            </w:r>
          </w:p>
        </w:tc>
        <w:tc>
          <w:tcPr>
            <w:tcW w:w="1060" w:type="dxa"/>
            <w:vAlign w:val="bottom"/>
            <w:gridSpan w:val="2"/>
          </w:tcPr>
          <w:p>
            <w:pPr>
              <w:ind w:left="320"/>
              <w:spacing w:after="0"/>
              <w:rPr>
                <w:sz w:val="20"/>
                <w:szCs w:val="20"/>
                <w:color w:val="auto"/>
              </w:rPr>
            </w:pPr>
            <w:r>
              <w:rPr>
                <w:rFonts w:ascii="Arial" w:cs="Arial" w:eastAsia="Arial" w:hAnsi="Arial"/>
                <w:sz w:val="17"/>
                <w:szCs w:val="17"/>
                <w:color w:val="auto"/>
              </w:rPr>
              <w:t>(100)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ind w:right="134"/>
              <w:spacing w:after="0"/>
              <w:rPr>
                <w:sz w:val="20"/>
                <w:szCs w:val="20"/>
                <w:color w:val="auto"/>
              </w:rPr>
            </w:pPr>
            <w:r>
              <w:rPr>
                <w:rFonts w:ascii="Arial" w:cs="Arial" w:eastAsia="Arial" w:hAnsi="Arial"/>
                <w:sz w:val="17"/>
                <w:szCs w:val="17"/>
                <w:color w:val="auto"/>
              </w:rPr>
              <w:t>209.1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980" w:type="dxa"/>
            <w:vAlign w:val="bottom"/>
          </w:tcPr>
          <w:p>
            <w:pPr>
              <w:jc w:val="right"/>
              <w:ind w:right="394"/>
              <w:spacing w:after="0"/>
              <w:rPr>
                <w:sz w:val="20"/>
                <w:szCs w:val="20"/>
                <w:color w:val="auto"/>
              </w:rPr>
            </w:pPr>
            <w:r>
              <w:rPr>
                <w:rFonts w:ascii="Arial" w:cs="Arial" w:eastAsia="Arial" w:hAnsi="Arial"/>
                <w:sz w:val="17"/>
                <w:szCs w:val="17"/>
                <w:color w:val="auto"/>
              </w:rPr>
              <w:t>n/m</w:t>
            </w:r>
          </w:p>
        </w:tc>
      </w:tr>
      <w:tr>
        <w:trPr>
          <w:trHeight w:val="213"/>
        </w:trPr>
        <w:tc>
          <w:tcPr>
            <w:tcW w:w="3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160" w:type="dxa"/>
            <w:vAlign w:val="bottom"/>
            <w:tcBorders>
              <w:top w:val="single" w:sz="8" w:color="auto"/>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3,207.9</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4,300.6</w:t>
            </w:r>
          </w:p>
        </w:tc>
        <w:tc>
          <w:tcPr>
            <w:tcW w:w="1060" w:type="dxa"/>
            <w:vAlign w:val="bottom"/>
            <w:tcBorders>
              <w:top w:val="single" w:sz="8" w:color="CCEEFF"/>
            </w:tcBorders>
            <w:gridSpan w:val="2"/>
            <w:shd w:val="clear" w:color="auto" w:fill="CCEEFF"/>
          </w:tcPr>
          <w:p>
            <w:pPr>
              <w:ind w:left="320"/>
              <w:spacing w:after="0"/>
              <w:rPr>
                <w:sz w:val="20"/>
                <w:szCs w:val="20"/>
                <w:color w:val="auto"/>
              </w:rPr>
            </w:pPr>
            <w:r>
              <w:rPr>
                <w:rFonts w:ascii="Arial" w:cs="Arial" w:eastAsia="Arial" w:hAnsi="Arial"/>
                <w:sz w:val="17"/>
                <w:szCs w:val="17"/>
                <w:color w:val="auto"/>
              </w:rPr>
              <w:t>(25)</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200" w:type="dxa"/>
            <w:vAlign w:val="bottom"/>
            <w:tcBorders>
              <w:top w:val="single" w:sz="8" w:color="auto"/>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7,508.4</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67,287.0</w:t>
            </w:r>
          </w:p>
        </w:tc>
        <w:tc>
          <w:tcPr>
            <w:tcW w:w="1060" w:type="dxa"/>
            <w:vAlign w:val="bottom"/>
            <w:tcBorders>
              <w:top w:val="single" w:sz="8" w:color="CCEEFF"/>
            </w:tcBorders>
            <w:gridSpan w:val="2"/>
            <w:shd w:val="clear" w:color="auto" w:fill="CCEEFF"/>
          </w:tcPr>
          <w:p>
            <w:pPr>
              <w:ind w:left="300"/>
              <w:spacing w:after="0"/>
              <w:rPr>
                <w:sz w:val="20"/>
                <w:szCs w:val="20"/>
                <w:color w:val="auto"/>
              </w:rPr>
            </w:pPr>
            <w:r>
              <w:rPr>
                <w:rFonts w:ascii="Arial" w:cs="Arial" w:eastAsia="Arial" w:hAnsi="Arial"/>
                <w:sz w:val="17"/>
                <w:szCs w:val="17"/>
                <w:color w:val="auto"/>
              </w:rPr>
              <w:t>(89)</w:t>
            </w:r>
          </w:p>
        </w:tc>
      </w:tr>
      <w:tr>
        <w:trPr>
          <w:trHeight w:val="238"/>
        </w:trPr>
        <w:tc>
          <w:tcPr>
            <w:tcW w:w="3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98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980" w:type="dxa"/>
            <w:vAlign w:val="bottom"/>
            <w:tcBorders>
              <w:bottom w:val="single" w:sz="8" w:color="CCEEFF"/>
            </w:tcBorders>
          </w:tcPr>
          <w:p>
            <w:pPr>
              <w:spacing w:after="0"/>
              <w:rPr>
                <w:sz w:val="20"/>
                <w:szCs w:val="20"/>
                <w:color w:val="auto"/>
              </w:rPr>
            </w:pPr>
          </w:p>
        </w:tc>
      </w:tr>
      <w:tr>
        <w:trPr>
          <w:trHeight w:val="238"/>
        </w:trPr>
        <w:tc>
          <w:tcPr>
            <w:tcW w:w="31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Total</w:t>
            </w: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7,900.6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8,184.3</w:t>
            </w:r>
          </w:p>
        </w:tc>
        <w:tc>
          <w:tcPr>
            <w:tcW w:w="106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7"/>
                <w:szCs w:val="17"/>
                <w:color w:val="auto"/>
              </w:rPr>
              <w:t>(3)%</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16,084.8</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74,178.5</w:t>
            </w:r>
          </w:p>
        </w:tc>
        <w:tc>
          <w:tcPr>
            <w:tcW w:w="106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7"/>
                <w:szCs w:val="17"/>
                <w:color w:val="auto"/>
              </w:rPr>
              <w:t>(78)%</w:t>
            </w: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r>
      <w:tr>
        <w:trPr>
          <w:trHeight w:val="204"/>
        </w:trPr>
        <w:tc>
          <w:tcPr>
            <w:tcW w:w="3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68"/>
        </w:trPr>
        <w:tc>
          <w:tcPr>
            <w:tcW w:w="3100" w:type="dxa"/>
            <w:vAlign w:val="bottom"/>
            <w:shd w:val="clear" w:color="auto" w:fill="CCEEFF"/>
          </w:tcPr>
          <w:p>
            <w:pPr>
              <w:ind w:left="20"/>
              <w:spacing w:after="0" w:line="168" w:lineRule="exact"/>
              <w:rPr>
                <w:sz w:val="20"/>
                <w:szCs w:val="20"/>
                <w:color w:val="auto"/>
              </w:rPr>
            </w:pPr>
            <w:r>
              <w:rPr>
                <w:rFonts w:ascii="Arial" w:cs="Arial" w:eastAsia="Arial" w:hAnsi="Arial"/>
                <w:sz w:val="17"/>
                <w:szCs w:val="17"/>
                <w:b w:val="1"/>
                <w:bCs w:val="1"/>
                <w:color w:val="auto"/>
                <w:w w:val="97"/>
              </w:rPr>
              <w:t>Short term loan commitment (at period</w:t>
            </w:r>
          </w:p>
        </w:tc>
        <w:tc>
          <w:tcPr>
            <w:tcW w:w="2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r>
      <w:tr>
        <w:trPr>
          <w:trHeight w:val="220"/>
        </w:trPr>
        <w:tc>
          <w:tcPr>
            <w:tcW w:w="3100" w:type="dxa"/>
            <w:vAlign w:val="bottom"/>
            <w:shd w:val="clear" w:color="auto" w:fill="CCEEFF"/>
          </w:tcPr>
          <w:p>
            <w:pPr>
              <w:ind w:left="180"/>
              <w:spacing w:after="0"/>
              <w:rPr>
                <w:sz w:val="20"/>
                <w:szCs w:val="20"/>
                <w:color w:val="auto"/>
              </w:rPr>
            </w:pPr>
            <w:r>
              <w:rPr>
                <w:rFonts w:ascii="Arial" w:cs="Arial" w:eastAsia="Arial" w:hAnsi="Arial"/>
                <w:sz w:val="17"/>
                <w:szCs w:val="17"/>
                <w:b w:val="1"/>
                <w:bCs w:val="1"/>
                <w:color w:val="auto"/>
              </w:rPr>
              <w:t>end)</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0"/>
        </w:trPr>
        <w:tc>
          <w:tcPr>
            <w:tcW w:w="3100" w:type="dxa"/>
            <w:vAlign w:val="bottom"/>
          </w:tcPr>
          <w:p>
            <w:pPr>
              <w:ind w:left="140"/>
              <w:spacing w:after="0"/>
              <w:rPr>
                <w:sz w:val="20"/>
                <w:szCs w:val="20"/>
                <w:color w:val="auto"/>
              </w:rPr>
            </w:pPr>
            <w:r>
              <w:rPr>
                <w:rFonts w:ascii="Arial" w:cs="Arial" w:eastAsia="Arial" w:hAnsi="Arial"/>
                <w:sz w:val="17"/>
                <w:szCs w:val="17"/>
                <w:color w:val="auto"/>
              </w:rPr>
              <w:t>Forward loans</w:t>
            </w: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ind w:right="114"/>
              <w:spacing w:after="0"/>
              <w:rPr>
                <w:sz w:val="20"/>
                <w:szCs w:val="20"/>
                <w:color w:val="auto"/>
              </w:rPr>
            </w:pPr>
            <w:r>
              <w:rPr>
                <w:rFonts w:ascii="Arial" w:cs="Arial" w:eastAsia="Arial" w:hAnsi="Arial"/>
                <w:sz w:val="17"/>
                <w:szCs w:val="17"/>
                <w:color w:val="auto"/>
              </w:rPr>
              <w:t>526.2</w:t>
            </w:r>
          </w:p>
        </w:tc>
        <w:tc>
          <w:tcPr>
            <w:tcW w:w="10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ind w:right="134"/>
              <w:spacing w:after="0"/>
              <w:rPr>
                <w:sz w:val="20"/>
                <w:szCs w:val="20"/>
                <w:color w:val="auto"/>
              </w:rPr>
            </w:pPr>
            <w:r>
              <w:rPr>
                <w:rFonts w:ascii="Arial" w:cs="Arial" w:eastAsia="Arial" w:hAnsi="Arial"/>
                <w:sz w:val="17"/>
                <w:szCs w:val="17"/>
                <w:color w:val="auto"/>
              </w:rPr>
              <w:t>569.8</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(8)%</w:t>
            </w:r>
          </w:p>
        </w:tc>
        <w:tc>
          <w:tcPr>
            <w:tcW w:w="80" w:type="dxa"/>
            <w:vAlign w:val="bottom"/>
          </w:tcPr>
          <w:p>
            <w:pPr>
              <w:spacing w:after="0"/>
              <w:rPr>
                <w:sz w:val="19"/>
                <w:szCs w:val="19"/>
                <w:color w:val="auto"/>
              </w:rPr>
            </w:pPr>
          </w:p>
        </w:tc>
        <w:tc>
          <w:tcPr>
            <w:tcW w:w="260" w:type="dxa"/>
            <w:vAlign w:val="bottom"/>
          </w:tcPr>
          <w:p>
            <w:pPr>
              <w:jc w:val="right"/>
              <w:ind w:right="54"/>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134"/>
              <w:spacing w:after="0"/>
              <w:rPr>
                <w:sz w:val="20"/>
                <w:szCs w:val="20"/>
                <w:color w:val="auto"/>
              </w:rPr>
            </w:pPr>
            <w:r>
              <w:rPr>
                <w:rFonts w:ascii="Arial" w:cs="Arial" w:eastAsia="Arial" w:hAnsi="Arial"/>
                <w:sz w:val="17"/>
                <w:szCs w:val="17"/>
                <w:color w:val="auto"/>
              </w:rPr>
              <w:t>526.2</w:t>
            </w:r>
          </w:p>
        </w:tc>
        <w:tc>
          <w:tcPr>
            <w:tcW w:w="8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ind w:right="134"/>
              <w:spacing w:after="0"/>
              <w:rPr>
                <w:sz w:val="20"/>
                <w:szCs w:val="20"/>
                <w:color w:val="auto"/>
              </w:rPr>
            </w:pPr>
            <w:r>
              <w:rPr>
                <w:rFonts w:ascii="Arial" w:cs="Arial" w:eastAsia="Arial" w:hAnsi="Arial"/>
                <w:sz w:val="17"/>
                <w:szCs w:val="17"/>
                <w:color w:val="auto"/>
              </w:rPr>
              <w:t>995.0</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(47)%</w:t>
            </w:r>
          </w:p>
        </w:tc>
      </w:tr>
      <w:tr>
        <w:trPr>
          <w:trHeight w:val="220"/>
        </w:trPr>
        <w:tc>
          <w:tcPr>
            <w:tcW w:w="31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Reverse loans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31.2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47.8</w:t>
            </w:r>
          </w:p>
        </w:tc>
        <w:tc>
          <w:tcPr>
            <w:tcW w:w="1060" w:type="dxa"/>
            <w:vAlign w:val="bottom"/>
            <w:gridSpan w:val="2"/>
            <w:shd w:val="clear" w:color="auto" w:fill="CCEEFF"/>
          </w:tcPr>
          <w:p>
            <w:pPr>
              <w:jc w:val="right"/>
              <w:ind w:right="94"/>
              <w:spacing w:after="0"/>
              <w:rPr>
                <w:sz w:val="20"/>
                <w:szCs w:val="20"/>
                <w:color w:val="auto"/>
              </w:rPr>
            </w:pPr>
            <w:r>
              <w:rPr>
                <w:rFonts w:ascii="Arial" w:cs="Arial" w:eastAsia="Arial" w:hAnsi="Arial"/>
                <w:sz w:val="17"/>
                <w:szCs w:val="17"/>
                <w:color w:val="auto"/>
              </w:rPr>
              <w:t>(35)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31.2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68.4</w:t>
            </w:r>
          </w:p>
        </w:tc>
        <w:tc>
          <w:tcPr>
            <w:tcW w:w="106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(54)</w:t>
            </w:r>
          </w:p>
        </w:tc>
      </w:tr>
      <w:tr>
        <w:trPr>
          <w:trHeight w:val="258"/>
        </w:trPr>
        <w:tc>
          <w:tcPr>
            <w:tcW w:w="3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20"/>
        </w:trPr>
        <w:tc>
          <w:tcPr>
            <w:tcW w:w="31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Average Employment</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0"/>
        </w:trPr>
        <w:tc>
          <w:tcPr>
            <w:tcW w:w="3100" w:type="dxa"/>
            <w:vAlign w:val="bottom"/>
          </w:tcPr>
          <w:p>
            <w:pPr>
              <w:ind w:left="140"/>
              <w:spacing w:after="0"/>
              <w:rPr>
                <w:sz w:val="20"/>
                <w:szCs w:val="20"/>
                <w:color w:val="auto"/>
              </w:rPr>
            </w:pPr>
            <w:r>
              <w:rPr>
                <w:rFonts w:ascii="Arial" w:cs="Arial" w:eastAsia="Arial" w:hAnsi="Arial"/>
                <w:sz w:val="17"/>
                <w:szCs w:val="17"/>
                <w:color w:val="auto"/>
              </w:rPr>
              <w:t>Forward</w:t>
            </w: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0"/>
        </w:trPr>
        <w:tc>
          <w:tcPr>
            <w:tcW w:w="3100" w:type="dxa"/>
            <w:vAlign w:val="bottom"/>
            <w:shd w:val="clear" w:color="auto" w:fill="CCEEFF"/>
          </w:tcPr>
          <w:p>
            <w:pPr>
              <w:ind w:left="240"/>
              <w:spacing w:after="0"/>
              <w:rPr>
                <w:sz w:val="20"/>
                <w:szCs w:val="20"/>
                <w:color w:val="auto"/>
              </w:rPr>
            </w:pPr>
            <w:r>
              <w:rPr>
                <w:rFonts w:ascii="Arial" w:cs="Arial" w:eastAsia="Arial" w:hAnsi="Arial"/>
                <w:sz w:val="17"/>
                <w:szCs w:val="17"/>
                <w:color w:val="auto"/>
              </w:rPr>
              <w:t>U.S.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365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519</w:t>
            </w:r>
          </w:p>
        </w:tc>
        <w:tc>
          <w:tcPr>
            <w:tcW w:w="1060" w:type="dxa"/>
            <w:vAlign w:val="bottom"/>
            <w:gridSpan w:val="2"/>
            <w:shd w:val="clear" w:color="auto" w:fill="CCEEFF"/>
          </w:tcPr>
          <w:p>
            <w:pPr>
              <w:jc w:val="right"/>
              <w:ind w:right="94"/>
              <w:spacing w:after="0"/>
              <w:rPr>
                <w:sz w:val="20"/>
                <w:szCs w:val="20"/>
                <w:color w:val="auto"/>
              </w:rPr>
            </w:pPr>
            <w:r>
              <w:rPr>
                <w:rFonts w:ascii="Arial" w:cs="Arial" w:eastAsia="Arial" w:hAnsi="Arial"/>
                <w:sz w:val="17"/>
                <w:szCs w:val="17"/>
                <w:color w:val="auto"/>
              </w:rPr>
              <w:t>(30)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445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454</w:t>
            </w:r>
          </w:p>
        </w:tc>
        <w:tc>
          <w:tcPr>
            <w:tcW w:w="106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(2)</w:t>
            </w:r>
          </w:p>
        </w:tc>
      </w:tr>
      <w:tr>
        <w:trPr>
          <w:trHeight w:val="220"/>
        </w:trPr>
        <w:tc>
          <w:tcPr>
            <w:tcW w:w="3100" w:type="dxa"/>
            <w:vAlign w:val="bottom"/>
            <w:tcBorders>
              <w:bottom w:val="single" w:sz="8" w:color="CCEEFF"/>
            </w:tcBorders>
          </w:tcPr>
          <w:p>
            <w:pPr>
              <w:ind w:left="240"/>
              <w:spacing w:after="0"/>
              <w:rPr>
                <w:sz w:val="20"/>
                <w:szCs w:val="20"/>
                <w:color w:val="auto"/>
              </w:rPr>
            </w:pPr>
            <w:r>
              <w:rPr>
                <w:rFonts w:ascii="Arial" w:cs="Arial" w:eastAsia="Arial" w:hAnsi="Arial"/>
                <w:sz w:val="17"/>
                <w:szCs w:val="17"/>
                <w:color w:val="auto"/>
              </w:rPr>
              <w:t>India and other</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413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488</w:t>
            </w:r>
          </w:p>
        </w:tc>
        <w:tc>
          <w:tcPr>
            <w:tcW w:w="1060" w:type="dxa"/>
            <w:vAlign w:val="bottom"/>
            <w:tcBorders>
              <w:bottom w:val="single" w:sz="8" w:color="CCEEFF"/>
            </w:tcBorders>
            <w:gridSpan w:val="2"/>
          </w:tcPr>
          <w:p>
            <w:pPr>
              <w:jc w:val="right"/>
              <w:ind w:right="94"/>
              <w:spacing w:after="0"/>
              <w:rPr>
                <w:sz w:val="20"/>
                <w:szCs w:val="20"/>
                <w:color w:val="auto"/>
              </w:rPr>
            </w:pPr>
            <w:r>
              <w:rPr>
                <w:rFonts w:ascii="Arial" w:cs="Arial" w:eastAsia="Arial" w:hAnsi="Arial"/>
                <w:sz w:val="17"/>
                <w:szCs w:val="17"/>
                <w:color w:val="auto"/>
              </w:rPr>
              <w:t>(15)</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446</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288</w:t>
            </w:r>
          </w:p>
        </w:tc>
        <w:tc>
          <w:tcPr>
            <w:tcW w:w="1060" w:type="dxa"/>
            <w:vAlign w:val="bottom"/>
            <w:tcBorders>
              <w:bottom w:val="single" w:sz="8" w:color="CCEEFF"/>
            </w:tcBorders>
            <w:gridSpan w:val="2"/>
          </w:tcPr>
          <w:p>
            <w:pPr>
              <w:jc w:val="right"/>
              <w:ind w:right="114"/>
              <w:spacing w:after="0"/>
              <w:rPr>
                <w:sz w:val="20"/>
                <w:szCs w:val="20"/>
                <w:color w:val="auto"/>
              </w:rPr>
            </w:pPr>
            <w:r>
              <w:rPr>
                <w:rFonts w:ascii="Arial" w:cs="Arial" w:eastAsia="Arial" w:hAnsi="Arial"/>
                <w:sz w:val="17"/>
                <w:szCs w:val="17"/>
                <w:color w:val="auto"/>
              </w:rPr>
              <w:t>55</w:t>
            </w:r>
          </w:p>
        </w:tc>
      </w:tr>
      <w:tr>
        <w:trPr>
          <w:trHeight w:val="213"/>
        </w:trPr>
        <w:tc>
          <w:tcPr>
            <w:tcW w:w="3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778</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1,007</w:t>
            </w:r>
          </w:p>
        </w:tc>
        <w:tc>
          <w:tcPr>
            <w:tcW w:w="1060" w:type="dxa"/>
            <w:vAlign w:val="bottom"/>
            <w:gridSpan w:val="2"/>
            <w:shd w:val="clear" w:color="auto" w:fill="CCEEFF"/>
          </w:tcPr>
          <w:p>
            <w:pPr>
              <w:jc w:val="right"/>
              <w:ind w:right="94"/>
              <w:spacing w:after="0"/>
              <w:rPr>
                <w:sz w:val="20"/>
                <w:szCs w:val="20"/>
                <w:color w:val="auto"/>
              </w:rPr>
            </w:pPr>
            <w:r>
              <w:rPr>
                <w:rFonts w:ascii="Arial" w:cs="Arial" w:eastAsia="Arial" w:hAnsi="Arial"/>
                <w:sz w:val="17"/>
                <w:szCs w:val="17"/>
                <w:color w:val="auto"/>
              </w:rPr>
              <w:t>(23)</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891</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742</w:t>
            </w:r>
          </w:p>
        </w:tc>
        <w:tc>
          <w:tcPr>
            <w:tcW w:w="1060" w:type="dxa"/>
            <w:vAlign w:val="bottom"/>
            <w:gridSpan w:val="2"/>
            <w:shd w:val="clear" w:color="auto" w:fill="CCEEFF"/>
          </w:tcPr>
          <w:p>
            <w:pPr>
              <w:jc w:val="right"/>
              <w:ind w:right="114"/>
              <w:spacing w:after="0"/>
              <w:rPr>
                <w:sz w:val="20"/>
                <w:szCs w:val="20"/>
                <w:color w:val="auto"/>
              </w:rPr>
            </w:pPr>
            <w:r>
              <w:rPr>
                <w:rFonts w:ascii="Arial" w:cs="Arial" w:eastAsia="Arial" w:hAnsi="Arial"/>
                <w:sz w:val="17"/>
                <w:szCs w:val="17"/>
                <w:color w:val="auto"/>
              </w:rPr>
              <w:t>20</w:t>
            </w:r>
          </w:p>
        </w:tc>
      </w:tr>
      <w:tr>
        <w:trPr>
          <w:trHeight w:val="200"/>
        </w:trPr>
        <w:tc>
          <w:tcPr>
            <w:tcW w:w="3100" w:type="dxa"/>
            <w:vAlign w:val="bottom"/>
          </w:tcPr>
          <w:p>
            <w:pPr>
              <w:ind w:left="140"/>
              <w:spacing w:after="0"/>
              <w:rPr>
                <w:sz w:val="20"/>
                <w:szCs w:val="20"/>
                <w:color w:val="auto"/>
              </w:rPr>
            </w:pPr>
            <w:r>
              <w:rPr>
                <w:rFonts w:ascii="Arial" w:cs="Arial" w:eastAsia="Arial" w:hAnsi="Arial"/>
                <w:sz w:val="17"/>
                <w:szCs w:val="17"/>
                <w:color w:val="auto"/>
              </w:rPr>
              <w:t>Reverse</w:t>
            </w: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20"/>
        </w:trPr>
        <w:tc>
          <w:tcPr>
            <w:tcW w:w="3100" w:type="dxa"/>
            <w:vAlign w:val="bottom"/>
            <w:shd w:val="clear" w:color="auto" w:fill="CCEEFF"/>
          </w:tcPr>
          <w:p>
            <w:pPr>
              <w:ind w:left="240"/>
              <w:spacing w:after="0"/>
              <w:rPr>
                <w:sz w:val="20"/>
                <w:szCs w:val="20"/>
                <w:color w:val="auto"/>
              </w:rPr>
            </w:pPr>
            <w:r>
              <w:rPr>
                <w:rFonts w:ascii="Arial" w:cs="Arial" w:eastAsia="Arial" w:hAnsi="Arial"/>
                <w:sz w:val="17"/>
                <w:szCs w:val="17"/>
                <w:color w:val="auto"/>
              </w:rPr>
              <w:t>U.S.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220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215</w:t>
            </w:r>
          </w:p>
        </w:tc>
        <w:tc>
          <w:tcPr>
            <w:tcW w:w="1060" w:type="dxa"/>
            <w:vAlign w:val="bottom"/>
            <w:gridSpan w:val="2"/>
            <w:shd w:val="clear" w:color="auto" w:fill="CCEEFF"/>
          </w:tcPr>
          <w:p>
            <w:pPr>
              <w:jc w:val="right"/>
              <w:ind w:right="134"/>
              <w:spacing w:after="0"/>
              <w:rPr>
                <w:sz w:val="20"/>
                <w:szCs w:val="20"/>
                <w:color w:val="auto"/>
              </w:rPr>
            </w:pPr>
            <w:r>
              <w:rPr>
                <w:rFonts w:ascii="Arial" w:cs="Arial" w:eastAsia="Arial" w:hAnsi="Arial"/>
                <w:sz w:val="17"/>
                <w:szCs w:val="17"/>
                <w:color w:val="auto"/>
              </w:rPr>
              <w:t>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216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152</w:t>
            </w:r>
          </w:p>
        </w:tc>
        <w:tc>
          <w:tcPr>
            <w:tcW w:w="1060" w:type="dxa"/>
            <w:vAlign w:val="bottom"/>
            <w:gridSpan w:val="2"/>
            <w:shd w:val="clear" w:color="auto" w:fill="CCEEFF"/>
          </w:tcPr>
          <w:p>
            <w:pPr>
              <w:jc w:val="right"/>
              <w:ind w:right="114"/>
              <w:spacing w:after="0"/>
              <w:rPr>
                <w:sz w:val="20"/>
                <w:szCs w:val="20"/>
                <w:color w:val="auto"/>
              </w:rPr>
            </w:pPr>
            <w:r>
              <w:rPr>
                <w:rFonts w:ascii="Arial" w:cs="Arial" w:eastAsia="Arial" w:hAnsi="Arial"/>
                <w:sz w:val="17"/>
                <w:szCs w:val="17"/>
                <w:color w:val="auto"/>
              </w:rPr>
              <w:t>42</w:t>
            </w:r>
          </w:p>
        </w:tc>
      </w:tr>
      <w:tr>
        <w:trPr>
          <w:trHeight w:val="220"/>
        </w:trPr>
        <w:tc>
          <w:tcPr>
            <w:tcW w:w="3100" w:type="dxa"/>
            <w:vAlign w:val="bottom"/>
            <w:tcBorders>
              <w:bottom w:val="single" w:sz="8" w:color="CCEEFF"/>
            </w:tcBorders>
          </w:tcPr>
          <w:p>
            <w:pPr>
              <w:ind w:left="240"/>
              <w:spacing w:after="0"/>
              <w:rPr>
                <w:sz w:val="20"/>
                <w:szCs w:val="20"/>
                <w:color w:val="auto"/>
              </w:rPr>
            </w:pPr>
            <w:r>
              <w:rPr>
                <w:rFonts w:ascii="Arial" w:cs="Arial" w:eastAsia="Arial" w:hAnsi="Arial"/>
                <w:sz w:val="17"/>
                <w:szCs w:val="17"/>
                <w:color w:val="auto"/>
              </w:rPr>
              <w:t>India and other</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81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91</w:t>
            </w:r>
          </w:p>
        </w:tc>
        <w:tc>
          <w:tcPr>
            <w:tcW w:w="1060" w:type="dxa"/>
            <w:vAlign w:val="bottom"/>
            <w:tcBorders>
              <w:bottom w:val="single" w:sz="8" w:color="CCEEFF"/>
            </w:tcBorders>
            <w:gridSpan w:val="2"/>
          </w:tcPr>
          <w:p>
            <w:pPr>
              <w:jc w:val="right"/>
              <w:ind w:right="94"/>
              <w:spacing w:after="0"/>
              <w:rPr>
                <w:sz w:val="20"/>
                <w:szCs w:val="20"/>
                <w:color w:val="auto"/>
              </w:rPr>
            </w:pPr>
            <w:r>
              <w:rPr>
                <w:rFonts w:ascii="Arial" w:cs="Arial" w:eastAsia="Arial" w:hAnsi="Arial"/>
                <w:sz w:val="17"/>
                <w:szCs w:val="17"/>
                <w:color w:val="auto"/>
              </w:rPr>
              <w:t>(11)</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86</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24</w:t>
            </w:r>
          </w:p>
        </w:tc>
        <w:tc>
          <w:tcPr>
            <w:tcW w:w="1060" w:type="dxa"/>
            <w:vAlign w:val="bottom"/>
            <w:tcBorders>
              <w:bottom w:val="single" w:sz="8" w:color="CCEEFF"/>
            </w:tcBorders>
            <w:gridSpan w:val="2"/>
          </w:tcPr>
          <w:p>
            <w:pPr>
              <w:jc w:val="right"/>
              <w:ind w:right="114"/>
              <w:spacing w:after="0"/>
              <w:rPr>
                <w:sz w:val="20"/>
                <w:szCs w:val="20"/>
                <w:color w:val="auto"/>
              </w:rPr>
            </w:pPr>
            <w:r>
              <w:rPr>
                <w:rFonts w:ascii="Arial" w:cs="Arial" w:eastAsia="Arial" w:hAnsi="Arial"/>
                <w:sz w:val="17"/>
                <w:szCs w:val="17"/>
                <w:color w:val="auto"/>
              </w:rPr>
              <w:t>258</w:t>
            </w:r>
          </w:p>
        </w:tc>
      </w:tr>
      <w:tr>
        <w:trPr>
          <w:trHeight w:val="213"/>
        </w:trPr>
        <w:tc>
          <w:tcPr>
            <w:tcW w:w="3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301</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306</w:t>
            </w:r>
          </w:p>
        </w:tc>
        <w:tc>
          <w:tcPr>
            <w:tcW w:w="1060" w:type="dxa"/>
            <w:vAlign w:val="bottom"/>
            <w:gridSpan w:val="2"/>
            <w:shd w:val="clear" w:color="auto" w:fill="CCEEFF"/>
          </w:tcPr>
          <w:p>
            <w:pPr>
              <w:jc w:val="right"/>
              <w:ind w:right="94"/>
              <w:spacing w:after="0"/>
              <w:rPr>
                <w:sz w:val="20"/>
                <w:szCs w:val="20"/>
                <w:color w:val="auto"/>
              </w:rPr>
            </w:pPr>
            <w:r>
              <w:rPr>
                <w:rFonts w:ascii="Arial" w:cs="Arial" w:eastAsia="Arial" w:hAnsi="Arial"/>
                <w:sz w:val="17"/>
                <w:szCs w:val="17"/>
                <w:color w:val="auto"/>
              </w:rPr>
              <w:t>(2)</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302</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176</w:t>
            </w:r>
          </w:p>
        </w:tc>
        <w:tc>
          <w:tcPr>
            <w:tcW w:w="1060" w:type="dxa"/>
            <w:vAlign w:val="bottom"/>
            <w:gridSpan w:val="2"/>
            <w:shd w:val="clear" w:color="auto" w:fill="CCEEFF"/>
          </w:tcPr>
          <w:p>
            <w:pPr>
              <w:jc w:val="right"/>
              <w:ind w:right="114"/>
              <w:spacing w:after="0"/>
              <w:rPr>
                <w:sz w:val="20"/>
                <w:szCs w:val="20"/>
                <w:color w:val="auto"/>
              </w:rPr>
            </w:pPr>
            <w:r>
              <w:rPr>
                <w:rFonts w:ascii="Arial" w:cs="Arial" w:eastAsia="Arial" w:hAnsi="Arial"/>
                <w:sz w:val="17"/>
                <w:szCs w:val="17"/>
                <w:color w:val="auto"/>
              </w:rPr>
              <w:t>72</w:t>
            </w:r>
          </w:p>
        </w:tc>
      </w:tr>
      <w:tr>
        <w:trPr>
          <w:trHeight w:val="213"/>
        </w:trPr>
        <w:tc>
          <w:tcPr>
            <w:tcW w:w="3100" w:type="dxa"/>
            <w:vAlign w:val="bottom"/>
          </w:tcPr>
          <w:p>
            <w:pPr>
              <w:ind w:left="120"/>
              <w:spacing w:after="0"/>
              <w:rPr>
                <w:sz w:val="20"/>
                <w:szCs w:val="20"/>
                <w:color w:val="auto"/>
              </w:rPr>
            </w:pPr>
            <w:r>
              <w:rPr>
                <w:rFonts w:ascii="Arial" w:cs="Arial" w:eastAsia="Arial" w:hAnsi="Arial"/>
                <w:sz w:val="17"/>
                <w:szCs w:val="17"/>
                <w:color w:val="auto"/>
              </w:rPr>
              <w:t>Total Originations</w:t>
            </w: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1,079</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1,313</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(18)%</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1,193</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918</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30 %</w:t>
            </w:r>
          </w:p>
        </w:tc>
      </w:tr>
      <w:tr>
        <w:trPr>
          <w:trHeight w:val="20"/>
        </w:trPr>
        <w:tc>
          <w:tcPr>
            <w:tcW w:w="3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bl>
    <w:p>
      <w:pPr>
        <w:spacing w:after="0" w:line="134" w:lineRule="exact"/>
        <w:rPr>
          <w:sz w:val="20"/>
          <w:szCs w:val="20"/>
          <w:color w:val="auto"/>
        </w:rPr>
      </w:pPr>
    </w:p>
    <w:p>
      <w:pPr>
        <w:ind w:left="320" w:hanging="317"/>
        <w:spacing w:after="0"/>
        <w:tabs>
          <w:tab w:leader="none" w:pos="320" w:val="left"/>
        </w:tabs>
        <w:numPr>
          <w:ilvl w:val="0"/>
          <w:numId w:val="54"/>
        </w:numPr>
        <w:rPr>
          <w:rFonts w:ascii="Arial" w:cs="Arial" w:eastAsia="Arial" w:hAnsi="Arial"/>
          <w:sz w:val="16"/>
          <w:szCs w:val="16"/>
          <w:color w:val="auto"/>
        </w:rPr>
      </w:pPr>
      <w:r>
        <w:rPr>
          <w:rFonts w:ascii="Arial" w:cs="Arial" w:eastAsia="Arial" w:hAnsi="Arial"/>
          <w:sz w:val="16"/>
          <w:szCs w:val="16"/>
          <w:color w:val="auto"/>
        </w:rPr>
        <w:t>Loan production excludes reverse mortgage loan draws by borrowers disbursed subsequent to origination that are reported within the Servicing segment.</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39" w:lineRule="exact"/>
        <w:rPr>
          <w:rFonts w:ascii="Arial" w:cs="Arial" w:eastAsia="Arial" w:hAnsi="Arial"/>
          <w:sz w:val="16"/>
          <w:szCs w:val="16"/>
          <w:color w:val="auto"/>
        </w:rPr>
      </w:pPr>
    </w:p>
    <w:p>
      <w:pPr>
        <w:ind w:left="5540"/>
        <w:spacing w:after="0"/>
        <w:rPr>
          <w:rFonts w:ascii="Arial" w:cs="Arial" w:eastAsia="Arial" w:hAnsi="Arial"/>
          <w:sz w:val="16"/>
          <w:szCs w:val="16"/>
          <w:color w:val="auto"/>
        </w:rPr>
      </w:pPr>
      <w:r>
        <w:rPr>
          <w:rFonts w:ascii="Arial" w:cs="Arial" w:eastAsia="Arial" w:hAnsi="Arial"/>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7" w:right="339" w:bottom="1440" w:gutter="0" w:footer="0" w:header="0"/>
        </w:sectPr>
      </w:pPr>
    </w:p>
    <w:bookmarkStart w:id="85" w:name="page86"/>
    <w:bookmarkEnd w:id="85"/>
    <w:p>
      <w:pPr>
        <w:spacing w:after="0"/>
        <w:rPr>
          <w:sz w:val="20"/>
          <w:szCs w:val="20"/>
          <w:color w:val="auto"/>
        </w:rPr>
      </w:pPr>
      <w:r>
        <w:rPr>
          <w:rFonts w:ascii="Arial" w:cs="Arial" w:eastAsia="Arial" w:hAnsi="Arial"/>
          <w:sz w:val="17"/>
          <w:szCs w:val="17"/>
          <w:b w:val="1"/>
          <w:bCs w:val="1"/>
          <w:i w:val="1"/>
          <w:iCs w:val="1"/>
          <w:color w:val="auto"/>
        </w:rPr>
        <w:t>Gain on Loans Held for Sale, Net</w:t>
      </w:r>
    </w:p>
    <w:p>
      <w:pPr>
        <w:spacing w:after="0" w:line="115" w:lineRule="exact"/>
        <w:rPr>
          <w:sz w:val="20"/>
          <w:szCs w:val="20"/>
          <w:color w:val="auto"/>
        </w:rPr>
      </w:pPr>
    </w:p>
    <w:p>
      <w:pPr>
        <w:ind w:right="760"/>
        <w:spacing w:after="0" w:line="283" w:lineRule="auto"/>
        <w:rPr>
          <w:sz w:val="20"/>
          <w:szCs w:val="20"/>
          <w:color w:val="auto"/>
        </w:rPr>
      </w:pPr>
      <w:r>
        <w:rPr>
          <w:rFonts w:ascii="Arial" w:cs="Arial" w:eastAsia="Arial" w:hAnsi="Arial"/>
          <w:sz w:val="17"/>
          <w:szCs w:val="17"/>
          <w:color w:val="auto"/>
        </w:rPr>
        <w:t>The following table provides information regarding Gain on loans held for sale by channel and the related forward loan origination volume and margins (excluding fees that are presented in Other revenue, net):</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0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720" w:type="dxa"/>
            <w:vAlign w:val="bottom"/>
            <w:tcBorders>
              <w:bottom w:val="single" w:sz="8" w:color="auto"/>
            </w:tcBorders>
            <w:gridSpan w:val="4"/>
          </w:tcPr>
          <w:p>
            <w:pPr>
              <w:jc w:val="right"/>
              <w:ind w:right="634"/>
              <w:spacing w:after="0"/>
              <w:rPr>
                <w:sz w:val="20"/>
                <w:szCs w:val="20"/>
                <w:color w:val="auto"/>
              </w:rPr>
            </w:pPr>
            <w:r>
              <w:rPr>
                <w:rFonts w:ascii="Arial" w:cs="Arial" w:eastAsia="Arial" w:hAnsi="Arial"/>
                <w:sz w:val="17"/>
                <w:szCs w:val="17"/>
                <w:b w:val="1"/>
                <w:bCs w:val="1"/>
                <w:color w:val="auto"/>
              </w:rPr>
              <w:t>Three Months Ended</w:t>
            </w: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gridSpan w:val="4"/>
          </w:tcPr>
          <w:p>
            <w:pPr>
              <w:jc w:val="right"/>
              <w:ind w:right="734"/>
              <w:spacing w:after="0"/>
              <w:rPr>
                <w:sz w:val="20"/>
                <w:szCs w:val="20"/>
                <w:color w:val="auto"/>
              </w:rPr>
            </w:pPr>
            <w:r>
              <w:rPr>
                <w:rFonts w:ascii="Arial" w:cs="Arial" w:eastAsia="Arial" w:hAnsi="Arial"/>
                <w:sz w:val="17"/>
                <w:szCs w:val="17"/>
                <w:b w:val="1"/>
                <w:bCs w:val="1"/>
                <w:color w:val="auto"/>
              </w:rPr>
              <w:t>Six Months Ended</w:t>
            </w: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6"/>
        </w:trPr>
        <w:tc>
          <w:tcPr>
            <w:tcW w:w="3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gridSpan w:val="2"/>
          </w:tcPr>
          <w:p>
            <w:pPr>
              <w:ind w:left="160"/>
              <w:spacing w:after="0"/>
              <w:rPr>
                <w:sz w:val="20"/>
                <w:szCs w:val="20"/>
                <w:color w:val="auto"/>
              </w:rPr>
            </w:pPr>
            <w:r>
              <w:rPr>
                <w:rFonts w:ascii="Arial" w:cs="Arial" w:eastAsia="Arial" w:hAnsi="Arial"/>
                <w:sz w:val="17"/>
                <w:szCs w:val="17"/>
                <w:b w:val="1"/>
                <w:bCs w:val="1"/>
                <w:color w:val="auto"/>
              </w:rPr>
              <w:t>June 30,</w:t>
            </w:r>
          </w:p>
        </w:tc>
        <w:tc>
          <w:tcPr>
            <w:tcW w:w="220" w:type="dxa"/>
            <w:vAlign w:val="bottom"/>
          </w:tcPr>
          <w:p>
            <w:pPr>
              <w:spacing w:after="0"/>
              <w:rPr>
                <w:sz w:val="19"/>
                <w:szCs w:val="19"/>
                <w:color w:val="auto"/>
              </w:rPr>
            </w:pPr>
          </w:p>
        </w:tc>
        <w:tc>
          <w:tcPr>
            <w:tcW w:w="1220" w:type="dxa"/>
            <w:vAlign w:val="bottom"/>
          </w:tcPr>
          <w:p>
            <w:pPr>
              <w:jc w:val="right"/>
              <w:ind w:right="294"/>
              <w:spacing w:after="0"/>
              <w:rPr>
                <w:sz w:val="20"/>
                <w:szCs w:val="20"/>
                <w:color w:val="auto"/>
              </w:rPr>
            </w:pPr>
            <w:r>
              <w:rPr>
                <w:rFonts w:ascii="Arial" w:cs="Arial" w:eastAsia="Arial" w:hAnsi="Arial"/>
                <w:sz w:val="17"/>
                <w:szCs w:val="17"/>
                <w:b w:val="1"/>
                <w:bCs w:val="1"/>
                <w:color w:val="auto"/>
              </w:rPr>
              <w:t>March 31</w:t>
            </w: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gridSpan w:val="2"/>
          </w:tcPr>
          <w:p>
            <w:pPr>
              <w:ind w:left="160"/>
              <w:spacing w:after="0"/>
              <w:rPr>
                <w:sz w:val="20"/>
                <w:szCs w:val="20"/>
                <w:color w:val="auto"/>
              </w:rPr>
            </w:pPr>
            <w:r>
              <w:rPr>
                <w:rFonts w:ascii="Arial" w:cs="Arial" w:eastAsia="Arial" w:hAnsi="Arial"/>
                <w:sz w:val="17"/>
                <w:szCs w:val="17"/>
                <w:b w:val="1"/>
                <w:bCs w:val="1"/>
                <w:color w:val="auto"/>
              </w:rPr>
              <w:t>June 30,</w:t>
            </w:r>
          </w:p>
        </w:tc>
        <w:tc>
          <w:tcPr>
            <w:tcW w:w="260" w:type="dxa"/>
            <w:vAlign w:val="bottom"/>
          </w:tcPr>
          <w:p>
            <w:pPr>
              <w:spacing w:after="0"/>
              <w:rPr>
                <w:sz w:val="19"/>
                <w:szCs w:val="19"/>
                <w:color w:val="auto"/>
              </w:rPr>
            </w:pPr>
          </w:p>
        </w:tc>
        <w:tc>
          <w:tcPr>
            <w:tcW w:w="1200" w:type="dxa"/>
            <w:vAlign w:val="bottom"/>
          </w:tcPr>
          <w:p>
            <w:pPr>
              <w:jc w:val="right"/>
              <w:ind w:right="334"/>
              <w:spacing w:after="0"/>
              <w:rPr>
                <w:sz w:val="20"/>
                <w:szCs w:val="20"/>
                <w:color w:val="auto"/>
              </w:rPr>
            </w:pPr>
            <w:r>
              <w:rPr>
                <w:rFonts w:ascii="Arial" w:cs="Arial" w:eastAsia="Arial" w:hAnsi="Arial"/>
                <w:sz w:val="17"/>
                <w:szCs w:val="17"/>
                <w:b w:val="1"/>
                <w:bCs w:val="1"/>
                <w:color w:val="auto"/>
              </w:rPr>
              <w:t>June 30,</w:t>
            </w: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45"/>
        </w:trPr>
        <w:tc>
          <w:tcPr>
            <w:tcW w:w="30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ind w:right="474"/>
              <w:spacing w:after="0"/>
              <w:rPr>
                <w:sz w:val="20"/>
                <w:szCs w:val="20"/>
                <w:color w:val="auto"/>
              </w:rPr>
            </w:pPr>
            <w:r>
              <w:rPr>
                <w:rFonts w:ascii="Arial" w:cs="Arial" w:eastAsia="Arial" w:hAnsi="Arial"/>
                <w:sz w:val="17"/>
                <w:szCs w:val="17"/>
                <w:b w:val="1"/>
                <w:bCs w:val="1"/>
                <w:color w:val="auto"/>
              </w:rPr>
              <w:t>2022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474"/>
              <w:spacing w:after="0"/>
              <w:rPr>
                <w:sz w:val="20"/>
                <w:szCs w:val="20"/>
                <w:color w:val="auto"/>
              </w:rPr>
            </w:pPr>
            <w:r>
              <w:rPr>
                <w:rFonts w:ascii="Arial" w:cs="Arial" w:eastAsia="Arial" w:hAnsi="Arial"/>
                <w:sz w:val="17"/>
                <w:szCs w:val="17"/>
                <w:b w:val="1"/>
                <w:bCs w:val="1"/>
                <w:color w:val="auto"/>
              </w:rPr>
              <w:t>2022</w:t>
            </w:r>
          </w:p>
        </w:tc>
        <w:tc>
          <w:tcPr>
            <w:tcW w:w="80" w:type="dxa"/>
            <w:vAlign w:val="bottom"/>
          </w:tcPr>
          <w:p>
            <w:pPr>
              <w:spacing w:after="0"/>
              <w:rPr>
                <w:sz w:val="21"/>
                <w:szCs w:val="21"/>
                <w:color w:val="auto"/>
              </w:rPr>
            </w:pPr>
          </w:p>
        </w:tc>
        <w:tc>
          <w:tcPr>
            <w:tcW w:w="1060" w:type="dxa"/>
            <w:vAlign w:val="bottom"/>
            <w:gridSpan w:val="2"/>
          </w:tcPr>
          <w:p>
            <w:pPr>
              <w:ind w:left="100"/>
              <w:spacing w:after="0"/>
              <w:rPr>
                <w:sz w:val="20"/>
                <w:szCs w:val="20"/>
                <w:color w:val="auto"/>
              </w:rPr>
            </w:pPr>
            <w:r>
              <w:rPr>
                <w:rFonts w:ascii="Arial" w:cs="Arial" w:eastAsia="Arial" w:hAnsi="Arial"/>
                <w:sz w:val="17"/>
                <w:szCs w:val="17"/>
                <w:b w:val="1"/>
                <w:bCs w:val="1"/>
                <w:color w:val="auto"/>
              </w:rPr>
              <w:t>% Change</w:t>
            </w:r>
          </w:p>
        </w:tc>
        <w:tc>
          <w:tcPr>
            <w:tcW w:w="260" w:type="dxa"/>
            <w:vAlign w:val="bottom"/>
          </w:tcPr>
          <w:p>
            <w:pPr>
              <w:spacing w:after="0"/>
              <w:rPr>
                <w:sz w:val="21"/>
                <w:szCs w:val="21"/>
                <w:color w:val="auto"/>
              </w:rPr>
            </w:pPr>
          </w:p>
        </w:tc>
        <w:tc>
          <w:tcPr>
            <w:tcW w:w="1200" w:type="dxa"/>
            <w:vAlign w:val="bottom"/>
          </w:tcPr>
          <w:p>
            <w:pPr>
              <w:jc w:val="right"/>
              <w:ind w:right="474"/>
              <w:spacing w:after="0"/>
              <w:rPr>
                <w:sz w:val="20"/>
                <w:szCs w:val="20"/>
                <w:color w:val="auto"/>
              </w:rPr>
            </w:pPr>
            <w:r>
              <w:rPr>
                <w:rFonts w:ascii="Arial" w:cs="Arial" w:eastAsia="Arial" w:hAnsi="Arial"/>
                <w:sz w:val="17"/>
                <w:szCs w:val="17"/>
                <w:b w:val="1"/>
                <w:bCs w:val="1"/>
                <w:color w:val="auto"/>
              </w:rPr>
              <w:t>2022</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474"/>
              <w:spacing w:after="0"/>
              <w:rPr>
                <w:sz w:val="20"/>
                <w:szCs w:val="20"/>
                <w:color w:val="auto"/>
              </w:rPr>
            </w:pPr>
            <w:r>
              <w:rPr>
                <w:rFonts w:ascii="Arial" w:cs="Arial" w:eastAsia="Arial" w:hAnsi="Arial"/>
                <w:sz w:val="17"/>
                <w:szCs w:val="17"/>
                <w:b w:val="1"/>
                <w:bCs w:val="1"/>
                <w:color w:val="auto"/>
              </w:rPr>
              <w:t>2021</w:t>
            </w:r>
          </w:p>
        </w:tc>
        <w:tc>
          <w:tcPr>
            <w:tcW w:w="8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7"/>
                <w:szCs w:val="17"/>
                <w:b w:val="1"/>
                <w:bCs w:val="1"/>
                <w:color w:val="auto"/>
              </w:rPr>
              <w:t>% Change</w:t>
            </w:r>
          </w:p>
        </w:tc>
      </w:tr>
      <w:tr>
        <w:trPr>
          <w:trHeight w:val="200"/>
        </w:trPr>
        <w:tc>
          <w:tcPr>
            <w:tcW w:w="3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Gain on Loans Held for Sale (1)</w:t>
            </w:r>
          </w:p>
        </w:tc>
        <w:tc>
          <w:tcPr>
            <w:tcW w:w="26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r>
      <w:tr>
        <w:trPr>
          <w:trHeight w:val="220"/>
        </w:trPr>
        <w:tc>
          <w:tcPr>
            <w:tcW w:w="3060" w:type="dxa"/>
            <w:vAlign w:val="bottom"/>
          </w:tcPr>
          <w:p>
            <w:pPr>
              <w:ind w:left="220"/>
              <w:spacing w:after="0"/>
              <w:rPr>
                <w:sz w:val="20"/>
                <w:szCs w:val="20"/>
                <w:color w:val="auto"/>
              </w:rPr>
            </w:pPr>
            <w:r>
              <w:rPr>
                <w:rFonts w:ascii="Arial" w:cs="Arial" w:eastAsia="Arial" w:hAnsi="Arial"/>
                <w:sz w:val="17"/>
                <w:szCs w:val="17"/>
                <w:color w:val="auto"/>
              </w:rPr>
              <w:t>Correspondent</w:t>
            </w: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ind w:right="134"/>
              <w:spacing w:after="0"/>
              <w:rPr>
                <w:sz w:val="20"/>
                <w:szCs w:val="20"/>
                <w:color w:val="auto"/>
              </w:rPr>
            </w:pPr>
            <w:r>
              <w:rPr>
                <w:rFonts w:ascii="Arial" w:cs="Arial" w:eastAsia="Arial" w:hAnsi="Arial"/>
                <w:sz w:val="17"/>
                <w:szCs w:val="17"/>
                <w:color w:val="auto"/>
              </w:rPr>
              <w:t>5.6</w:t>
            </w:r>
          </w:p>
        </w:tc>
        <w:tc>
          <w:tcPr>
            <w:tcW w:w="10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ind w:right="134"/>
              <w:spacing w:after="0"/>
              <w:rPr>
                <w:sz w:val="20"/>
                <w:szCs w:val="20"/>
                <w:color w:val="auto"/>
              </w:rPr>
            </w:pPr>
            <w:r>
              <w:rPr>
                <w:rFonts w:ascii="Arial" w:cs="Arial" w:eastAsia="Arial" w:hAnsi="Arial"/>
                <w:sz w:val="17"/>
                <w:szCs w:val="17"/>
                <w:color w:val="auto"/>
              </w:rPr>
              <w:t>0.1</w:t>
            </w:r>
          </w:p>
        </w:tc>
        <w:tc>
          <w:tcPr>
            <w:tcW w:w="80" w:type="dxa"/>
            <w:vAlign w:val="bottom"/>
          </w:tcPr>
          <w:p>
            <w:pPr>
              <w:spacing w:after="0"/>
              <w:rPr>
                <w:sz w:val="19"/>
                <w:szCs w:val="19"/>
                <w:color w:val="auto"/>
              </w:rPr>
            </w:pPr>
          </w:p>
        </w:tc>
        <w:tc>
          <w:tcPr>
            <w:tcW w:w="1060" w:type="dxa"/>
            <w:vAlign w:val="bottom"/>
            <w:gridSpan w:val="2"/>
          </w:tcPr>
          <w:p>
            <w:pPr>
              <w:ind w:left="700"/>
              <w:spacing w:after="0"/>
              <w:rPr>
                <w:sz w:val="20"/>
                <w:szCs w:val="20"/>
                <w:color w:val="auto"/>
              </w:rPr>
            </w:pPr>
            <w:r>
              <w:rPr>
                <w:rFonts w:ascii="Arial" w:cs="Arial" w:eastAsia="Arial" w:hAnsi="Arial"/>
                <w:sz w:val="17"/>
                <w:szCs w:val="17"/>
                <w:color w:val="auto"/>
              </w:rPr>
              <w:t>n/m</w:t>
            </w:r>
          </w:p>
        </w:tc>
        <w:tc>
          <w:tcPr>
            <w:tcW w:w="260" w:type="dxa"/>
            <w:vAlign w:val="bottom"/>
          </w:tcPr>
          <w:p>
            <w:pPr>
              <w:jc w:val="right"/>
              <w:ind w:right="54"/>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134"/>
              <w:spacing w:after="0"/>
              <w:rPr>
                <w:sz w:val="20"/>
                <w:szCs w:val="20"/>
                <w:color w:val="auto"/>
              </w:rPr>
            </w:pPr>
            <w:r>
              <w:rPr>
                <w:rFonts w:ascii="Arial" w:cs="Arial" w:eastAsia="Arial" w:hAnsi="Arial"/>
                <w:sz w:val="17"/>
                <w:szCs w:val="17"/>
                <w:color w:val="auto"/>
              </w:rPr>
              <w:t>5.7</w:t>
            </w:r>
          </w:p>
        </w:tc>
        <w:tc>
          <w:tcPr>
            <w:tcW w:w="8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ind w:right="134"/>
              <w:spacing w:after="0"/>
              <w:rPr>
                <w:sz w:val="20"/>
                <w:szCs w:val="20"/>
                <w:color w:val="auto"/>
              </w:rPr>
            </w:pPr>
            <w:r>
              <w:rPr>
                <w:rFonts w:ascii="Arial" w:cs="Arial" w:eastAsia="Arial" w:hAnsi="Arial"/>
                <w:sz w:val="17"/>
                <w:szCs w:val="17"/>
                <w:color w:val="auto"/>
              </w:rPr>
              <w:t>8.2</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(31)%</w:t>
            </w:r>
          </w:p>
        </w:tc>
      </w:tr>
      <w:tr>
        <w:trPr>
          <w:trHeight w:val="220"/>
        </w:trPr>
        <w:tc>
          <w:tcPr>
            <w:tcW w:w="30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Consumer Direct</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7.0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12.6</w:t>
            </w:r>
          </w:p>
        </w:tc>
        <w:tc>
          <w:tcPr>
            <w:tcW w:w="1060" w:type="dxa"/>
            <w:vAlign w:val="bottom"/>
            <w:gridSpan w:val="2"/>
            <w:shd w:val="clear" w:color="auto" w:fill="CCEEFF"/>
          </w:tcPr>
          <w:p>
            <w:pPr>
              <w:jc w:val="right"/>
              <w:ind w:right="94"/>
              <w:spacing w:after="0"/>
              <w:rPr>
                <w:sz w:val="20"/>
                <w:szCs w:val="20"/>
                <w:color w:val="auto"/>
              </w:rPr>
            </w:pPr>
            <w:r>
              <w:rPr>
                <w:rFonts w:ascii="Arial" w:cs="Arial" w:eastAsia="Arial" w:hAnsi="Arial"/>
                <w:sz w:val="17"/>
                <w:szCs w:val="17"/>
                <w:color w:val="auto"/>
              </w:rPr>
              <w:t>(45)</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19.6</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56.6</w:t>
            </w:r>
          </w:p>
        </w:tc>
        <w:tc>
          <w:tcPr>
            <w:tcW w:w="106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(65)</w:t>
            </w:r>
          </w:p>
        </w:tc>
      </w:tr>
      <w:tr>
        <w:trPr>
          <w:trHeight w:val="213"/>
        </w:trPr>
        <w:tc>
          <w:tcPr>
            <w:tcW w:w="306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12.5</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12.8</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(2)%</w:t>
            </w: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25.3</w:t>
            </w: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64.9</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(61)%</w:t>
            </w:r>
          </w:p>
        </w:tc>
      </w:tr>
      <w:tr>
        <w:trPr>
          <w:trHeight w:val="20"/>
        </w:trPr>
        <w:tc>
          <w:tcPr>
            <w:tcW w:w="30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r>
      <w:tr>
        <w:trPr>
          <w:trHeight w:val="224"/>
        </w:trPr>
        <w:tc>
          <w:tcPr>
            <w:tcW w:w="30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0"/>
        </w:trPr>
        <w:tc>
          <w:tcPr>
            <w:tcW w:w="3060" w:type="dxa"/>
            <w:vAlign w:val="bottom"/>
          </w:tcPr>
          <w:p>
            <w:pPr>
              <w:ind w:left="20"/>
              <w:spacing w:after="0"/>
              <w:rPr>
                <w:sz w:val="20"/>
                <w:szCs w:val="20"/>
                <w:color w:val="auto"/>
              </w:rPr>
            </w:pPr>
            <w:r>
              <w:rPr>
                <w:rFonts w:ascii="Arial" w:cs="Arial" w:eastAsia="Arial" w:hAnsi="Arial"/>
                <w:sz w:val="17"/>
                <w:szCs w:val="17"/>
                <w:b w:val="1"/>
                <w:bCs w:val="1"/>
                <w:color w:val="auto"/>
              </w:rPr>
              <w:t>% Gain on Sale Margin (2)</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0"/>
        </w:trPr>
        <w:tc>
          <w:tcPr>
            <w:tcW w:w="30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Correspondent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0.14 %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0.01 %</w:t>
            </w:r>
          </w:p>
        </w:tc>
        <w:tc>
          <w:tcPr>
            <w:tcW w:w="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00"/>
              <w:spacing w:after="0"/>
              <w:rPr>
                <w:sz w:val="20"/>
                <w:szCs w:val="20"/>
                <w:color w:val="auto"/>
              </w:rPr>
            </w:pPr>
            <w:r>
              <w:rPr>
                <w:rFonts w:ascii="Arial" w:cs="Arial" w:eastAsia="Arial" w:hAnsi="Arial"/>
                <w:sz w:val="17"/>
                <w:szCs w:val="17"/>
                <w:color w:val="auto"/>
              </w:rPr>
              <w:t>n/m</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0.09 %</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0.16 %</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(46)%</w:t>
            </w:r>
          </w:p>
        </w:tc>
      </w:tr>
      <w:tr>
        <w:trPr>
          <w:trHeight w:val="220"/>
        </w:trPr>
        <w:tc>
          <w:tcPr>
            <w:tcW w:w="306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Consumer Direct</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2.15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1.91</w:t>
            </w:r>
          </w:p>
        </w:tc>
        <w:tc>
          <w:tcPr>
            <w:tcW w:w="1060" w:type="dxa"/>
            <w:vAlign w:val="bottom"/>
            <w:tcBorders>
              <w:bottom w:val="single" w:sz="8" w:color="CCEEFF"/>
            </w:tcBorders>
            <w:gridSpan w:val="2"/>
          </w:tcPr>
          <w:p>
            <w:pPr>
              <w:ind w:left="680"/>
              <w:spacing w:after="0"/>
              <w:rPr>
                <w:sz w:val="20"/>
                <w:szCs w:val="20"/>
                <w:color w:val="auto"/>
              </w:rPr>
            </w:pPr>
            <w:r>
              <w:rPr>
                <w:rFonts w:ascii="Arial" w:cs="Arial" w:eastAsia="Arial" w:hAnsi="Arial"/>
                <w:sz w:val="17"/>
                <w:szCs w:val="17"/>
                <w:color w:val="auto"/>
              </w:rPr>
              <w:t>13</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1.99 %</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4.83</w:t>
            </w:r>
          </w:p>
        </w:tc>
        <w:tc>
          <w:tcPr>
            <w:tcW w:w="1060" w:type="dxa"/>
            <w:vAlign w:val="bottom"/>
            <w:tcBorders>
              <w:bottom w:val="single" w:sz="8" w:color="CCEEFF"/>
            </w:tcBorders>
            <w:gridSpan w:val="2"/>
          </w:tcPr>
          <w:p>
            <w:pPr>
              <w:jc w:val="right"/>
              <w:ind w:right="74"/>
              <w:spacing w:after="0"/>
              <w:rPr>
                <w:sz w:val="20"/>
                <w:szCs w:val="20"/>
                <w:color w:val="auto"/>
              </w:rPr>
            </w:pPr>
            <w:r>
              <w:rPr>
                <w:rFonts w:ascii="Arial" w:cs="Arial" w:eastAsia="Arial" w:hAnsi="Arial"/>
                <w:sz w:val="17"/>
                <w:szCs w:val="17"/>
                <w:color w:val="auto"/>
              </w:rPr>
              <w:t>(59)</w:t>
            </w:r>
          </w:p>
        </w:tc>
      </w:tr>
      <w:tr>
        <w:trPr>
          <w:trHeight w:val="238"/>
        </w:trPr>
        <w:tc>
          <w:tcPr>
            <w:tcW w:w="306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0.29 %</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0.38 %</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0.33 %</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1.03 %</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(68)%</w:t>
            </w:r>
          </w:p>
        </w:tc>
      </w:tr>
      <w:tr>
        <w:trPr>
          <w:trHeight w:val="20"/>
        </w:trPr>
        <w:tc>
          <w:tcPr>
            <w:tcW w:w="30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r>
      <w:tr>
        <w:trPr>
          <w:trHeight w:val="204"/>
        </w:trPr>
        <w:tc>
          <w:tcPr>
            <w:tcW w:w="3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20"/>
        </w:trPr>
        <w:tc>
          <w:tcPr>
            <w:tcW w:w="3060" w:type="dxa"/>
            <w:vAlign w:val="bottom"/>
            <w:shd w:val="clear" w:color="auto" w:fill="CCEEFF"/>
          </w:tcPr>
          <w:p>
            <w:pPr>
              <w:ind w:left="40"/>
              <w:spacing w:after="0"/>
              <w:rPr>
                <w:sz w:val="20"/>
                <w:szCs w:val="20"/>
                <w:color w:val="auto"/>
              </w:rPr>
            </w:pPr>
            <w:r>
              <w:rPr>
                <w:rFonts w:ascii="Arial" w:cs="Arial" w:eastAsia="Arial" w:hAnsi="Arial"/>
                <w:sz w:val="17"/>
                <w:szCs w:val="17"/>
                <w:b w:val="1"/>
                <w:bCs w:val="1"/>
                <w:color w:val="auto"/>
              </w:rPr>
              <w:t>Origination UPB (3)</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0"/>
        </w:trPr>
        <w:tc>
          <w:tcPr>
            <w:tcW w:w="3060" w:type="dxa"/>
            <w:vAlign w:val="bottom"/>
          </w:tcPr>
          <w:p>
            <w:pPr>
              <w:ind w:left="220"/>
              <w:spacing w:after="0"/>
              <w:rPr>
                <w:sz w:val="20"/>
                <w:szCs w:val="20"/>
                <w:color w:val="auto"/>
              </w:rPr>
            </w:pPr>
            <w:r>
              <w:rPr>
                <w:rFonts w:ascii="Arial" w:cs="Arial" w:eastAsia="Arial" w:hAnsi="Arial"/>
                <w:sz w:val="17"/>
                <w:szCs w:val="17"/>
                <w:color w:val="auto"/>
              </w:rPr>
              <w:t>Correspondent</w:t>
            </w: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ind w:right="134"/>
              <w:spacing w:after="0"/>
              <w:rPr>
                <w:sz w:val="20"/>
                <w:szCs w:val="20"/>
                <w:color w:val="auto"/>
              </w:rPr>
            </w:pPr>
            <w:r>
              <w:rPr>
                <w:rFonts w:ascii="Arial" w:cs="Arial" w:eastAsia="Arial" w:hAnsi="Arial"/>
                <w:sz w:val="17"/>
                <w:szCs w:val="17"/>
                <w:color w:val="auto"/>
              </w:rPr>
              <w:t>3,937.4</w:t>
            </w:r>
          </w:p>
        </w:tc>
        <w:tc>
          <w:tcPr>
            <w:tcW w:w="10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ind w:right="134"/>
              <w:spacing w:after="0"/>
              <w:rPr>
                <w:sz w:val="20"/>
                <w:szCs w:val="20"/>
                <w:color w:val="auto"/>
              </w:rPr>
            </w:pPr>
            <w:r>
              <w:rPr>
                <w:rFonts w:ascii="Arial" w:cs="Arial" w:eastAsia="Arial" w:hAnsi="Arial"/>
                <w:sz w:val="17"/>
                <w:szCs w:val="17"/>
                <w:color w:val="auto"/>
              </w:rPr>
              <w:t>2,674.0</w:t>
            </w:r>
          </w:p>
        </w:tc>
        <w:tc>
          <w:tcPr>
            <w:tcW w:w="1060" w:type="dxa"/>
            <w:vAlign w:val="bottom"/>
            <w:gridSpan w:val="2"/>
          </w:tcPr>
          <w:p>
            <w:pPr>
              <w:ind w:left="680"/>
              <w:spacing w:after="0"/>
              <w:rPr>
                <w:sz w:val="20"/>
                <w:szCs w:val="20"/>
                <w:color w:val="auto"/>
              </w:rPr>
            </w:pPr>
            <w:r>
              <w:rPr>
                <w:rFonts w:ascii="Arial" w:cs="Arial" w:eastAsia="Arial" w:hAnsi="Arial"/>
                <w:sz w:val="17"/>
                <w:szCs w:val="17"/>
                <w:color w:val="auto"/>
                <w:w w:val="92"/>
              </w:rPr>
              <w:t>47 %</w:t>
            </w:r>
          </w:p>
        </w:tc>
        <w:tc>
          <w:tcPr>
            <w:tcW w:w="80" w:type="dxa"/>
            <w:vAlign w:val="bottom"/>
          </w:tcPr>
          <w:p>
            <w:pPr>
              <w:spacing w:after="0"/>
              <w:rPr>
                <w:sz w:val="19"/>
                <w:szCs w:val="19"/>
                <w:color w:val="auto"/>
              </w:rPr>
            </w:pPr>
          </w:p>
        </w:tc>
        <w:tc>
          <w:tcPr>
            <w:tcW w:w="260" w:type="dxa"/>
            <w:vAlign w:val="bottom"/>
          </w:tcPr>
          <w:p>
            <w:pPr>
              <w:jc w:val="right"/>
              <w:ind w:right="54"/>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134"/>
              <w:spacing w:after="0"/>
              <w:rPr>
                <w:sz w:val="20"/>
                <w:szCs w:val="20"/>
                <w:color w:val="auto"/>
              </w:rPr>
            </w:pPr>
            <w:r>
              <w:rPr>
                <w:rFonts w:ascii="Arial" w:cs="Arial" w:eastAsia="Arial" w:hAnsi="Arial"/>
                <w:sz w:val="17"/>
                <w:szCs w:val="17"/>
                <w:color w:val="auto"/>
              </w:rPr>
              <w:t>6,611.4</w:t>
            </w:r>
          </w:p>
        </w:tc>
        <w:tc>
          <w:tcPr>
            <w:tcW w:w="8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ind w:right="134"/>
              <w:spacing w:after="0"/>
              <w:rPr>
                <w:sz w:val="20"/>
                <w:szCs w:val="20"/>
                <w:color w:val="auto"/>
              </w:rPr>
            </w:pPr>
            <w:r>
              <w:rPr>
                <w:rFonts w:ascii="Arial" w:cs="Arial" w:eastAsia="Arial" w:hAnsi="Arial"/>
                <w:sz w:val="17"/>
                <w:szCs w:val="17"/>
                <w:color w:val="auto"/>
              </w:rPr>
              <w:t>5,116.3</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29 %</w:t>
            </w:r>
          </w:p>
        </w:tc>
      </w:tr>
      <w:tr>
        <w:trPr>
          <w:trHeight w:val="220"/>
        </w:trPr>
        <w:tc>
          <w:tcPr>
            <w:tcW w:w="30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Consumer Direct</w:t>
            </w: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323.7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662.8</w:t>
            </w:r>
          </w:p>
        </w:tc>
        <w:tc>
          <w:tcPr>
            <w:tcW w:w="1060" w:type="dxa"/>
            <w:vAlign w:val="bottom"/>
            <w:gridSpan w:val="2"/>
            <w:shd w:val="clear" w:color="auto" w:fill="CCEEFF"/>
          </w:tcPr>
          <w:p>
            <w:pPr>
              <w:jc w:val="right"/>
              <w:ind w:right="94"/>
              <w:spacing w:after="0"/>
              <w:rPr>
                <w:sz w:val="20"/>
                <w:szCs w:val="20"/>
                <w:color w:val="auto"/>
              </w:rPr>
            </w:pPr>
            <w:r>
              <w:rPr>
                <w:rFonts w:ascii="Arial" w:cs="Arial" w:eastAsia="Arial" w:hAnsi="Arial"/>
                <w:sz w:val="17"/>
                <w:szCs w:val="17"/>
                <w:color w:val="auto"/>
              </w:rPr>
              <w:t>(51)</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986.4</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1,172.1</w:t>
            </w:r>
          </w:p>
        </w:tc>
        <w:tc>
          <w:tcPr>
            <w:tcW w:w="106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(16)</w:t>
            </w:r>
          </w:p>
        </w:tc>
      </w:tr>
      <w:tr>
        <w:trPr>
          <w:trHeight w:val="213"/>
        </w:trPr>
        <w:tc>
          <w:tcPr>
            <w:tcW w:w="306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4,261.1</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3,336.7</w:t>
            </w:r>
          </w:p>
        </w:tc>
        <w:tc>
          <w:tcPr>
            <w:tcW w:w="1060" w:type="dxa"/>
            <w:vAlign w:val="bottom"/>
            <w:gridSpan w:val="2"/>
          </w:tcPr>
          <w:p>
            <w:pPr>
              <w:ind w:left="680"/>
              <w:spacing w:after="0"/>
              <w:rPr>
                <w:sz w:val="20"/>
                <w:szCs w:val="20"/>
                <w:color w:val="auto"/>
              </w:rPr>
            </w:pPr>
            <w:r>
              <w:rPr>
                <w:rFonts w:ascii="Arial" w:cs="Arial" w:eastAsia="Arial" w:hAnsi="Arial"/>
                <w:sz w:val="17"/>
                <w:szCs w:val="17"/>
                <w:color w:val="auto"/>
                <w:w w:val="92"/>
              </w:rPr>
              <w:t>28 %</w:t>
            </w: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7,597.8</w:t>
            </w: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6,288.3</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21 %</w:t>
            </w:r>
          </w:p>
        </w:tc>
      </w:tr>
      <w:tr>
        <w:trPr>
          <w:trHeight w:val="20"/>
        </w:trPr>
        <w:tc>
          <w:tcPr>
            <w:tcW w:w="30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bl>
    <w:p>
      <w:pPr>
        <w:spacing w:after="0" w:line="108" w:lineRule="exact"/>
        <w:rPr>
          <w:sz w:val="20"/>
          <w:szCs w:val="20"/>
          <w:color w:val="auto"/>
        </w:rPr>
      </w:pPr>
    </w:p>
    <w:p>
      <w:pPr>
        <w:ind w:left="320" w:right="280" w:hanging="317"/>
        <w:spacing w:after="0" w:line="243" w:lineRule="auto"/>
        <w:tabs>
          <w:tab w:leader="none" w:pos="320" w:val="left"/>
        </w:tabs>
        <w:numPr>
          <w:ilvl w:val="0"/>
          <w:numId w:val="55"/>
        </w:numPr>
        <w:rPr>
          <w:rFonts w:ascii="Arial" w:cs="Arial" w:eastAsia="Arial" w:hAnsi="Arial"/>
          <w:sz w:val="16"/>
          <w:szCs w:val="16"/>
          <w:color w:val="auto"/>
        </w:rPr>
      </w:pPr>
      <w:r>
        <w:rPr>
          <w:rFonts w:ascii="Arial" w:cs="Arial" w:eastAsia="Arial" w:hAnsi="Arial"/>
          <w:sz w:val="16"/>
          <w:szCs w:val="16"/>
          <w:color w:val="auto"/>
        </w:rPr>
        <w:t>Includes realized gains on loan sales and related new MSR capitalization, changes in fair value of IRLCs, changes in fair value of loans held for sale and economic hedging gains and losses.</w:t>
      </w:r>
    </w:p>
    <w:p>
      <w:pPr>
        <w:spacing w:after="0" w:line="1" w:lineRule="exact"/>
        <w:rPr>
          <w:rFonts w:ascii="Arial" w:cs="Arial" w:eastAsia="Arial" w:hAnsi="Arial"/>
          <w:sz w:val="16"/>
          <w:szCs w:val="16"/>
          <w:color w:val="auto"/>
        </w:rPr>
      </w:pPr>
    </w:p>
    <w:p>
      <w:pPr>
        <w:ind w:left="320" w:right="60" w:hanging="317"/>
        <w:spacing w:after="0" w:line="235" w:lineRule="auto"/>
        <w:tabs>
          <w:tab w:leader="none" w:pos="320" w:val="left"/>
        </w:tabs>
        <w:numPr>
          <w:ilvl w:val="0"/>
          <w:numId w:val="55"/>
        </w:numPr>
        <w:rPr>
          <w:rFonts w:ascii="Arial" w:cs="Arial" w:eastAsia="Arial" w:hAnsi="Arial"/>
          <w:sz w:val="16"/>
          <w:szCs w:val="16"/>
          <w:color w:val="auto"/>
        </w:rPr>
      </w:pPr>
      <w:r>
        <w:rPr>
          <w:rFonts w:ascii="Arial" w:cs="Arial" w:eastAsia="Arial" w:hAnsi="Arial"/>
          <w:sz w:val="16"/>
          <w:szCs w:val="16"/>
          <w:color w:val="auto"/>
        </w:rPr>
        <w:t>Ratio of gain on Loans held for sale to Origination UPB. Note that the ratio differs from the day-one gain on sale margin upon lock and includes gains or losses on interest rate lock commitments.</w:t>
      </w:r>
    </w:p>
    <w:p>
      <w:pPr>
        <w:spacing w:after="0" w:line="1" w:lineRule="exact"/>
        <w:rPr>
          <w:rFonts w:ascii="Arial" w:cs="Arial" w:eastAsia="Arial" w:hAnsi="Arial"/>
          <w:sz w:val="16"/>
          <w:szCs w:val="16"/>
          <w:color w:val="auto"/>
        </w:rPr>
      </w:pPr>
    </w:p>
    <w:p>
      <w:pPr>
        <w:ind w:left="320" w:hanging="317"/>
        <w:spacing w:after="0"/>
        <w:tabs>
          <w:tab w:leader="none" w:pos="320" w:val="left"/>
        </w:tabs>
        <w:numPr>
          <w:ilvl w:val="0"/>
          <w:numId w:val="55"/>
        </w:numPr>
        <w:rPr>
          <w:rFonts w:ascii="Arial" w:cs="Arial" w:eastAsia="Arial" w:hAnsi="Arial"/>
          <w:sz w:val="16"/>
          <w:szCs w:val="16"/>
          <w:color w:val="auto"/>
        </w:rPr>
      </w:pPr>
      <w:r>
        <w:rPr>
          <w:rFonts w:ascii="Arial" w:cs="Arial" w:eastAsia="Arial" w:hAnsi="Arial"/>
          <w:sz w:val="16"/>
          <w:szCs w:val="16"/>
          <w:color w:val="auto"/>
        </w:rPr>
        <w:t>Defined as the UPB of loans funded in the period.</w:t>
      </w:r>
    </w:p>
    <w:p>
      <w:pPr>
        <w:spacing w:after="0" w:line="84" w:lineRule="exact"/>
        <w:rPr>
          <w:sz w:val="20"/>
          <w:szCs w:val="20"/>
          <w:color w:val="auto"/>
        </w:rPr>
      </w:pPr>
    </w:p>
    <w:p>
      <w:pPr>
        <w:ind w:right="100"/>
        <w:spacing w:after="0" w:line="277" w:lineRule="auto"/>
        <w:rPr>
          <w:sz w:val="20"/>
          <w:szCs w:val="20"/>
          <w:color w:val="auto"/>
        </w:rPr>
      </w:pPr>
      <w:r>
        <w:rPr>
          <w:rFonts w:ascii="Arial" w:cs="Arial" w:eastAsia="Arial" w:hAnsi="Arial"/>
          <w:sz w:val="16"/>
          <w:szCs w:val="16"/>
          <w:color w:val="auto"/>
        </w:rPr>
        <w:t>Gain on loans held for sale, net for the three months ended June 30, 2022 was mostly flat as compared to the three months ended March 31, 2022 (decreased by $0.3 million, or 2%) with the reduction in loan production volume in the Consumer direct channel mostly offset by improved margins in both channels and a loan production volume increase in the Correspondent channel, as detailed in the above table. The Consumer Direct new production volume decrease is driven by rising interest rates during 2022, significantly reducing opportunities for existing borrowers to refinance. Gain on sale increased in the Correspondent channel primarily due to the increase in loan production volume. As interest rates rapidly increased during the first quarter of 2022 and the range of pricing widened in different markets, we intentionally constrained our volume when valuations did not align with our expectations. In the second quarter of 2022, with our efforts to prudently manage market conditions, we were able to grow volume at margin levels that met our targets.</w:t>
      </w:r>
    </w:p>
    <w:p>
      <w:pPr>
        <w:spacing w:after="0" w:line="64" w:lineRule="exact"/>
        <w:rPr>
          <w:sz w:val="20"/>
          <w:szCs w:val="20"/>
          <w:color w:val="auto"/>
        </w:rPr>
      </w:pPr>
    </w:p>
    <w:p>
      <w:pPr>
        <w:ind w:right="20"/>
        <w:spacing w:after="0" w:line="276" w:lineRule="auto"/>
        <w:rPr>
          <w:sz w:val="20"/>
          <w:szCs w:val="20"/>
          <w:color w:val="auto"/>
        </w:rPr>
      </w:pPr>
      <w:r>
        <w:rPr>
          <w:rFonts w:ascii="Arial" w:cs="Arial" w:eastAsia="Arial" w:hAnsi="Arial"/>
          <w:sz w:val="16"/>
          <w:szCs w:val="16"/>
          <w:color w:val="auto"/>
        </w:rPr>
        <w:t>As compared to the six months ended June 30, 2021, Gain on loans held for sale, net for the six months ended June 30, 2022 declined $39.6 million, or 61% primarily due to a $37.0 million decrease in our Consumer Direct channel, driven by a 59% decline in margin and 16% decrease in loan production attributed to this channel, as detailed in the above table. Our Consumer Direct channel benefited from historical low rate conditions during the first six months of 2021 and was exposed to rapidly changing and unfavorable market conditions for borrower refinancing due to rising interest rates during the first six months of 2022. Our loan production volume for our Correspondent channel increased $1.5 billion, or 29% as a result of our channel growth strategy. On June 1, 2021, we expanded our network of correspondent lenders through the assignment by Texas Capital Bank (TCB) to us, of all its correspondent loan purchase agreements with its correspondent sellers (approximately 220 sellers). Margins of our Correspondent channel declined when comparing the first six months of 2022 with the first six months of 2021 due to our prudent pricing and growth in the market during the first quarter 2022,as discussed above.</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7" w:right="339" w:bottom="1440" w:gutter="0" w:footer="0" w:header="0"/>
        </w:sectPr>
      </w:pPr>
    </w:p>
    <w:bookmarkStart w:id="86" w:name="page87"/>
    <w:bookmarkEnd w:id="86"/>
    <w:p>
      <w:pPr>
        <w:spacing w:after="0"/>
        <w:rPr>
          <w:sz w:val="20"/>
          <w:szCs w:val="20"/>
          <w:color w:val="auto"/>
        </w:rPr>
      </w:pPr>
      <w:r>
        <w:rPr>
          <w:rFonts w:ascii="Arial" w:cs="Arial" w:eastAsia="Arial" w:hAnsi="Arial"/>
          <w:sz w:val="17"/>
          <w:szCs w:val="17"/>
          <w:b w:val="1"/>
          <w:bCs w:val="1"/>
          <w:i w:val="1"/>
          <w:iCs w:val="1"/>
          <w:color w:val="auto"/>
        </w:rPr>
        <w:t>Reverse Mortgage Revenue, Net</w:t>
      </w:r>
    </w:p>
    <w:p>
      <w:pPr>
        <w:spacing w:after="0" w:line="115" w:lineRule="exact"/>
        <w:rPr>
          <w:sz w:val="20"/>
          <w:szCs w:val="20"/>
          <w:color w:val="auto"/>
        </w:rPr>
      </w:pPr>
    </w:p>
    <w:p>
      <w:pPr>
        <w:ind w:right="180"/>
        <w:spacing w:after="0" w:line="283" w:lineRule="auto"/>
        <w:rPr>
          <w:sz w:val="20"/>
          <w:szCs w:val="20"/>
          <w:color w:val="auto"/>
        </w:rPr>
      </w:pPr>
      <w:r>
        <w:rPr>
          <w:rFonts w:ascii="Arial" w:cs="Arial" w:eastAsia="Arial" w:hAnsi="Arial"/>
          <w:sz w:val="17"/>
          <w:szCs w:val="17"/>
          <w:color w:val="auto"/>
        </w:rPr>
        <w:t>The following table provides information regarding Reverse mortgage revenue, net of the Originations segment that comprises fair value changes of the pipeline and unsecuritized reverse mortgage loans held for investment, at fair value, together with volume and margin:</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0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700" w:type="dxa"/>
            <w:vAlign w:val="bottom"/>
            <w:tcBorders>
              <w:bottom w:val="single" w:sz="8" w:color="auto"/>
            </w:tcBorders>
            <w:gridSpan w:val="4"/>
          </w:tcPr>
          <w:p>
            <w:pPr>
              <w:jc w:val="right"/>
              <w:ind w:right="614"/>
              <w:spacing w:after="0"/>
              <w:rPr>
                <w:sz w:val="20"/>
                <w:szCs w:val="20"/>
                <w:color w:val="auto"/>
              </w:rPr>
            </w:pPr>
            <w:r>
              <w:rPr>
                <w:rFonts w:ascii="Arial" w:cs="Arial" w:eastAsia="Arial" w:hAnsi="Arial"/>
                <w:sz w:val="17"/>
                <w:szCs w:val="17"/>
                <w:b w:val="1"/>
                <w:bCs w:val="1"/>
                <w:color w:val="auto"/>
              </w:rPr>
              <w:t>Three Months Ended</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gridSpan w:val="4"/>
          </w:tcPr>
          <w:p>
            <w:pPr>
              <w:jc w:val="right"/>
              <w:ind w:right="734"/>
              <w:spacing w:after="0"/>
              <w:rPr>
                <w:sz w:val="20"/>
                <w:szCs w:val="20"/>
                <w:color w:val="auto"/>
              </w:rPr>
            </w:pPr>
            <w:r>
              <w:rPr>
                <w:rFonts w:ascii="Arial" w:cs="Arial" w:eastAsia="Arial" w:hAnsi="Arial"/>
                <w:sz w:val="17"/>
                <w:szCs w:val="17"/>
                <w:b w:val="1"/>
                <w:bCs w:val="1"/>
                <w:color w:val="auto"/>
              </w:rPr>
              <w:t>Six Months Ended</w:t>
            </w: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gridSpan w:val="2"/>
          </w:tcPr>
          <w:p>
            <w:pPr>
              <w:ind w:left="160"/>
              <w:spacing w:after="0"/>
              <w:rPr>
                <w:sz w:val="20"/>
                <w:szCs w:val="20"/>
                <w:color w:val="auto"/>
              </w:rPr>
            </w:pPr>
            <w:r>
              <w:rPr>
                <w:rFonts w:ascii="Arial" w:cs="Arial" w:eastAsia="Arial" w:hAnsi="Arial"/>
                <w:sz w:val="17"/>
                <w:szCs w:val="17"/>
                <w:b w:val="1"/>
                <w:bCs w:val="1"/>
                <w:color w:val="auto"/>
              </w:rPr>
              <w:t>June 30,</w:t>
            </w:r>
          </w:p>
        </w:tc>
        <w:tc>
          <w:tcPr>
            <w:tcW w:w="220" w:type="dxa"/>
            <w:vAlign w:val="bottom"/>
          </w:tcPr>
          <w:p>
            <w:pPr>
              <w:spacing w:after="0"/>
              <w:rPr>
                <w:sz w:val="19"/>
                <w:szCs w:val="19"/>
                <w:color w:val="auto"/>
              </w:rPr>
            </w:pPr>
          </w:p>
        </w:tc>
        <w:tc>
          <w:tcPr>
            <w:tcW w:w="1200" w:type="dxa"/>
            <w:vAlign w:val="bottom"/>
          </w:tcPr>
          <w:p>
            <w:pPr>
              <w:jc w:val="right"/>
              <w:ind w:right="274"/>
              <w:spacing w:after="0"/>
              <w:rPr>
                <w:sz w:val="20"/>
                <w:szCs w:val="20"/>
                <w:color w:val="auto"/>
              </w:rPr>
            </w:pPr>
            <w:r>
              <w:rPr>
                <w:rFonts w:ascii="Arial" w:cs="Arial" w:eastAsia="Arial" w:hAnsi="Arial"/>
                <w:sz w:val="17"/>
                <w:szCs w:val="17"/>
                <w:b w:val="1"/>
                <w:bCs w:val="1"/>
                <w:color w:val="auto"/>
              </w:rPr>
              <w:t>March 31</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gridSpan w:val="2"/>
          </w:tcPr>
          <w:p>
            <w:pPr>
              <w:ind w:left="160"/>
              <w:spacing w:after="0"/>
              <w:rPr>
                <w:sz w:val="20"/>
                <w:szCs w:val="20"/>
                <w:color w:val="auto"/>
              </w:rPr>
            </w:pPr>
            <w:r>
              <w:rPr>
                <w:rFonts w:ascii="Arial" w:cs="Arial" w:eastAsia="Arial" w:hAnsi="Arial"/>
                <w:sz w:val="17"/>
                <w:szCs w:val="17"/>
                <w:b w:val="1"/>
                <w:bCs w:val="1"/>
                <w:color w:val="auto"/>
              </w:rPr>
              <w:t>June 30,</w:t>
            </w:r>
          </w:p>
        </w:tc>
        <w:tc>
          <w:tcPr>
            <w:tcW w:w="260" w:type="dxa"/>
            <w:vAlign w:val="bottom"/>
          </w:tcPr>
          <w:p>
            <w:pPr>
              <w:spacing w:after="0"/>
              <w:rPr>
                <w:sz w:val="19"/>
                <w:szCs w:val="19"/>
                <w:color w:val="auto"/>
              </w:rPr>
            </w:pPr>
          </w:p>
        </w:tc>
        <w:tc>
          <w:tcPr>
            <w:tcW w:w="1200" w:type="dxa"/>
            <w:vAlign w:val="bottom"/>
          </w:tcPr>
          <w:p>
            <w:pPr>
              <w:jc w:val="right"/>
              <w:ind w:right="334"/>
              <w:spacing w:after="0"/>
              <w:rPr>
                <w:sz w:val="20"/>
                <w:szCs w:val="20"/>
                <w:color w:val="auto"/>
              </w:rPr>
            </w:pPr>
            <w:r>
              <w:rPr>
                <w:rFonts w:ascii="Arial" w:cs="Arial" w:eastAsia="Arial" w:hAnsi="Arial"/>
                <w:sz w:val="17"/>
                <w:szCs w:val="17"/>
                <w:b w:val="1"/>
                <w:bCs w:val="1"/>
                <w:color w:val="auto"/>
              </w:rPr>
              <w:t>June 30,</w:t>
            </w: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306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54"/>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454"/>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bottom w:val="single" w:sz="8" w:color="CCEEFF"/>
            </w:tcBorders>
          </w:tcPr>
          <w:p>
            <w:pPr>
              <w:spacing w:after="0"/>
              <w:rPr>
                <w:sz w:val="21"/>
                <w:szCs w:val="21"/>
                <w:color w:val="auto"/>
              </w:rPr>
            </w:pPr>
          </w:p>
        </w:tc>
        <w:tc>
          <w:tcPr>
            <w:tcW w:w="980" w:type="dxa"/>
            <w:vAlign w:val="bottom"/>
            <w:tcBorders>
              <w:bottom w:val="single" w:sz="8" w:color="auto"/>
            </w:tcBorders>
          </w:tcPr>
          <w:p>
            <w:pPr>
              <w:ind w:left="100"/>
              <w:spacing w:after="0"/>
              <w:rPr>
                <w:sz w:val="20"/>
                <w:szCs w:val="20"/>
                <w:color w:val="auto"/>
              </w:rPr>
            </w:pPr>
            <w:r>
              <w:rPr>
                <w:rFonts w:ascii="Arial" w:cs="Arial" w:eastAsia="Arial" w:hAnsi="Arial"/>
                <w:sz w:val="17"/>
                <w:szCs w:val="17"/>
                <w:b w:val="1"/>
                <w:bCs w:val="1"/>
                <w:color w:val="auto"/>
              </w:rPr>
              <w:t>% Change</w:t>
            </w:r>
          </w:p>
        </w:tc>
        <w:tc>
          <w:tcPr>
            <w:tcW w:w="8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474"/>
              <w:spacing w:after="0"/>
              <w:rPr>
                <w:sz w:val="20"/>
                <w:szCs w:val="20"/>
                <w:color w:val="auto"/>
              </w:rPr>
            </w:pPr>
            <w:r>
              <w:rPr>
                <w:rFonts w:ascii="Arial" w:cs="Arial" w:eastAsia="Arial" w:hAnsi="Arial"/>
                <w:sz w:val="17"/>
                <w:szCs w:val="17"/>
                <w:b w:val="1"/>
                <w:bCs w:val="1"/>
                <w:color w:val="auto"/>
              </w:rPr>
              <w:t>2022</w:t>
            </w:r>
          </w:p>
        </w:tc>
        <w:tc>
          <w:tcPr>
            <w:tcW w:w="8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474"/>
              <w:spacing w:after="0"/>
              <w:rPr>
                <w:sz w:val="20"/>
                <w:szCs w:val="20"/>
                <w:color w:val="auto"/>
              </w:rPr>
            </w:pPr>
            <w:r>
              <w:rPr>
                <w:rFonts w:ascii="Arial" w:cs="Arial" w:eastAsia="Arial" w:hAnsi="Arial"/>
                <w:sz w:val="17"/>
                <w:szCs w:val="17"/>
                <w:b w:val="1"/>
                <w:bCs w:val="1"/>
                <w:color w:val="auto"/>
              </w:rPr>
              <w:t>2021</w:t>
            </w:r>
          </w:p>
        </w:tc>
        <w:tc>
          <w:tcPr>
            <w:tcW w:w="80" w:type="dxa"/>
            <w:vAlign w:val="bottom"/>
            <w:tcBorders>
              <w:bottom w:val="single" w:sz="8" w:color="CCEEFF"/>
            </w:tcBorders>
          </w:tcPr>
          <w:p>
            <w:pPr>
              <w:spacing w:after="0"/>
              <w:rPr>
                <w:sz w:val="21"/>
                <w:szCs w:val="21"/>
                <w:color w:val="auto"/>
              </w:rPr>
            </w:pPr>
          </w:p>
        </w:tc>
        <w:tc>
          <w:tcPr>
            <w:tcW w:w="98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b w:val="1"/>
                <w:bCs w:val="1"/>
                <w:color w:val="auto"/>
              </w:rPr>
              <w:t>% Change</w:t>
            </w:r>
          </w:p>
        </w:tc>
        <w:tc>
          <w:tcPr>
            <w:tcW w:w="0" w:type="dxa"/>
            <w:vAlign w:val="bottom"/>
          </w:tcPr>
          <w:p>
            <w:pPr>
              <w:spacing w:after="0"/>
              <w:rPr>
                <w:sz w:val="1"/>
                <w:szCs w:val="1"/>
                <w:color w:val="auto"/>
              </w:rPr>
            </w:pPr>
          </w:p>
        </w:tc>
      </w:tr>
      <w:tr>
        <w:trPr>
          <w:trHeight w:val="213"/>
        </w:trPr>
        <w:tc>
          <w:tcPr>
            <w:tcW w:w="3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Origination UPB (1)</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431.5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547.0</w:t>
            </w:r>
          </w:p>
        </w:tc>
        <w:tc>
          <w:tcPr>
            <w:tcW w:w="1080" w:type="dxa"/>
            <w:vAlign w:val="bottom"/>
            <w:gridSpan w:val="2"/>
            <w:shd w:val="clear" w:color="auto" w:fill="CCEEFF"/>
          </w:tcPr>
          <w:p>
            <w:pPr>
              <w:ind w:left="620"/>
              <w:spacing w:after="0"/>
              <w:rPr>
                <w:sz w:val="20"/>
                <w:szCs w:val="20"/>
                <w:color w:val="auto"/>
              </w:rPr>
            </w:pPr>
            <w:r>
              <w:rPr>
                <w:rFonts w:ascii="Arial" w:cs="Arial" w:eastAsia="Arial" w:hAnsi="Arial"/>
                <w:sz w:val="17"/>
                <w:szCs w:val="17"/>
                <w:color w:val="auto"/>
                <w:w w:val="96"/>
              </w:rPr>
              <w:t>(21)%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978.5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603.2</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62 %</w:t>
            </w:r>
          </w:p>
        </w:tc>
        <w:tc>
          <w:tcPr>
            <w:tcW w:w="0" w:type="dxa"/>
            <w:vAlign w:val="bottom"/>
          </w:tcPr>
          <w:p>
            <w:pPr>
              <w:spacing w:after="0"/>
              <w:rPr>
                <w:sz w:val="1"/>
                <w:szCs w:val="1"/>
                <w:color w:val="auto"/>
              </w:rPr>
            </w:pPr>
          </w:p>
        </w:tc>
      </w:tr>
      <w:tr>
        <w:trPr>
          <w:trHeight w:val="220"/>
        </w:trPr>
        <w:tc>
          <w:tcPr>
            <w:tcW w:w="30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Origination margin (2)</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3.80 %</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4.56 %</w:t>
            </w:r>
          </w:p>
        </w:tc>
        <w:tc>
          <w:tcPr>
            <w:tcW w:w="1080" w:type="dxa"/>
            <w:vAlign w:val="bottom"/>
            <w:tcBorders>
              <w:bottom w:val="single" w:sz="8" w:color="CCEEFF"/>
            </w:tcBorders>
            <w:gridSpan w:val="2"/>
          </w:tcPr>
          <w:p>
            <w:pPr>
              <w:ind w:left="620"/>
              <w:spacing w:after="0"/>
              <w:rPr>
                <w:sz w:val="20"/>
                <w:szCs w:val="20"/>
                <w:color w:val="auto"/>
              </w:rPr>
            </w:pPr>
            <w:r>
              <w:rPr>
                <w:rFonts w:ascii="Arial" w:cs="Arial" w:eastAsia="Arial" w:hAnsi="Arial"/>
                <w:sz w:val="17"/>
                <w:szCs w:val="17"/>
                <w:color w:val="auto"/>
              </w:rPr>
              <w:t>(17)</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4.23 %</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6.40 %</w:t>
            </w:r>
          </w:p>
        </w:tc>
        <w:tc>
          <w:tcPr>
            <w:tcW w:w="1060" w:type="dxa"/>
            <w:vAlign w:val="bottom"/>
            <w:tcBorders>
              <w:bottom w:val="single" w:sz="8" w:color="CCEEFF"/>
            </w:tcBorders>
            <w:gridSpan w:val="2"/>
          </w:tcPr>
          <w:p>
            <w:pPr>
              <w:jc w:val="right"/>
              <w:ind w:right="74"/>
              <w:spacing w:after="0"/>
              <w:rPr>
                <w:sz w:val="20"/>
                <w:szCs w:val="20"/>
                <w:color w:val="auto"/>
              </w:rPr>
            </w:pPr>
            <w:r>
              <w:rPr>
                <w:rFonts w:ascii="Arial" w:cs="Arial" w:eastAsia="Arial" w:hAnsi="Arial"/>
                <w:sz w:val="17"/>
                <w:szCs w:val="17"/>
                <w:color w:val="auto"/>
              </w:rPr>
              <w:t>(34)</w:t>
            </w:r>
          </w:p>
        </w:tc>
        <w:tc>
          <w:tcPr>
            <w:tcW w:w="0" w:type="dxa"/>
            <w:vAlign w:val="bottom"/>
          </w:tcPr>
          <w:p>
            <w:pPr>
              <w:spacing w:after="0"/>
              <w:rPr>
                <w:sz w:val="1"/>
                <w:szCs w:val="1"/>
                <w:color w:val="auto"/>
              </w:rPr>
            </w:pPr>
          </w:p>
        </w:tc>
      </w:tr>
      <w:tr>
        <w:trPr>
          <w:trHeight w:val="148"/>
        </w:trPr>
        <w:tc>
          <w:tcPr>
            <w:tcW w:w="3060" w:type="dxa"/>
            <w:vAlign w:val="bottom"/>
            <w:shd w:val="clear" w:color="auto" w:fill="CCEEFF"/>
          </w:tcPr>
          <w:p>
            <w:pPr>
              <w:ind w:left="20"/>
              <w:spacing w:after="0" w:line="149" w:lineRule="exact"/>
              <w:rPr>
                <w:sz w:val="20"/>
                <w:szCs w:val="20"/>
                <w:color w:val="auto"/>
              </w:rPr>
            </w:pPr>
            <w:r>
              <w:rPr>
                <w:rFonts w:ascii="Arial" w:cs="Arial" w:eastAsia="Arial" w:hAnsi="Arial"/>
                <w:sz w:val="17"/>
                <w:szCs w:val="17"/>
                <w:color w:val="auto"/>
              </w:rPr>
              <w:t>Reverse mortgage revenue, net</w:t>
            </w:r>
          </w:p>
        </w:tc>
        <w:tc>
          <w:tcPr>
            <w:tcW w:w="260" w:type="dxa"/>
            <w:vAlign w:val="bottom"/>
            <w:vMerge w:val="restart"/>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180" w:type="dxa"/>
            <w:vAlign w:val="bottom"/>
            <w:vMerge w:val="restart"/>
            <w:shd w:val="clear" w:color="auto" w:fill="CCEEFF"/>
          </w:tcPr>
          <w:p>
            <w:pPr>
              <w:jc w:val="right"/>
              <w:ind w:right="134"/>
              <w:spacing w:after="0"/>
              <w:rPr>
                <w:sz w:val="20"/>
                <w:szCs w:val="20"/>
                <w:color w:val="auto"/>
              </w:rPr>
            </w:pPr>
            <w:r>
              <w:rPr>
                <w:rFonts w:ascii="Arial" w:cs="Arial" w:eastAsia="Arial" w:hAnsi="Arial"/>
                <w:sz w:val="17"/>
                <w:szCs w:val="17"/>
                <w:color w:val="auto"/>
              </w:rPr>
              <w:t>16.4</w:t>
            </w:r>
          </w:p>
        </w:tc>
        <w:tc>
          <w:tcPr>
            <w:tcW w:w="100" w:type="dxa"/>
            <w:vAlign w:val="bottom"/>
            <w:shd w:val="clear" w:color="auto" w:fill="CCEEFF"/>
          </w:tcPr>
          <w:p>
            <w:pPr>
              <w:spacing w:after="0"/>
              <w:rPr>
                <w:sz w:val="12"/>
                <w:szCs w:val="12"/>
                <w:color w:val="auto"/>
              </w:rPr>
            </w:pPr>
          </w:p>
        </w:tc>
        <w:tc>
          <w:tcPr>
            <w:tcW w:w="220" w:type="dxa"/>
            <w:vAlign w:val="bottom"/>
            <w:vMerge w:val="restart"/>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200" w:type="dxa"/>
            <w:vAlign w:val="bottom"/>
            <w:vMerge w:val="restart"/>
            <w:shd w:val="clear" w:color="auto" w:fill="CCEEFF"/>
          </w:tcPr>
          <w:p>
            <w:pPr>
              <w:jc w:val="right"/>
              <w:ind w:right="114"/>
              <w:spacing w:after="0"/>
              <w:rPr>
                <w:sz w:val="20"/>
                <w:szCs w:val="20"/>
                <w:color w:val="auto"/>
              </w:rPr>
            </w:pPr>
            <w:r>
              <w:rPr>
                <w:rFonts w:ascii="Arial" w:cs="Arial" w:eastAsia="Arial" w:hAnsi="Arial"/>
                <w:sz w:val="17"/>
                <w:szCs w:val="17"/>
                <w:color w:val="auto"/>
              </w:rPr>
              <w:t>25.0</w:t>
            </w:r>
          </w:p>
        </w:tc>
        <w:tc>
          <w:tcPr>
            <w:tcW w:w="1080" w:type="dxa"/>
            <w:vAlign w:val="bottom"/>
            <w:gridSpan w:val="2"/>
            <w:vMerge w:val="restart"/>
            <w:shd w:val="clear" w:color="auto" w:fill="CCEEFF"/>
          </w:tcPr>
          <w:p>
            <w:pPr>
              <w:ind w:left="620"/>
              <w:spacing w:after="0"/>
              <w:rPr>
                <w:sz w:val="20"/>
                <w:szCs w:val="20"/>
                <w:color w:val="auto"/>
              </w:rPr>
            </w:pPr>
            <w:r>
              <w:rPr>
                <w:rFonts w:ascii="Arial" w:cs="Arial" w:eastAsia="Arial" w:hAnsi="Arial"/>
                <w:sz w:val="17"/>
                <w:szCs w:val="17"/>
                <w:color w:val="auto"/>
                <w:w w:val="96"/>
              </w:rPr>
              <w:t>(34)%</w:t>
            </w:r>
          </w:p>
        </w:tc>
        <w:tc>
          <w:tcPr>
            <w:tcW w:w="80" w:type="dxa"/>
            <w:vAlign w:val="bottom"/>
            <w:shd w:val="clear" w:color="auto" w:fill="CCEEFF"/>
          </w:tcPr>
          <w:p>
            <w:pPr>
              <w:spacing w:after="0"/>
              <w:rPr>
                <w:sz w:val="12"/>
                <w:szCs w:val="12"/>
                <w:color w:val="auto"/>
              </w:rPr>
            </w:pPr>
          </w:p>
        </w:tc>
        <w:tc>
          <w:tcPr>
            <w:tcW w:w="260" w:type="dxa"/>
            <w:vAlign w:val="bottom"/>
            <w:vMerge w:val="restart"/>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200" w:type="dxa"/>
            <w:vAlign w:val="bottom"/>
            <w:vMerge w:val="restart"/>
            <w:shd w:val="clear" w:color="auto" w:fill="CCEEFF"/>
          </w:tcPr>
          <w:p>
            <w:pPr>
              <w:jc w:val="right"/>
              <w:ind w:right="134"/>
              <w:spacing w:after="0"/>
              <w:rPr>
                <w:sz w:val="20"/>
                <w:szCs w:val="20"/>
                <w:color w:val="auto"/>
              </w:rPr>
            </w:pPr>
            <w:r>
              <w:rPr>
                <w:rFonts w:ascii="Arial" w:cs="Arial" w:eastAsia="Arial" w:hAnsi="Arial"/>
                <w:sz w:val="17"/>
                <w:szCs w:val="17"/>
                <w:color w:val="auto"/>
              </w:rPr>
              <w:t>41.4</w:t>
            </w:r>
          </w:p>
        </w:tc>
        <w:tc>
          <w:tcPr>
            <w:tcW w:w="80" w:type="dxa"/>
            <w:vAlign w:val="bottom"/>
            <w:shd w:val="clear" w:color="auto" w:fill="CCEEFF"/>
          </w:tcPr>
          <w:p>
            <w:pPr>
              <w:spacing w:after="0"/>
              <w:rPr>
                <w:sz w:val="12"/>
                <w:szCs w:val="12"/>
                <w:color w:val="auto"/>
              </w:rPr>
            </w:pPr>
          </w:p>
        </w:tc>
        <w:tc>
          <w:tcPr>
            <w:tcW w:w="260" w:type="dxa"/>
            <w:vAlign w:val="bottom"/>
            <w:vMerge w:val="restart"/>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200" w:type="dxa"/>
            <w:vAlign w:val="bottom"/>
            <w:vMerge w:val="restart"/>
            <w:shd w:val="clear" w:color="auto" w:fill="CCEEFF"/>
          </w:tcPr>
          <w:p>
            <w:pPr>
              <w:jc w:val="right"/>
              <w:ind w:right="134"/>
              <w:spacing w:after="0"/>
              <w:rPr>
                <w:sz w:val="20"/>
                <w:szCs w:val="20"/>
                <w:color w:val="auto"/>
              </w:rPr>
            </w:pPr>
            <w:r>
              <w:rPr>
                <w:rFonts w:ascii="Arial" w:cs="Arial" w:eastAsia="Arial" w:hAnsi="Arial"/>
                <w:sz w:val="17"/>
                <w:szCs w:val="17"/>
                <w:color w:val="auto"/>
              </w:rPr>
              <w:t>38.6</w:t>
            </w:r>
          </w:p>
        </w:tc>
        <w:tc>
          <w:tcPr>
            <w:tcW w:w="1060" w:type="dxa"/>
            <w:vAlign w:val="bottom"/>
            <w:gridSpan w:val="2"/>
            <w:vMerge w:val="restart"/>
            <w:shd w:val="clear" w:color="auto" w:fill="CCEEFF"/>
          </w:tcPr>
          <w:p>
            <w:pPr>
              <w:jc w:val="right"/>
              <w:spacing w:after="0"/>
              <w:rPr>
                <w:sz w:val="20"/>
                <w:szCs w:val="20"/>
                <w:color w:val="auto"/>
              </w:rPr>
            </w:pPr>
            <w:r>
              <w:rPr>
                <w:rFonts w:ascii="Arial" w:cs="Arial" w:eastAsia="Arial" w:hAnsi="Arial"/>
                <w:sz w:val="17"/>
                <w:szCs w:val="17"/>
                <w:color w:val="auto"/>
              </w:rPr>
              <w:t>7 %</w:t>
            </w:r>
          </w:p>
        </w:tc>
        <w:tc>
          <w:tcPr>
            <w:tcW w:w="0" w:type="dxa"/>
            <w:vAlign w:val="bottom"/>
          </w:tcPr>
          <w:p>
            <w:pPr>
              <w:spacing w:after="0"/>
              <w:rPr>
                <w:sz w:val="1"/>
                <w:szCs w:val="1"/>
                <w:color w:val="auto"/>
              </w:rPr>
            </w:pPr>
          </w:p>
        </w:tc>
      </w:tr>
      <w:tr>
        <w:trPr>
          <w:trHeight w:val="213"/>
        </w:trPr>
        <w:tc>
          <w:tcPr>
            <w:tcW w:w="3060" w:type="dxa"/>
            <w:vAlign w:val="bottom"/>
            <w:tcBorders>
              <w:bottom w:val="single" w:sz="8" w:color="CCEEFF"/>
            </w:tcBorders>
            <w:shd w:val="clear" w:color="auto" w:fill="CCEEFF"/>
          </w:tcPr>
          <w:p>
            <w:pPr>
              <w:ind w:left="180"/>
              <w:spacing w:after="0" w:line="194" w:lineRule="exact"/>
              <w:rPr>
                <w:sz w:val="20"/>
                <w:szCs w:val="20"/>
                <w:color w:val="auto"/>
              </w:rPr>
            </w:pPr>
            <w:r>
              <w:rPr>
                <w:rFonts w:ascii="Arial" w:cs="Arial" w:eastAsia="Arial" w:hAnsi="Arial"/>
                <w:sz w:val="17"/>
                <w:szCs w:val="17"/>
                <w:color w:val="auto"/>
              </w:rPr>
              <w:t>(Originations) (3)</w:t>
            </w:r>
          </w:p>
        </w:tc>
        <w:tc>
          <w:tcPr>
            <w:tcW w:w="260" w:type="dxa"/>
            <w:vAlign w:val="bottom"/>
            <w:tcBorders>
              <w:bottom w:val="single" w:sz="8" w:color="auto"/>
            </w:tcBorders>
            <w:vMerge w:val="continue"/>
            <w:shd w:val="clear" w:color="auto" w:fill="CCEEFF"/>
          </w:tcPr>
          <w:p>
            <w:pPr>
              <w:spacing w:after="0"/>
              <w:rPr>
                <w:sz w:val="18"/>
                <w:szCs w:val="18"/>
                <w:color w:val="auto"/>
              </w:rPr>
            </w:pPr>
          </w:p>
        </w:tc>
        <w:tc>
          <w:tcPr>
            <w:tcW w:w="11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vMerge w:val="continue"/>
            <w:shd w:val="clear" w:color="auto" w:fill="CCEEFF"/>
          </w:tcPr>
          <w:p>
            <w:pPr>
              <w:spacing w:after="0"/>
              <w:rPr>
                <w:sz w:val="18"/>
                <w:szCs w:val="18"/>
                <w:color w:val="auto"/>
              </w:rPr>
            </w:pPr>
          </w:p>
        </w:tc>
        <w:tc>
          <w:tcPr>
            <w:tcW w:w="1200" w:type="dxa"/>
            <w:vAlign w:val="bottom"/>
            <w:tcBorders>
              <w:bottom w:val="single" w:sz="8" w:color="auto"/>
            </w:tcBorders>
            <w:vMerge w:val="continue"/>
            <w:shd w:val="clear" w:color="auto" w:fill="CCEEFF"/>
          </w:tcPr>
          <w:p>
            <w:pPr>
              <w:spacing w:after="0"/>
              <w:rPr>
                <w:sz w:val="18"/>
                <w:szCs w:val="18"/>
                <w:color w:val="auto"/>
              </w:rPr>
            </w:pPr>
          </w:p>
        </w:tc>
        <w:tc>
          <w:tcPr>
            <w:tcW w:w="1080" w:type="dxa"/>
            <w:vAlign w:val="bottom"/>
            <w:tcBorders>
              <w:bottom w:val="single" w:sz="8" w:color="CCEEFF"/>
            </w:tcBorders>
            <w:gridSpan w:val="2"/>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vMerge w:val="continue"/>
            <w:shd w:val="clear" w:color="auto" w:fill="CCEEFF"/>
          </w:tcPr>
          <w:p>
            <w:pPr>
              <w:spacing w:after="0"/>
              <w:rPr>
                <w:sz w:val="18"/>
                <w:szCs w:val="18"/>
                <w:color w:val="auto"/>
              </w:rPr>
            </w:pPr>
          </w:p>
        </w:tc>
        <w:tc>
          <w:tcPr>
            <w:tcW w:w="120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vMerge w:val="continue"/>
            <w:shd w:val="clear" w:color="auto" w:fill="CCEEFF"/>
          </w:tcPr>
          <w:p>
            <w:pPr>
              <w:spacing w:after="0"/>
              <w:rPr>
                <w:sz w:val="18"/>
                <w:szCs w:val="18"/>
                <w:color w:val="auto"/>
              </w:rPr>
            </w:pPr>
          </w:p>
        </w:tc>
        <w:tc>
          <w:tcPr>
            <w:tcW w:w="1200" w:type="dxa"/>
            <w:vAlign w:val="bottom"/>
            <w:tcBorders>
              <w:bottom w:val="single" w:sz="8" w:color="auto"/>
            </w:tcBorders>
            <w:vMerge w:val="continue"/>
            <w:shd w:val="clear" w:color="auto" w:fill="CCEEFF"/>
          </w:tcPr>
          <w:p>
            <w:pPr>
              <w:spacing w:after="0"/>
              <w:rPr>
                <w:sz w:val="18"/>
                <w:szCs w:val="18"/>
                <w:color w:val="auto"/>
              </w:rPr>
            </w:pPr>
          </w:p>
        </w:tc>
        <w:tc>
          <w:tcPr>
            <w:tcW w:w="1060" w:type="dxa"/>
            <w:vAlign w:val="bottom"/>
            <w:tcBorders>
              <w:bottom w:val="single" w:sz="8" w:color="CCEEFF"/>
            </w:tcBorders>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8" w:lineRule="exact"/>
        <w:rPr>
          <w:sz w:val="20"/>
          <w:szCs w:val="20"/>
          <w:color w:val="auto"/>
        </w:rPr>
      </w:pPr>
    </w:p>
    <w:p>
      <w:pPr>
        <w:ind w:left="320" w:hanging="317"/>
        <w:spacing w:after="0"/>
        <w:tabs>
          <w:tab w:leader="none" w:pos="320" w:val="left"/>
        </w:tabs>
        <w:numPr>
          <w:ilvl w:val="0"/>
          <w:numId w:val="56"/>
        </w:numPr>
        <w:rPr>
          <w:rFonts w:ascii="Arial" w:cs="Arial" w:eastAsia="Arial" w:hAnsi="Arial"/>
          <w:sz w:val="16"/>
          <w:szCs w:val="16"/>
          <w:color w:val="auto"/>
        </w:rPr>
      </w:pPr>
      <w:r>
        <w:rPr>
          <w:rFonts w:ascii="Arial" w:cs="Arial" w:eastAsia="Arial" w:hAnsi="Arial"/>
          <w:sz w:val="16"/>
          <w:szCs w:val="16"/>
          <w:color w:val="auto"/>
        </w:rPr>
        <w:t>Defined as the UPB of loans funded in the period.</w:t>
      </w:r>
    </w:p>
    <w:p>
      <w:pPr>
        <w:spacing w:after="0" w:line="8" w:lineRule="exact"/>
        <w:rPr>
          <w:rFonts w:ascii="Arial" w:cs="Arial" w:eastAsia="Arial" w:hAnsi="Arial"/>
          <w:sz w:val="16"/>
          <w:szCs w:val="16"/>
          <w:color w:val="auto"/>
        </w:rPr>
      </w:pPr>
    </w:p>
    <w:p>
      <w:pPr>
        <w:ind w:left="320" w:hanging="317"/>
        <w:spacing w:after="0" w:line="235" w:lineRule="auto"/>
        <w:tabs>
          <w:tab w:leader="none" w:pos="320" w:val="left"/>
        </w:tabs>
        <w:numPr>
          <w:ilvl w:val="0"/>
          <w:numId w:val="56"/>
        </w:numPr>
        <w:rPr>
          <w:rFonts w:ascii="Arial" w:cs="Arial" w:eastAsia="Arial" w:hAnsi="Arial"/>
          <w:sz w:val="16"/>
          <w:szCs w:val="16"/>
          <w:color w:val="auto"/>
        </w:rPr>
      </w:pPr>
      <w:r>
        <w:rPr>
          <w:rFonts w:ascii="Arial" w:cs="Arial" w:eastAsia="Arial" w:hAnsi="Arial"/>
          <w:sz w:val="16"/>
          <w:szCs w:val="16"/>
          <w:color w:val="auto"/>
        </w:rPr>
        <w:t>Ratio of origination gain and fees - see (3) below - to origination UPB. Note that the ratio includes gains or losses on interest rate lock commitments.</w:t>
      </w:r>
    </w:p>
    <w:p>
      <w:pPr>
        <w:jc w:val="both"/>
        <w:ind w:left="320" w:right="340" w:hanging="317"/>
        <w:spacing w:after="0" w:line="237" w:lineRule="auto"/>
        <w:tabs>
          <w:tab w:leader="none" w:pos="320" w:val="left"/>
        </w:tabs>
        <w:numPr>
          <w:ilvl w:val="0"/>
          <w:numId w:val="56"/>
        </w:numPr>
        <w:rPr>
          <w:rFonts w:ascii="Arial" w:cs="Arial" w:eastAsia="Arial" w:hAnsi="Arial"/>
          <w:sz w:val="16"/>
          <w:szCs w:val="16"/>
          <w:color w:val="auto"/>
        </w:rPr>
      </w:pPr>
      <w:r>
        <w:rPr>
          <w:rFonts w:ascii="Arial" w:cs="Arial" w:eastAsia="Arial" w:hAnsi="Arial"/>
          <w:sz w:val="16"/>
          <w:szCs w:val="16"/>
          <w:color w:val="auto"/>
        </w:rPr>
        <w:t>Includes gain on new origination, and loan fees and other. Includes non-cash gain on securitization of newly originated loans of $10.2 million and $21.3 million during the three and six months ended June 30, 2022, respectively, $11.1 million for the three months ended March 31, 2022, and $14.1 million during the six months ended June 30, 2021.</w:t>
      </w:r>
    </w:p>
    <w:p>
      <w:pPr>
        <w:spacing w:after="0" w:line="85"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We reported $16.4 million Originations Reverse mortgage revenue, net for the three months ended June 30, 2022, an $8.6 million, or 34% decrease as compared to the three months ended March 31, 2022. As detailed in the above table, the decrease is driven by a lower average margin and lower volume across the three channels. Our higher-margin reverse retail channel generated a net $4.7 million revenue decrease quarter over quarter due to the decline in volume as well as margin. The decrease in margin during the three months ended June 30, 2022 is primarily due to the increase in market interest rates and the widening of spreads during the second quarter of 2022.</w:t>
      </w:r>
    </w:p>
    <w:p>
      <w:pPr>
        <w:spacing w:after="0" w:line="74" w:lineRule="exact"/>
        <w:rPr>
          <w:sz w:val="20"/>
          <w:szCs w:val="20"/>
          <w:color w:val="auto"/>
        </w:rPr>
      </w:pPr>
    </w:p>
    <w:p>
      <w:pPr>
        <w:ind w:right="100"/>
        <w:spacing w:after="0" w:line="261" w:lineRule="auto"/>
        <w:rPr>
          <w:sz w:val="20"/>
          <w:szCs w:val="20"/>
          <w:color w:val="auto"/>
        </w:rPr>
      </w:pPr>
      <w:r>
        <w:rPr>
          <w:rFonts w:ascii="Arial" w:cs="Arial" w:eastAsia="Arial" w:hAnsi="Arial"/>
          <w:sz w:val="17"/>
          <w:szCs w:val="17"/>
          <w:color w:val="auto"/>
        </w:rPr>
        <w:t>As compared to the six months ended June 30, 2021, Reverse mortgage revenue, net for the six months ended June 30, 2022 increased $2.8 million, or 7%, The increase is primarily driven by an increase in volume in all three channels, offset by lower margins in all channels. The significant increase in the volume in all reverse channels was largely offset by a lower average margin mostly due to the increase in market interest rates in the second quarter of 2022 and higher level of yield spread widening observed in the market. Our higher-margin reverse Retail channel generated a net $5.7 million revenue increase in the six months ended June 30, 2022 as compared to the same period of 2021.</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Revenue, net</w:t>
      </w:r>
    </w:p>
    <w:p>
      <w:pPr>
        <w:spacing w:after="0" w:line="115" w:lineRule="exact"/>
        <w:rPr>
          <w:sz w:val="20"/>
          <w:szCs w:val="20"/>
          <w:color w:val="auto"/>
        </w:rPr>
      </w:pPr>
    </w:p>
    <w:p>
      <w:pPr>
        <w:ind w:right="180"/>
        <w:spacing w:after="0" w:line="263" w:lineRule="auto"/>
        <w:rPr>
          <w:sz w:val="20"/>
          <w:szCs w:val="20"/>
          <w:color w:val="auto"/>
        </w:rPr>
      </w:pPr>
      <w:r>
        <w:rPr>
          <w:rFonts w:ascii="Arial" w:cs="Arial" w:eastAsia="Arial" w:hAnsi="Arial"/>
          <w:sz w:val="17"/>
          <w:szCs w:val="17"/>
          <w:color w:val="auto"/>
        </w:rPr>
        <w:t>Other revenue for the three months ended June 30, 2022 was unchanged as compared to the three months ended March 31, 2022. As compared to the six months ended June 30, 2021, Other revenue for the six months ended June 30, 2022 declined $3.6 million, primarily due to a decline in setup fees earned for loans boarded on our servicing platform driven by the decrease in Consumer Direct origination volume as well as a decline in ancillary fee income related to MSR acquisitions.</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MSR Valuation Adjustments, Net</w:t>
      </w:r>
    </w:p>
    <w:p>
      <w:pPr>
        <w:spacing w:after="0" w:line="115"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MSR valuation adjustments, net for the three months ended June 30, 2022 increased $1.5 million as compared to the three months ended March 31, 2022 due to additional revaluation gains on certain MSRs opportunistically purchased through the Agency Cash Window programs, and flow purchases. As an aggregator of MSRs, we may purchase MSRs from smaller originators with a purchase price at a discount to fair value and we recognize valuation adjustments for differences in exit markets in accordance with the accounting fair value guidance. We record such valuation adjustments as MSR valuation adjustments, net within the Originations segment since the segment’s business objective is the sourcing of new MSRs at targeted returns. We transfer the MSR from the Originations segment to the Servicing segment at fair value.</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color w:val="auto"/>
        </w:rPr>
        <w:t>As compared to the six months ended June 30, 2021, MSR valuation adjustments, net for the six months ended June 30, 2022 decreased $13.6 million.</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Opportunities for fair value discount or margins were greater in the early period of the pandemic and have reduced as markets normalized.</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Operating Expenses</w:t>
      </w:r>
    </w:p>
    <w:p>
      <w:pPr>
        <w:spacing w:after="0" w:line="115" w:lineRule="exact"/>
        <w:rPr>
          <w:sz w:val="20"/>
          <w:szCs w:val="20"/>
          <w:color w:val="auto"/>
        </w:rPr>
      </w:pPr>
    </w:p>
    <w:p>
      <w:pPr>
        <w:ind w:right="240"/>
        <w:spacing w:after="0" w:line="263" w:lineRule="auto"/>
        <w:rPr>
          <w:sz w:val="20"/>
          <w:szCs w:val="20"/>
          <w:color w:val="auto"/>
        </w:rPr>
      </w:pPr>
      <w:r>
        <w:rPr>
          <w:rFonts w:ascii="Arial" w:cs="Arial" w:eastAsia="Arial" w:hAnsi="Arial"/>
          <w:sz w:val="17"/>
          <w:szCs w:val="17"/>
          <w:color w:val="auto"/>
        </w:rPr>
        <w:t>Operating expenses for the three months ended June 30, 2022 decreased $3.7 million, or 8%, as compared to the three months ended March 31, 2022, primarily due to a $3.9 million, or 14% decrease in Compensation and benefits that was mostly attributed to an 18% lower average total headcount. Forward Originations headcount, mostly Consumer Direct, declined in the three months ended June 30, 2022 by 23% as part of our efforts to right size our resources to market opportunities.</w:t>
      </w:r>
    </w:p>
    <w:p>
      <w:pPr>
        <w:spacing w:after="0" w:line="73" w:lineRule="exact"/>
        <w:rPr>
          <w:sz w:val="20"/>
          <w:szCs w:val="20"/>
          <w:color w:val="auto"/>
        </w:rPr>
      </w:pPr>
    </w:p>
    <w:p>
      <w:pPr>
        <w:ind w:right="120"/>
        <w:spacing w:after="0" w:line="283" w:lineRule="auto"/>
        <w:rPr>
          <w:sz w:val="20"/>
          <w:szCs w:val="20"/>
          <w:color w:val="auto"/>
        </w:rPr>
      </w:pPr>
      <w:r>
        <w:rPr>
          <w:rFonts w:ascii="Arial" w:cs="Arial" w:eastAsia="Arial" w:hAnsi="Arial"/>
          <w:sz w:val="17"/>
          <w:szCs w:val="17"/>
          <w:color w:val="auto"/>
        </w:rPr>
        <w:t>As compared to the six months ended June 30, 2021, Operating expenses for the six months ended June 30, 2022 increased $10.8 million, or 14%. Compensation and benefits increased $6.8 million, or 15% with a $4.3 million increase in salary and</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7" w:right="339" w:bottom="1440" w:gutter="0" w:footer="0" w:header="0"/>
        </w:sectPr>
      </w:pPr>
    </w:p>
    <w:bookmarkStart w:id="87" w:name="page88"/>
    <w:bookmarkEnd w:id="87"/>
    <w:p>
      <w:pPr>
        <w:ind w:right="100"/>
        <w:spacing w:after="0" w:line="274" w:lineRule="auto"/>
        <w:rPr>
          <w:sz w:val="20"/>
          <w:szCs w:val="20"/>
          <w:color w:val="auto"/>
        </w:rPr>
      </w:pPr>
      <w:r>
        <w:rPr>
          <w:rFonts w:ascii="Arial" w:cs="Arial" w:eastAsia="Arial" w:hAnsi="Arial"/>
          <w:sz w:val="16"/>
          <w:szCs w:val="16"/>
          <w:color w:val="auto"/>
        </w:rPr>
        <w:t>benefits due to increased headcount in both Forward and Reverse, a $2.4 million increase in commissions driven by higher Forward and Reverse origination volumes and a $2.1 million increase in severance expense, partially offset by a $1.5 million decline in incentive compensation and retention bonuses. The decline in incentive compensation and retention bonuses is primarily due to a decrease in the fair value of cash-settled share-based awards associated with the decrease in our common stock price at June 30, 2022 as compared to June 30, 2021, and a reduction in employee retentions during the six months ended June 30, 2022. Originations average total headcount increased 30% as compared to the six months ended June 30, 2021, reflecting an increase in loan production levels and the integration of the TCB correspondent lending resources in the second half of 2021. The offshore-to-total average headcount ratio for Originations increased from 34% for the six months ended June 30, 2021 to 45% for the six months ended June 30, 2022. Other operating expenses increased $4.0 million primarily due to increased volume and Originations business expansion, including a $2.0 million increase in advertising expense mostly attributed to Reverse Originations. The $1.0 million increase in Origination expense and $1.4 million increase in Technology and communications attributed to higher loan production volume is mostly offset by a $1.8 million decrease in Professional services, explained by outsourced surge resources utilized during the six months ended June 30, 2021 to support higher production volumes.</w:t>
      </w:r>
    </w:p>
    <w:p>
      <w:pPr>
        <w:spacing w:after="0" w:line="67" w:lineRule="exact"/>
        <w:rPr>
          <w:sz w:val="20"/>
          <w:szCs w:val="20"/>
          <w:color w:val="auto"/>
        </w:rPr>
      </w:pPr>
    </w:p>
    <w:p>
      <w:pPr>
        <w:ind w:right="220"/>
        <w:spacing w:after="0" w:line="268" w:lineRule="auto"/>
        <w:rPr>
          <w:sz w:val="20"/>
          <w:szCs w:val="20"/>
          <w:color w:val="auto"/>
        </w:rPr>
      </w:pPr>
      <w:r>
        <w:rPr>
          <w:rFonts w:ascii="Arial" w:cs="Arial" w:eastAsia="Arial" w:hAnsi="Arial"/>
          <w:sz w:val="17"/>
          <w:szCs w:val="17"/>
          <w:color w:val="auto"/>
        </w:rPr>
        <w:t>Certain other operating expenses are variable, and as a result, as origination volume increased or decreased so did the related expenses. Examples include credit reports, appraisals, settlement fees, and tax service fees recorded in Origination expenses or certain outsourced services including surge resources recorded in Professional services.</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Income (Expense)</w:t>
      </w:r>
    </w:p>
    <w:p>
      <w:pPr>
        <w:spacing w:after="0" w:line="115" w:lineRule="exact"/>
        <w:rPr>
          <w:sz w:val="20"/>
          <w:szCs w:val="20"/>
          <w:color w:val="auto"/>
        </w:rPr>
      </w:pPr>
    </w:p>
    <w:p>
      <w:pPr>
        <w:spacing w:after="0" w:line="298" w:lineRule="auto"/>
        <w:rPr>
          <w:sz w:val="20"/>
          <w:szCs w:val="20"/>
          <w:color w:val="auto"/>
        </w:rPr>
      </w:pPr>
      <w:r>
        <w:rPr>
          <w:rFonts w:ascii="Arial" w:cs="Arial" w:eastAsia="Arial" w:hAnsi="Arial"/>
          <w:sz w:val="15"/>
          <w:szCs w:val="15"/>
          <w:color w:val="auto"/>
        </w:rPr>
        <w:t>Interest income consists primarily of interest earned on newly-originated and purchased loans prior to sale to investors. Interest expense is incurred to finance the mortgage loans. We finance originated and purchased forward and reverse mortgage loans with repurchase and participation agreements, commonly referred to as warehouse lines. The increase in interest income and interest expense during the three months ended June 30, 2022 as compared to the three months ended March 31, 2022 is primarily the result of the increase in average held for sale loan and warehouse debt balances due to higher loan production volumes, and an increase in average interest rates driven by base rate increases. As compared to the six months ended June 30, 2021, interest income and interest expense for the six months ended June 30, 2022 increased primarily due to the increase in average held for sale loan and warehouse debt balances due to higher loan production volumes, offset in part by a decline in average interest rates driven by lower margins on warehouse lines across all asset fundings.</w:t>
      </w:r>
    </w:p>
    <w:p>
      <w:pPr>
        <w:spacing w:after="0" w:line="330"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CORPORATE ITEMS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84455</wp:posOffset>
            </wp:positionV>
            <wp:extent cx="712152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94" w:lineRule="exact"/>
        <w:rPr>
          <w:sz w:val="20"/>
          <w:szCs w:val="20"/>
          <w:color w:val="auto"/>
        </w:rPr>
      </w:pPr>
    </w:p>
    <w:p>
      <w:pPr>
        <w:ind w:right="180"/>
        <w:spacing w:after="0" w:line="275" w:lineRule="auto"/>
        <w:rPr>
          <w:sz w:val="20"/>
          <w:szCs w:val="20"/>
          <w:color w:val="auto"/>
        </w:rPr>
      </w:pPr>
      <w:r>
        <w:rPr>
          <w:rFonts w:ascii="Arial" w:cs="Arial" w:eastAsia="Arial" w:hAnsi="Arial"/>
          <w:sz w:val="16"/>
          <w:szCs w:val="16"/>
          <w:color w:val="auto"/>
        </w:rPr>
        <w:t>Corporate Items and Other includes revenues and expenses of corporate support services, our reinsurance business CRL, inactive entities, and our other business activities that are currently individually insignificant, revenues and expenses that are not directly related to other reportable segments, interest income on short-term investments of cash, gain or loss on repurchases of debt, interest expense on unallocated corporate debt and foreign currency exchange gains or losses. Interest expense on corporate debt is allocated to the Servicing segment and the Originations segment based on relative financing requirements. Effective in the first quarter of 2022, we no longer allocate the OFC Senior Secured Notes and related interest expense to the Servicing and Originations segments. Accordingly, the financing cost of the Servicing and Originations segments reflects and is consistent with the financing structure of the licensed entity PMC that carries out these businesses and does not depend on the financing structure strategy of its parent, as a holding company. Interest expense allocated to the Servicing and Originations segments for prior periods has been recast to conform to the current period presentation. The interest expense allocation adjustment for the six months ended June 30, 2021 is $7.4 million.</w:t>
      </w:r>
    </w:p>
    <w:p>
      <w:pPr>
        <w:spacing w:after="0" w:line="67" w:lineRule="exact"/>
        <w:rPr>
          <w:sz w:val="20"/>
          <w:szCs w:val="20"/>
          <w:color w:val="auto"/>
        </w:rPr>
      </w:pPr>
    </w:p>
    <w:p>
      <w:pPr>
        <w:ind w:right="100"/>
        <w:spacing w:after="0" w:line="304" w:lineRule="auto"/>
        <w:rPr>
          <w:sz w:val="20"/>
          <w:szCs w:val="20"/>
          <w:color w:val="auto"/>
        </w:rPr>
      </w:pPr>
      <w:r>
        <w:rPr>
          <w:rFonts w:ascii="Arial" w:cs="Arial" w:eastAsia="Arial" w:hAnsi="Arial"/>
          <w:sz w:val="15"/>
          <w:szCs w:val="15"/>
          <w:color w:val="auto"/>
        </w:rPr>
        <w:t>Corporate support services include finance, facilities, human resources, internal audit, legal, risk and compliance and technology functions. Certain expenses incurred by corporate support services are allocated to the Servicing and Originations segments using various methodologies intended to approximate the utilization of such services. Various measurements of utilization of corporate support services are maintained, primarily time studies, personnel volumes and service consumption levels. Support service costs not allocated to the Servicing and Originations segments are retained in the Corporate Items and Other segment along with certain other costs including certain litigation and settlement related expenses or recoveries, and other costs related to operating as a public company.</w:t>
      </w:r>
    </w:p>
    <w:p>
      <w:pPr>
        <w:spacing w:after="0" w:line="45" w:lineRule="exact"/>
        <w:rPr>
          <w:sz w:val="20"/>
          <w:szCs w:val="20"/>
          <w:color w:val="auto"/>
        </w:rPr>
      </w:pPr>
    </w:p>
    <w:p>
      <w:pPr>
        <w:ind w:right="60"/>
        <w:spacing w:after="0" w:line="300" w:lineRule="auto"/>
        <w:rPr>
          <w:sz w:val="20"/>
          <w:szCs w:val="20"/>
          <w:color w:val="auto"/>
        </w:rPr>
      </w:pPr>
      <w:r>
        <w:rPr>
          <w:rFonts w:ascii="Arial" w:cs="Arial" w:eastAsia="Arial" w:hAnsi="Arial"/>
          <w:sz w:val="15"/>
          <w:szCs w:val="15"/>
          <w:color w:val="auto"/>
        </w:rPr>
        <w:t>CRL, our wholly-owned captive reinsurance subsidiary, provides re-insurance related to coverage on REO properties owned or serviced by us. CRL assumes a quota share of REO insurance coverage written by a third-party insurer under a blanket policy issued to PMC. The underlying REO policy provides coverage for direct physical loss on commercial and residential properties, subject to certain limitations. Under the terms of the reinsurance agreement, CRL assumes a 60% quota share of premiums and all related losses and loss adjustment expenses incurred by the third-party insurer, effective March 2021, with a 50% quota through February 2021. The reinsurance agreement expires December 31, 2023, but may be terminated by either party at any time with six months advance written notice. The agreement will automatically renew for additional one-year terms unless either party provides 60 days advance written notice prior to renewal.</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7" w:right="339" w:bottom="1440" w:gutter="0" w:footer="0" w:header="0"/>
        </w:sectPr>
      </w:pPr>
    </w:p>
    <w:bookmarkStart w:id="88" w:name="page89"/>
    <w:bookmarkEnd w:id="88"/>
    <w:p>
      <w:pPr>
        <w:ind w:right="560"/>
        <w:spacing w:after="0" w:line="283" w:lineRule="auto"/>
        <w:rPr>
          <w:sz w:val="20"/>
          <w:szCs w:val="20"/>
          <w:color w:val="auto"/>
        </w:rPr>
      </w:pPr>
      <w:r>
        <w:rPr>
          <w:rFonts w:ascii="Arial" w:cs="Arial" w:eastAsia="Arial" w:hAnsi="Arial"/>
          <w:sz w:val="17"/>
          <w:szCs w:val="17"/>
          <w:color w:val="auto"/>
        </w:rPr>
        <w:t>The following table presents selected results of operations of Corporate Items and Other. The amounts presented are before the elimination of balances and transactions with our other segments: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600" w:type="dxa"/>
            <w:vAlign w:val="bottom"/>
            <w:tcBorders>
              <w:bottom w:val="single" w:sz="8" w:color="auto"/>
            </w:tcBorders>
            <w:gridSpan w:val="4"/>
          </w:tcPr>
          <w:p>
            <w:pPr>
              <w:jc w:val="right"/>
              <w:ind w:right="554"/>
              <w:spacing w:after="0"/>
              <w:rPr>
                <w:sz w:val="20"/>
                <w:szCs w:val="20"/>
                <w:color w:val="auto"/>
              </w:rPr>
            </w:pPr>
            <w:r>
              <w:rPr>
                <w:rFonts w:ascii="Arial" w:cs="Arial" w:eastAsia="Arial" w:hAnsi="Arial"/>
                <w:sz w:val="17"/>
                <w:szCs w:val="17"/>
                <w:b w:val="1"/>
                <w:bCs w:val="1"/>
                <w:color w:val="auto"/>
              </w:rPr>
              <w:t>Three Months Ended</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620" w:type="dxa"/>
            <w:vAlign w:val="bottom"/>
            <w:tcBorders>
              <w:bottom w:val="single" w:sz="8" w:color="auto"/>
            </w:tcBorders>
            <w:gridSpan w:val="4"/>
          </w:tcPr>
          <w:p>
            <w:pPr>
              <w:jc w:val="right"/>
              <w:ind w:right="654"/>
              <w:spacing w:after="0"/>
              <w:rPr>
                <w:sz w:val="20"/>
                <w:szCs w:val="20"/>
                <w:color w:val="auto"/>
              </w:rPr>
            </w:pPr>
            <w:r>
              <w:rPr>
                <w:rFonts w:ascii="Arial" w:cs="Arial" w:eastAsia="Arial" w:hAnsi="Arial"/>
                <w:sz w:val="17"/>
                <w:szCs w:val="17"/>
                <w:b w:val="1"/>
                <w:bCs w:val="1"/>
                <w:color w:val="auto"/>
              </w:rPr>
              <w:t>Six Months Ended</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ind w:left="140"/>
              <w:spacing w:after="0"/>
              <w:rPr>
                <w:sz w:val="20"/>
                <w:szCs w:val="20"/>
                <w:color w:val="auto"/>
              </w:rPr>
            </w:pPr>
            <w:r>
              <w:rPr>
                <w:rFonts w:ascii="Arial" w:cs="Arial" w:eastAsia="Arial" w:hAnsi="Arial"/>
                <w:sz w:val="17"/>
                <w:szCs w:val="17"/>
                <w:b w:val="1"/>
                <w:bCs w:val="1"/>
                <w:color w:val="auto"/>
              </w:rPr>
              <w:t>June 30,</w:t>
            </w:r>
          </w:p>
        </w:tc>
        <w:tc>
          <w:tcPr>
            <w:tcW w:w="220" w:type="dxa"/>
            <w:vAlign w:val="bottom"/>
          </w:tcPr>
          <w:p>
            <w:pPr>
              <w:spacing w:after="0"/>
              <w:rPr>
                <w:sz w:val="19"/>
                <w:szCs w:val="19"/>
                <w:color w:val="auto"/>
              </w:rPr>
            </w:pPr>
          </w:p>
        </w:tc>
        <w:tc>
          <w:tcPr>
            <w:tcW w:w="1160" w:type="dxa"/>
            <w:vAlign w:val="bottom"/>
          </w:tcPr>
          <w:p>
            <w:pPr>
              <w:jc w:val="right"/>
              <w:ind w:right="234"/>
              <w:spacing w:after="0"/>
              <w:rPr>
                <w:sz w:val="20"/>
                <w:szCs w:val="20"/>
                <w:color w:val="auto"/>
              </w:rPr>
            </w:pPr>
            <w:r>
              <w:rPr>
                <w:rFonts w:ascii="Arial" w:cs="Arial" w:eastAsia="Arial" w:hAnsi="Arial"/>
                <w:sz w:val="17"/>
                <w:szCs w:val="17"/>
                <w:b w:val="1"/>
                <w:bCs w:val="1"/>
                <w:color w:val="auto"/>
              </w:rPr>
              <w:t>March 31</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2"/>
          </w:tcPr>
          <w:p>
            <w:pPr>
              <w:ind w:left="140"/>
              <w:spacing w:after="0"/>
              <w:rPr>
                <w:sz w:val="20"/>
                <w:szCs w:val="20"/>
                <w:color w:val="auto"/>
              </w:rPr>
            </w:pPr>
            <w:r>
              <w:rPr>
                <w:rFonts w:ascii="Arial" w:cs="Arial" w:eastAsia="Arial" w:hAnsi="Arial"/>
                <w:sz w:val="17"/>
                <w:szCs w:val="17"/>
                <w:b w:val="1"/>
                <w:bCs w:val="1"/>
                <w:color w:val="auto"/>
              </w:rPr>
              <w:t>June 30,</w:t>
            </w:r>
          </w:p>
        </w:tc>
        <w:tc>
          <w:tcPr>
            <w:tcW w:w="240" w:type="dxa"/>
            <w:vAlign w:val="bottom"/>
          </w:tcPr>
          <w:p>
            <w:pPr>
              <w:spacing w:after="0"/>
              <w:rPr>
                <w:sz w:val="19"/>
                <w:szCs w:val="19"/>
                <w:color w:val="auto"/>
              </w:rPr>
            </w:pPr>
          </w:p>
        </w:tc>
        <w:tc>
          <w:tcPr>
            <w:tcW w:w="1140" w:type="dxa"/>
            <w:vAlign w:val="bottom"/>
          </w:tcPr>
          <w:p>
            <w:pPr>
              <w:jc w:val="right"/>
              <w:ind w:right="294"/>
              <w:spacing w:after="0"/>
              <w:rPr>
                <w:sz w:val="20"/>
                <w:szCs w:val="20"/>
                <w:color w:val="auto"/>
              </w:rPr>
            </w:pPr>
            <w:r>
              <w:rPr>
                <w:rFonts w:ascii="Arial" w:cs="Arial" w:eastAsia="Arial" w:hAnsi="Arial"/>
                <w:sz w:val="17"/>
                <w:szCs w:val="17"/>
                <w:b w:val="1"/>
                <w:bCs w:val="1"/>
                <w:color w:val="auto"/>
              </w:rPr>
              <w:t>June 30,</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3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434"/>
              <w:spacing w:after="0"/>
              <w:rPr>
                <w:sz w:val="20"/>
                <w:szCs w:val="20"/>
                <w:color w:val="auto"/>
              </w:rPr>
            </w:pPr>
            <w:r>
              <w:rPr>
                <w:rFonts w:ascii="Arial" w:cs="Arial" w:eastAsia="Arial" w:hAnsi="Arial"/>
                <w:sz w:val="17"/>
                <w:szCs w:val="17"/>
                <w:b w:val="1"/>
                <w:bCs w:val="1"/>
                <w:color w:val="auto"/>
              </w:rPr>
              <w:t>2022</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434"/>
              <w:spacing w:after="0"/>
              <w:rPr>
                <w:sz w:val="20"/>
                <w:szCs w:val="20"/>
                <w:color w:val="auto"/>
              </w:rPr>
            </w:pPr>
            <w:r>
              <w:rPr>
                <w:rFonts w:ascii="Arial" w:cs="Arial" w:eastAsia="Arial" w:hAnsi="Arial"/>
                <w:sz w:val="17"/>
                <w:szCs w:val="17"/>
                <w:b w:val="1"/>
                <w:bCs w:val="1"/>
                <w:color w:val="auto"/>
              </w:rPr>
              <w:t>2022</w:t>
            </w:r>
          </w:p>
        </w:tc>
        <w:tc>
          <w:tcPr>
            <w:tcW w:w="100" w:type="dxa"/>
            <w:vAlign w:val="bottom"/>
          </w:tcPr>
          <w:p>
            <w:pPr>
              <w:spacing w:after="0"/>
              <w:rPr>
                <w:sz w:val="21"/>
                <w:szCs w:val="21"/>
                <w:color w:val="auto"/>
              </w:rPr>
            </w:pPr>
          </w:p>
        </w:tc>
        <w:tc>
          <w:tcPr>
            <w:tcW w:w="1080" w:type="dxa"/>
            <w:vAlign w:val="bottom"/>
            <w:gridSpan w:val="2"/>
          </w:tcPr>
          <w:p>
            <w:pPr>
              <w:ind w:left="100"/>
              <w:spacing w:after="0"/>
              <w:rPr>
                <w:sz w:val="20"/>
                <w:szCs w:val="20"/>
                <w:color w:val="auto"/>
              </w:rPr>
            </w:pPr>
            <w:r>
              <w:rPr>
                <w:rFonts w:ascii="Arial" w:cs="Arial" w:eastAsia="Arial" w:hAnsi="Arial"/>
                <w:sz w:val="17"/>
                <w:szCs w:val="17"/>
                <w:b w:val="1"/>
                <w:bCs w:val="1"/>
                <w:color w:val="auto"/>
              </w:rPr>
              <w:t>% Change</w:t>
            </w:r>
          </w:p>
        </w:tc>
        <w:tc>
          <w:tcPr>
            <w:tcW w:w="240" w:type="dxa"/>
            <w:vAlign w:val="bottom"/>
          </w:tcPr>
          <w:p>
            <w:pPr>
              <w:spacing w:after="0"/>
              <w:rPr>
                <w:sz w:val="21"/>
                <w:szCs w:val="21"/>
                <w:color w:val="auto"/>
              </w:rPr>
            </w:pPr>
          </w:p>
        </w:tc>
        <w:tc>
          <w:tcPr>
            <w:tcW w:w="1140" w:type="dxa"/>
            <w:vAlign w:val="bottom"/>
          </w:tcPr>
          <w:p>
            <w:pPr>
              <w:jc w:val="right"/>
              <w:ind w:right="434"/>
              <w:spacing w:after="0"/>
              <w:rPr>
                <w:sz w:val="20"/>
                <w:szCs w:val="20"/>
                <w:color w:val="auto"/>
              </w:rPr>
            </w:pPr>
            <w:r>
              <w:rPr>
                <w:rFonts w:ascii="Arial" w:cs="Arial" w:eastAsia="Arial" w:hAnsi="Arial"/>
                <w:sz w:val="17"/>
                <w:szCs w:val="17"/>
                <w:b w:val="1"/>
                <w:bCs w:val="1"/>
                <w:color w:val="auto"/>
              </w:rPr>
              <w:t>2022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434"/>
              <w:spacing w:after="0"/>
              <w:rPr>
                <w:sz w:val="20"/>
                <w:szCs w:val="20"/>
                <w:color w:val="auto"/>
              </w:rPr>
            </w:pPr>
            <w:r>
              <w:rPr>
                <w:rFonts w:ascii="Arial" w:cs="Arial" w:eastAsia="Arial" w:hAnsi="Arial"/>
                <w:sz w:val="17"/>
                <w:szCs w:val="17"/>
                <w:b w:val="1"/>
                <w:bCs w:val="1"/>
                <w:color w:val="auto"/>
              </w:rPr>
              <w:t>2021</w:t>
            </w:r>
          </w:p>
        </w:tc>
        <w:tc>
          <w:tcPr>
            <w:tcW w:w="8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7"/>
                <w:szCs w:val="17"/>
                <w:b w:val="1"/>
                <w:bCs w:val="1"/>
                <w:color w:val="auto"/>
              </w:rPr>
              <w:t>% Change</w:t>
            </w:r>
          </w:p>
        </w:tc>
        <w:tc>
          <w:tcPr>
            <w:tcW w:w="0" w:type="dxa"/>
            <w:vAlign w:val="bottom"/>
          </w:tcPr>
          <w:p>
            <w:pPr>
              <w:spacing w:after="0"/>
              <w:rPr>
                <w:sz w:val="1"/>
                <w:szCs w:val="1"/>
                <w:color w:val="auto"/>
              </w:rPr>
            </w:pPr>
          </w:p>
        </w:tc>
      </w:tr>
      <w:tr>
        <w:trPr>
          <w:trHeight w:val="200"/>
        </w:trPr>
        <w:tc>
          <w:tcPr>
            <w:tcW w:w="3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Revenue</w:t>
            </w:r>
          </w:p>
        </w:tc>
        <w:tc>
          <w:tcPr>
            <w:tcW w:w="2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280" w:type="dxa"/>
            <w:vAlign w:val="bottom"/>
          </w:tcPr>
          <w:p>
            <w:pPr>
              <w:ind w:left="140"/>
              <w:spacing w:after="0"/>
              <w:rPr>
                <w:sz w:val="20"/>
                <w:szCs w:val="20"/>
                <w:color w:val="auto"/>
              </w:rPr>
            </w:pPr>
            <w:r>
              <w:rPr>
                <w:rFonts w:ascii="Arial" w:cs="Arial" w:eastAsia="Arial" w:hAnsi="Arial"/>
                <w:sz w:val="17"/>
                <w:szCs w:val="17"/>
                <w:color w:val="auto"/>
              </w:rPr>
              <w:t>Premiums (CRL)</w:t>
            </w: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ind w:right="134"/>
              <w:spacing w:after="0"/>
              <w:rPr>
                <w:sz w:val="20"/>
                <w:szCs w:val="20"/>
                <w:color w:val="auto"/>
              </w:rPr>
            </w:pPr>
            <w:r>
              <w:rPr>
                <w:rFonts w:ascii="Arial" w:cs="Arial" w:eastAsia="Arial" w:hAnsi="Arial"/>
                <w:sz w:val="17"/>
                <w:szCs w:val="17"/>
                <w:color w:val="auto"/>
              </w:rPr>
              <w:t>1.5</w:t>
            </w:r>
          </w:p>
        </w:tc>
        <w:tc>
          <w:tcPr>
            <w:tcW w:w="8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ind w:right="134"/>
              <w:spacing w:after="0"/>
              <w:rPr>
                <w:sz w:val="20"/>
                <w:szCs w:val="20"/>
                <w:color w:val="auto"/>
              </w:rPr>
            </w:pPr>
            <w:r>
              <w:rPr>
                <w:rFonts w:ascii="Arial" w:cs="Arial" w:eastAsia="Arial" w:hAnsi="Arial"/>
                <w:sz w:val="17"/>
                <w:szCs w:val="17"/>
                <w:color w:val="auto"/>
              </w:rPr>
              <w:t>1.7</w:t>
            </w: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(9)%</w:t>
            </w:r>
          </w:p>
        </w:tc>
        <w:tc>
          <w:tcPr>
            <w:tcW w:w="8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ind w:right="134"/>
              <w:spacing w:after="0"/>
              <w:rPr>
                <w:sz w:val="20"/>
                <w:szCs w:val="20"/>
                <w:color w:val="auto"/>
              </w:rPr>
            </w:pPr>
            <w:r>
              <w:rPr>
                <w:rFonts w:ascii="Arial" w:cs="Arial" w:eastAsia="Arial" w:hAnsi="Arial"/>
                <w:sz w:val="17"/>
                <w:szCs w:val="17"/>
                <w:color w:val="auto"/>
              </w:rPr>
              <w:t>3.2</w:t>
            </w:r>
          </w:p>
        </w:tc>
        <w:tc>
          <w:tcPr>
            <w:tcW w:w="10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ind w:right="134"/>
              <w:spacing w:after="0"/>
              <w:rPr>
                <w:sz w:val="20"/>
                <w:szCs w:val="20"/>
                <w:color w:val="auto"/>
              </w:rPr>
            </w:pPr>
            <w:r>
              <w:rPr>
                <w:rFonts w:ascii="Arial" w:cs="Arial" w:eastAsia="Arial" w:hAnsi="Arial"/>
                <w:sz w:val="17"/>
                <w:szCs w:val="17"/>
                <w:color w:val="auto"/>
              </w:rPr>
              <w:t>2.7</w:t>
            </w: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19 %</w:t>
            </w:r>
          </w:p>
        </w:tc>
        <w:tc>
          <w:tcPr>
            <w:tcW w:w="0" w:type="dxa"/>
            <w:vAlign w:val="bottom"/>
          </w:tcPr>
          <w:p>
            <w:pPr>
              <w:spacing w:after="0"/>
              <w:rPr>
                <w:sz w:val="1"/>
                <w:szCs w:val="1"/>
                <w:color w:val="auto"/>
              </w:rPr>
            </w:pPr>
          </w:p>
        </w:tc>
      </w:tr>
      <w:tr>
        <w:trPr>
          <w:trHeight w:val="220"/>
        </w:trPr>
        <w:tc>
          <w:tcPr>
            <w:tcW w:w="32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Other revenue</w:t>
            </w: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0.1</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0.1</w:t>
            </w:r>
          </w:p>
        </w:tc>
        <w:tc>
          <w:tcPr>
            <w:tcW w:w="1100" w:type="dxa"/>
            <w:vAlign w:val="bottom"/>
            <w:gridSpan w:val="2"/>
            <w:shd w:val="clear" w:color="auto" w:fill="CCEEFF"/>
          </w:tcPr>
          <w:p>
            <w:pPr>
              <w:jc w:val="right"/>
              <w:ind w:right="94"/>
              <w:spacing w:after="0"/>
              <w:rPr>
                <w:sz w:val="20"/>
                <w:szCs w:val="20"/>
                <w:color w:val="auto"/>
              </w:rPr>
            </w:pPr>
            <w:r>
              <w:rPr>
                <w:rFonts w:ascii="Arial" w:cs="Arial" w:eastAsia="Arial" w:hAnsi="Arial"/>
                <w:sz w:val="17"/>
                <w:szCs w:val="17"/>
                <w:color w:val="auto"/>
              </w:rPr>
              <w:t>(14)</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0.3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0.1</w:t>
            </w:r>
          </w:p>
        </w:tc>
        <w:tc>
          <w:tcPr>
            <w:tcW w:w="1080" w:type="dxa"/>
            <w:vAlign w:val="bottom"/>
            <w:gridSpan w:val="2"/>
            <w:shd w:val="clear" w:color="auto" w:fill="CCEEFF"/>
          </w:tcPr>
          <w:p>
            <w:pPr>
              <w:jc w:val="right"/>
              <w:ind w:right="114"/>
              <w:spacing w:after="0"/>
              <w:rPr>
                <w:sz w:val="20"/>
                <w:szCs w:val="20"/>
                <w:color w:val="auto"/>
              </w:rPr>
            </w:pPr>
            <w:r>
              <w:rPr>
                <w:rFonts w:ascii="Arial" w:cs="Arial" w:eastAsia="Arial" w:hAnsi="Arial"/>
                <w:sz w:val="17"/>
                <w:szCs w:val="17"/>
                <w:color w:val="auto"/>
              </w:rPr>
              <w:t>98</w:t>
            </w:r>
          </w:p>
        </w:tc>
        <w:tc>
          <w:tcPr>
            <w:tcW w:w="0" w:type="dxa"/>
            <w:vAlign w:val="bottom"/>
          </w:tcPr>
          <w:p>
            <w:pPr>
              <w:spacing w:after="0"/>
              <w:rPr>
                <w:sz w:val="1"/>
                <w:szCs w:val="1"/>
                <w:color w:val="auto"/>
              </w:rPr>
            </w:pPr>
          </w:p>
        </w:tc>
      </w:tr>
      <w:tr>
        <w:trPr>
          <w:trHeight w:val="213"/>
        </w:trPr>
        <w:tc>
          <w:tcPr>
            <w:tcW w:w="328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Total revenue</w:t>
            </w: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1.6</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1.8</w:t>
            </w:r>
          </w:p>
        </w:tc>
        <w:tc>
          <w:tcPr>
            <w:tcW w:w="1100" w:type="dxa"/>
            <w:vAlign w:val="bottom"/>
            <w:tcBorders>
              <w:bottom w:val="single" w:sz="8" w:color="CCEEFF"/>
            </w:tcBorders>
            <w:gridSpan w:val="2"/>
          </w:tcPr>
          <w:p>
            <w:pPr>
              <w:jc w:val="right"/>
              <w:ind w:right="94"/>
              <w:spacing w:after="0"/>
              <w:rPr>
                <w:sz w:val="20"/>
                <w:szCs w:val="20"/>
                <w:color w:val="auto"/>
              </w:rPr>
            </w:pPr>
            <w:r>
              <w:rPr>
                <w:rFonts w:ascii="Arial" w:cs="Arial" w:eastAsia="Arial" w:hAnsi="Arial"/>
                <w:sz w:val="17"/>
                <w:szCs w:val="17"/>
                <w:color w:val="auto"/>
              </w:rPr>
              <w:t>(10)</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3.4</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2.8</w:t>
            </w:r>
          </w:p>
        </w:tc>
        <w:tc>
          <w:tcPr>
            <w:tcW w:w="1080" w:type="dxa"/>
            <w:vAlign w:val="bottom"/>
            <w:tcBorders>
              <w:bottom w:val="single" w:sz="8" w:color="CCEEFF"/>
            </w:tcBorders>
            <w:gridSpan w:val="2"/>
          </w:tcPr>
          <w:p>
            <w:pPr>
              <w:jc w:val="right"/>
              <w:ind w:right="114"/>
              <w:spacing w:after="0"/>
              <w:rPr>
                <w:sz w:val="20"/>
                <w:szCs w:val="20"/>
                <w:color w:val="auto"/>
              </w:rPr>
            </w:pPr>
            <w:r>
              <w:rPr>
                <w:rFonts w:ascii="Arial" w:cs="Arial" w:eastAsia="Arial" w:hAnsi="Arial"/>
                <w:sz w:val="17"/>
                <w:szCs w:val="17"/>
                <w:color w:val="auto"/>
              </w:rPr>
              <w:t>23</w:t>
            </w:r>
          </w:p>
        </w:tc>
        <w:tc>
          <w:tcPr>
            <w:tcW w:w="0" w:type="dxa"/>
            <w:vAlign w:val="bottom"/>
          </w:tcPr>
          <w:p>
            <w:pPr>
              <w:spacing w:after="0"/>
              <w:rPr>
                <w:sz w:val="1"/>
                <w:szCs w:val="1"/>
                <w:color w:val="auto"/>
              </w:rPr>
            </w:pPr>
          </w:p>
        </w:tc>
      </w:tr>
      <w:tr>
        <w:trPr>
          <w:trHeight w:val="135"/>
        </w:trPr>
        <w:tc>
          <w:tcPr>
            <w:tcW w:w="32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20"/>
        </w:trPr>
        <w:tc>
          <w:tcPr>
            <w:tcW w:w="3280" w:type="dxa"/>
            <w:vAlign w:val="bottom"/>
          </w:tcPr>
          <w:p>
            <w:pPr>
              <w:ind w:left="20"/>
              <w:spacing w:after="0"/>
              <w:rPr>
                <w:sz w:val="20"/>
                <w:szCs w:val="20"/>
                <w:color w:val="auto"/>
              </w:rPr>
            </w:pPr>
            <w:r>
              <w:rPr>
                <w:rFonts w:ascii="Arial" w:cs="Arial" w:eastAsia="Arial" w:hAnsi="Arial"/>
                <w:sz w:val="17"/>
                <w:szCs w:val="17"/>
                <w:b w:val="1"/>
                <w:bCs w:val="1"/>
                <w:color w:val="auto"/>
              </w:rPr>
              <w:t>Operating expenses</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2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Compensation and benefits</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24.4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10.5</w:t>
            </w:r>
          </w:p>
        </w:tc>
        <w:tc>
          <w:tcPr>
            <w:tcW w:w="1100" w:type="dxa"/>
            <w:vAlign w:val="bottom"/>
            <w:gridSpan w:val="2"/>
            <w:shd w:val="clear" w:color="auto" w:fill="CCEEFF"/>
          </w:tcPr>
          <w:p>
            <w:pPr>
              <w:jc w:val="right"/>
              <w:ind w:right="134"/>
              <w:spacing w:after="0"/>
              <w:rPr>
                <w:sz w:val="20"/>
                <w:szCs w:val="20"/>
                <w:color w:val="auto"/>
              </w:rPr>
            </w:pPr>
            <w:r>
              <w:rPr>
                <w:rFonts w:ascii="Arial" w:cs="Arial" w:eastAsia="Arial" w:hAnsi="Arial"/>
                <w:sz w:val="17"/>
                <w:szCs w:val="17"/>
                <w:color w:val="auto"/>
              </w:rPr>
              <w:t>132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34.9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43.1</w:t>
            </w:r>
          </w:p>
        </w:tc>
        <w:tc>
          <w:tcPr>
            <w:tcW w:w="108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(19)</w:t>
            </w:r>
          </w:p>
        </w:tc>
        <w:tc>
          <w:tcPr>
            <w:tcW w:w="0" w:type="dxa"/>
            <w:vAlign w:val="bottom"/>
          </w:tcPr>
          <w:p>
            <w:pPr>
              <w:spacing w:after="0"/>
              <w:rPr>
                <w:sz w:val="1"/>
                <w:szCs w:val="1"/>
                <w:color w:val="auto"/>
              </w:rPr>
            </w:pPr>
          </w:p>
        </w:tc>
      </w:tr>
      <w:tr>
        <w:trPr>
          <w:trHeight w:val="220"/>
        </w:trPr>
        <w:tc>
          <w:tcPr>
            <w:tcW w:w="3280" w:type="dxa"/>
            <w:vAlign w:val="bottom"/>
          </w:tcPr>
          <w:p>
            <w:pPr>
              <w:ind w:left="140"/>
              <w:spacing w:after="0"/>
              <w:rPr>
                <w:sz w:val="20"/>
                <w:szCs w:val="20"/>
                <w:color w:val="auto"/>
              </w:rPr>
            </w:pPr>
            <w:r>
              <w:rPr>
                <w:rFonts w:ascii="Arial" w:cs="Arial" w:eastAsia="Arial" w:hAnsi="Arial"/>
                <w:sz w:val="17"/>
                <w:szCs w:val="17"/>
                <w:color w:val="auto"/>
              </w:rPr>
              <w:t>Professional services</w:t>
            </w:r>
          </w:p>
        </w:tc>
        <w:tc>
          <w:tcPr>
            <w:tcW w:w="240" w:type="dxa"/>
            <w:vAlign w:val="bottom"/>
          </w:tcPr>
          <w:p>
            <w:pPr>
              <w:spacing w:after="0"/>
              <w:rPr>
                <w:sz w:val="19"/>
                <w:szCs w:val="19"/>
                <w:color w:val="auto"/>
              </w:rPr>
            </w:pPr>
          </w:p>
        </w:tc>
        <w:tc>
          <w:tcPr>
            <w:tcW w:w="1140" w:type="dxa"/>
            <w:vAlign w:val="bottom"/>
          </w:tcPr>
          <w:p>
            <w:pPr>
              <w:jc w:val="right"/>
              <w:ind w:right="134"/>
              <w:spacing w:after="0"/>
              <w:rPr>
                <w:sz w:val="20"/>
                <w:szCs w:val="20"/>
                <w:color w:val="auto"/>
              </w:rPr>
            </w:pPr>
            <w:r>
              <w:rPr>
                <w:rFonts w:ascii="Arial" w:cs="Arial" w:eastAsia="Arial" w:hAnsi="Arial"/>
                <w:sz w:val="17"/>
                <w:szCs w:val="17"/>
                <w:color w:val="auto"/>
              </w:rPr>
              <w:t>3.8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ind w:right="134"/>
              <w:spacing w:after="0"/>
              <w:rPr>
                <w:sz w:val="20"/>
                <w:szCs w:val="20"/>
                <w:color w:val="auto"/>
              </w:rPr>
            </w:pPr>
            <w:r>
              <w:rPr>
                <w:rFonts w:ascii="Arial" w:cs="Arial" w:eastAsia="Arial" w:hAnsi="Arial"/>
                <w:sz w:val="17"/>
                <w:szCs w:val="17"/>
                <w:color w:val="auto"/>
              </w:rPr>
              <w:t>3.6</w:t>
            </w:r>
          </w:p>
        </w:tc>
        <w:tc>
          <w:tcPr>
            <w:tcW w:w="1100" w:type="dxa"/>
            <w:vAlign w:val="bottom"/>
            <w:gridSpan w:val="2"/>
          </w:tcPr>
          <w:p>
            <w:pPr>
              <w:jc w:val="right"/>
              <w:ind w:right="134"/>
              <w:spacing w:after="0"/>
              <w:rPr>
                <w:sz w:val="20"/>
                <w:szCs w:val="20"/>
                <w:color w:val="auto"/>
              </w:rPr>
            </w:pPr>
            <w:r>
              <w:rPr>
                <w:rFonts w:ascii="Arial" w:cs="Arial" w:eastAsia="Arial" w:hAnsi="Arial"/>
                <w:sz w:val="17"/>
                <w:szCs w:val="17"/>
                <w:color w:val="auto"/>
              </w:rPr>
              <w:t>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ind w:right="134"/>
              <w:spacing w:after="0"/>
              <w:rPr>
                <w:sz w:val="20"/>
                <w:szCs w:val="20"/>
                <w:color w:val="auto"/>
              </w:rPr>
            </w:pPr>
            <w:r>
              <w:rPr>
                <w:rFonts w:ascii="Arial" w:cs="Arial" w:eastAsia="Arial" w:hAnsi="Arial"/>
                <w:sz w:val="17"/>
                <w:szCs w:val="17"/>
                <w:color w:val="auto"/>
              </w:rPr>
              <w:t>7.4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ind w:right="134"/>
              <w:spacing w:after="0"/>
              <w:rPr>
                <w:sz w:val="20"/>
                <w:szCs w:val="20"/>
                <w:color w:val="auto"/>
              </w:rPr>
            </w:pPr>
            <w:r>
              <w:rPr>
                <w:rFonts w:ascii="Arial" w:cs="Arial" w:eastAsia="Arial" w:hAnsi="Arial"/>
                <w:sz w:val="17"/>
                <w:szCs w:val="17"/>
                <w:color w:val="auto"/>
              </w:rPr>
              <w:t>20.4</w:t>
            </w:r>
          </w:p>
        </w:tc>
        <w:tc>
          <w:tcPr>
            <w:tcW w:w="1080" w:type="dxa"/>
            <w:vAlign w:val="bottom"/>
            <w:gridSpan w:val="2"/>
          </w:tcPr>
          <w:p>
            <w:pPr>
              <w:jc w:val="right"/>
              <w:ind w:right="74"/>
              <w:spacing w:after="0"/>
              <w:rPr>
                <w:sz w:val="20"/>
                <w:szCs w:val="20"/>
                <w:color w:val="auto"/>
              </w:rPr>
            </w:pPr>
            <w:r>
              <w:rPr>
                <w:rFonts w:ascii="Arial" w:cs="Arial" w:eastAsia="Arial" w:hAnsi="Arial"/>
                <w:sz w:val="17"/>
                <w:szCs w:val="17"/>
                <w:color w:val="auto"/>
              </w:rPr>
              <w:t>(64)</w:t>
            </w:r>
          </w:p>
        </w:tc>
        <w:tc>
          <w:tcPr>
            <w:tcW w:w="0" w:type="dxa"/>
            <w:vAlign w:val="bottom"/>
          </w:tcPr>
          <w:p>
            <w:pPr>
              <w:spacing w:after="0"/>
              <w:rPr>
                <w:sz w:val="1"/>
                <w:szCs w:val="1"/>
                <w:color w:val="auto"/>
              </w:rPr>
            </w:pPr>
          </w:p>
        </w:tc>
      </w:tr>
      <w:tr>
        <w:trPr>
          <w:trHeight w:val="220"/>
        </w:trPr>
        <w:tc>
          <w:tcPr>
            <w:tcW w:w="32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Technology and communications</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5.5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5.9</w:t>
            </w:r>
          </w:p>
        </w:tc>
        <w:tc>
          <w:tcPr>
            <w:tcW w:w="1100" w:type="dxa"/>
            <w:vAlign w:val="bottom"/>
            <w:gridSpan w:val="2"/>
            <w:shd w:val="clear" w:color="auto" w:fill="CCEEFF"/>
          </w:tcPr>
          <w:p>
            <w:pPr>
              <w:jc w:val="right"/>
              <w:ind w:right="94"/>
              <w:spacing w:after="0"/>
              <w:rPr>
                <w:sz w:val="20"/>
                <w:szCs w:val="20"/>
                <w:color w:val="auto"/>
              </w:rPr>
            </w:pPr>
            <w:r>
              <w:rPr>
                <w:rFonts w:ascii="Arial" w:cs="Arial" w:eastAsia="Arial" w:hAnsi="Arial"/>
                <w:sz w:val="17"/>
                <w:szCs w:val="17"/>
                <w:color w:val="auto"/>
              </w:rPr>
              <w:t>(6)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11.4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11.5</w:t>
            </w:r>
          </w:p>
        </w:tc>
        <w:tc>
          <w:tcPr>
            <w:tcW w:w="108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20"/>
        </w:trPr>
        <w:tc>
          <w:tcPr>
            <w:tcW w:w="3280" w:type="dxa"/>
            <w:vAlign w:val="bottom"/>
          </w:tcPr>
          <w:p>
            <w:pPr>
              <w:ind w:left="140"/>
              <w:spacing w:after="0"/>
              <w:rPr>
                <w:sz w:val="20"/>
                <w:szCs w:val="20"/>
                <w:color w:val="auto"/>
              </w:rPr>
            </w:pPr>
            <w:r>
              <w:rPr>
                <w:rFonts w:ascii="Arial" w:cs="Arial" w:eastAsia="Arial" w:hAnsi="Arial"/>
                <w:sz w:val="17"/>
                <w:szCs w:val="17"/>
                <w:color w:val="auto"/>
              </w:rPr>
              <w:t>Occupancy and equipment</w:t>
            </w:r>
          </w:p>
        </w:tc>
        <w:tc>
          <w:tcPr>
            <w:tcW w:w="240" w:type="dxa"/>
            <w:vAlign w:val="bottom"/>
          </w:tcPr>
          <w:p>
            <w:pPr>
              <w:spacing w:after="0"/>
              <w:rPr>
                <w:sz w:val="19"/>
                <w:szCs w:val="19"/>
                <w:color w:val="auto"/>
              </w:rPr>
            </w:pPr>
          </w:p>
        </w:tc>
        <w:tc>
          <w:tcPr>
            <w:tcW w:w="1140" w:type="dxa"/>
            <w:vAlign w:val="bottom"/>
          </w:tcPr>
          <w:p>
            <w:pPr>
              <w:jc w:val="right"/>
              <w:ind w:right="134"/>
              <w:spacing w:after="0"/>
              <w:rPr>
                <w:sz w:val="20"/>
                <w:szCs w:val="20"/>
                <w:color w:val="auto"/>
              </w:rPr>
            </w:pPr>
            <w:r>
              <w:rPr>
                <w:rFonts w:ascii="Arial" w:cs="Arial" w:eastAsia="Arial" w:hAnsi="Arial"/>
                <w:sz w:val="17"/>
                <w:szCs w:val="17"/>
                <w:color w:val="auto"/>
              </w:rPr>
              <w:t>0.6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ind w:right="134"/>
              <w:spacing w:after="0"/>
              <w:rPr>
                <w:sz w:val="20"/>
                <w:szCs w:val="20"/>
                <w:color w:val="auto"/>
              </w:rPr>
            </w:pPr>
            <w:r>
              <w:rPr>
                <w:rFonts w:ascii="Arial" w:cs="Arial" w:eastAsia="Arial" w:hAnsi="Arial"/>
                <w:sz w:val="17"/>
                <w:szCs w:val="17"/>
                <w:color w:val="auto"/>
              </w:rPr>
              <w:t>0.6</w:t>
            </w:r>
          </w:p>
        </w:tc>
        <w:tc>
          <w:tcPr>
            <w:tcW w:w="1100" w:type="dxa"/>
            <w:vAlign w:val="bottom"/>
            <w:gridSpan w:val="2"/>
          </w:tcPr>
          <w:p>
            <w:pPr>
              <w:jc w:val="right"/>
              <w:ind w:right="134"/>
              <w:spacing w:after="0"/>
              <w:rPr>
                <w:sz w:val="20"/>
                <w:szCs w:val="20"/>
                <w:color w:val="auto"/>
              </w:rPr>
            </w:pPr>
            <w:r>
              <w:rPr>
                <w:rFonts w:ascii="Arial" w:cs="Arial" w:eastAsia="Arial" w:hAnsi="Arial"/>
                <w:sz w:val="17"/>
                <w:szCs w:val="17"/>
                <w:color w:val="auto"/>
              </w:rPr>
              <w:t>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ind w:right="134"/>
              <w:spacing w:after="0"/>
              <w:rPr>
                <w:sz w:val="20"/>
                <w:szCs w:val="20"/>
                <w:color w:val="auto"/>
              </w:rPr>
            </w:pPr>
            <w:r>
              <w:rPr>
                <w:rFonts w:ascii="Arial" w:cs="Arial" w:eastAsia="Arial" w:hAnsi="Arial"/>
                <w:sz w:val="17"/>
                <w:szCs w:val="17"/>
                <w:color w:val="auto"/>
              </w:rPr>
              <w:t>1.2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ind w:right="134"/>
              <w:spacing w:after="0"/>
              <w:rPr>
                <w:sz w:val="20"/>
                <w:szCs w:val="20"/>
                <w:color w:val="auto"/>
              </w:rPr>
            </w:pPr>
            <w:r>
              <w:rPr>
                <w:rFonts w:ascii="Arial" w:cs="Arial" w:eastAsia="Arial" w:hAnsi="Arial"/>
                <w:sz w:val="17"/>
                <w:szCs w:val="17"/>
                <w:color w:val="auto"/>
              </w:rPr>
              <w:t>1.6</w:t>
            </w:r>
          </w:p>
        </w:tc>
        <w:tc>
          <w:tcPr>
            <w:tcW w:w="1080" w:type="dxa"/>
            <w:vAlign w:val="bottom"/>
            <w:gridSpan w:val="2"/>
          </w:tcPr>
          <w:p>
            <w:pPr>
              <w:jc w:val="right"/>
              <w:ind w:right="74"/>
              <w:spacing w:after="0"/>
              <w:rPr>
                <w:sz w:val="20"/>
                <w:szCs w:val="20"/>
                <w:color w:val="auto"/>
              </w:rPr>
            </w:pPr>
            <w:r>
              <w:rPr>
                <w:rFonts w:ascii="Arial" w:cs="Arial" w:eastAsia="Arial" w:hAnsi="Arial"/>
                <w:sz w:val="17"/>
                <w:szCs w:val="17"/>
                <w:color w:val="auto"/>
              </w:rPr>
              <w:t>(21)</w:t>
            </w:r>
          </w:p>
        </w:tc>
        <w:tc>
          <w:tcPr>
            <w:tcW w:w="0" w:type="dxa"/>
            <w:vAlign w:val="bottom"/>
          </w:tcPr>
          <w:p>
            <w:pPr>
              <w:spacing w:after="0"/>
              <w:rPr>
                <w:sz w:val="1"/>
                <w:szCs w:val="1"/>
                <w:color w:val="auto"/>
              </w:rPr>
            </w:pPr>
          </w:p>
        </w:tc>
      </w:tr>
      <w:tr>
        <w:trPr>
          <w:trHeight w:val="220"/>
        </w:trPr>
        <w:tc>
          <w:tcPr>
            <w:tcW w:w="32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Servicing and origination</w:t>
            </w:r>
          </w:p>
        </w:tc>
        <w:tc>
          <w:tcPr>
            <w:tcW w:w="2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(0.2)</w:t>
            </w:r>
          </w:p>
        </w:tc>
        <w:tc>
          <w:tcPr>
            <w:tcW w:w="1100" w:type="dxa"/>
            <w:vAlign w:val="bottom"/>
            <w:gridSpan w:val="2"/>
            <w:shd w:val="clear" w:color="auto" w:fill="CCEEFF"/>
          </w:tcPr>
          <w:p>
            <w:pPr>
              <w:jc w:val="right"/>
              <w:ind w:right="94"/>
              <w:spacing w:after="0"/>
              <w:rPr>
                <w:sz w:val="20"/>
                <w:szCs w:val="20"/>
                <w:color w:val="auto"/>
              </w:rPr>
            </w:pPr>
            <w:r>
              <w:rPr>
                <w:rFonts w:ascii="Arial" w:cs="Arial" w:eastAsia="Arial" w:hAnsi="Arial"/>
                <w:sz w:val="17"/>
                <w:szCs w:val="17"/>
                <w:color w:val="auto"/>
              </w:rPr>
              <w:t>(72)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(0.2)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0.6</w:t>
            </w:r>
          </w:p>
        </w:tc>
        <w:tc>
          <w:tcPr>
            <w:tcW w:w="108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(134)</w:t>
            </w:r>
          </w:p>
        </w:tc>
        <w:tc>
          <w:tcPr>
            <w:tcW w:w="0" w:type="dxa"/>
            <w:vAlign w:val="bottom"/>
          </w:tcPr>
          <w:p>
            <w:pPr>
              <w:spacing w:after="0"/>
              <w:rPr>
                <w:sz w:val="1"/>
                <w:szCs w:val="1"/>
                <w:color w:val="auto"/>
              </w:rPr>
            </w:pPr>
          </w:p>
        </w:tc>
      </w:tr>
      <w:tr>
        <w:trPr>
          <w:trHeight w:val="220"/>
        </w:trPr>
        <w:tc>
          <w:tcPr>
            <w:tcW w:w="328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Other expenses</w:t>
            </w: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2.2</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2.5</w:t>
            </w:r>
          </w:p>
        </w:tc>
        <w:tc>
          <w:tcPr>
            <w:tcW w:w="1100" w:type="dxa"/>
            <w:vAlign w:val="bottom"/>
            <w:tcBorders>
              <w:bottom w:val="single" w:sz="8" w:color="CCEEFF"/>
            </w:tcBorders>
            <w:gridSpan w:val="2"/>
          </w:tcPr>
          <w:p>
            <w:pPr>
              <w:jc w:val="right"/>
              <w:ind w:right="94"/>
              <w:spacing w:after="0"/>
              <w:rPr>
                <w:sz w:val="20"/>
                <w:szCs w:val="20"/>
                <w:color w:val="auto"/>
              </w:rPr>
            </w:pPr>
            <w:r>
              <w:rPr>
                <w:rFonts w:ascii="Arial" w:cs="Arial" w:eastAsia="Arial" w:hAnsi="Arial"/>
                <w:sz w:val="17"/>
                <w:szCs w:val="17"/>
                <w:color w:val="auto"/>
              </w:rPr>
              <w:t>(10)</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4.7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2.3</w:t>
            </w:r>
          </w:p>
        </w:tc>
        <w:tc>
          <w:tcPr>
            <w:tcW w:w="1080" w:type="dxa"/>
            <w:vAlign w:val="bottom"/>
            <w:tcBorders>
              <w:bottom w:val="single" w:sz="8" w:color="CCEEFF"/>
            </w:tcBorders>
            <w:gridSpan w:val="2"/>
          </w:tcPr>
          <w:p>
            <w:pPr>
              <w:jc w:val="right"/>
              <w:ind w:right="114"/>
              <w:spacing w:after="0"/>
              <w:rPr>
                <w:sz w:val="20"/>
                <w:szCs w:val="20"/>
                <w:color w:val="auto"/>
              </w:rPr>
            </w:pPr>
            <w:r>
              <w:rPr>
                <w:rFonts w:ascii="Arial" w:cs="Arial" w:eastAsia="Arial" w:hAnsi="Arial"/>
                <w:sz w:val="17"/>
                <w:szCs w:val="17"/>
                <w:color w:val="auto"/>
              </w:rPr>
              <w:t>104</w:t>
            </w:r>
          </w:p>
        </w:tc>
        <w:tc>
          <w:tcPr>
            <w:tcW w:w="0" w:type="dxa"/>
            <w:vAlign w:val="bottom"/>
          </w:tcPr>
          <w:p>
            <w:pPr>
              <w:spacing w:after="0"/>
              <w:rPr>
                <w:sz w:val="1"/>
                <w:szCs w:val="1"/>
                <w:color w:val="auto"/>
              </w:rPr>
            </w:pPr>
          </w:p>
        </w:tc>
      </w:tr>
      <w:tr>
        <w:trPr>
          <w:trHeight w:val="148"/>
        </w:trPr>
        <w:tc>
          <w:tcPr>
            <w:tcW w:w="3280" w:type="dxa"/>
            <w:vAlign w:val="bottom"/>
            <w:shd w:val="clear" w:color="auto" w:fill="CCEEFF"/>
          </w:tcPr>
          <w:p>
            <w:pPr>
              <w:ind w:left="200"/>
              <w:spacing w:after="0" w:line="149" w:lineRule="exact"/>
              <w:rPr>
                <w:sz w:val="20"/>
                <w:szCs w:val="20"/>
                <w:color w:val="auto"/>
              </w:rPr>
            </w:pPr>
            <w:r>
              <w:rPr>
                <w:rFonts w:ascii="Arial" w:cs="Arial" w:eastAsia="Arial" w:hAnsi="Arial"/>
                <w:sz w:val="17"/>
                <w:szCs w:val="17"/>
                <w:color w:val="auto"/>
                <w:w w:val="95"/>
              </w:rPr>
              <w:t>Total operating expenses before corporate</w:t>
            </w:r>
          </w:p>
        </w:tc>
        <w:tc>
          <w:tcPr>
            <w:tcW w:w="240" w:type="dxa"/>
            <w:vAlign w:val="bottom"/>
            <w:shd w:val="clear" w:color="auto" w:fill="CCEEFF"/>
          </w:tcPr>
          <w:p>
            <w:pPr>
              <w:spacing w:after="0"/>
              <w:rPr>
                <w:sz w:val="12"/>
                <w:szCs w:val="12"/>
                <w:color w:val="auto"/>
              </w:rPr>
            </w:pPr>
          </w:p>
        </w:tc>
        <w:tc>
          <w:tcPr>
            <w:tcW w:w="1140" w:type="dxa"/>
            <w:vAlign w:val="bottom"/>
            <w:vMerge w:val="restart"/>
            <w:shd w:val="clear" w:color="auto" w:fill="CCEEFF"/>
          </w:tcPr>
          <w:p>
            <w:pPr>
              <w:jc w:val="right"/>
              <w:ind w:right="134"/>
              <w:spacing w:after="0"/>
              <w:rPr>
                <w:sz w:val="20"/>
                <w:szCs w:val="20"/>
                <w:color w:val="auto"/>
              </w:rPr>
            </w:pPr>
            <w:r>
              <w:rPr>
                <w:rFonts w:ascii="Arial" w:cs="Arial" w:eastAsia="Arial" w:hAnsi="Arial"/>
                <w:sz w:val="17"/>
                <w:szCs w:val="17"/>
                <w:color w:val="auto"/>
              </w:rPr>
              <w:t>36.5</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60" w:type="dxa"/>
            <w:vAlign w:val="bottom"/>
            <w:vMerge w:val="restart"/>
            <w:shd w:val="clear" w:color="auto" w:fill="CCEEFF"/>
          </w:tcPr>
          <w:p>
            <w:pPr>
              <w:jc w:val="right"/>
              <w:ind w:right="134"/>
              <w:spacing w:after="0"/>
              <w:rPr>
                <w:sz w:val="20"/>
                <w:szCs w:val="20"/>
                <w:color w:val="auto"/>
              </w:rPr>
            </w:pPr>
            <w:r>
              <w:rPr>
                <w:rFonts w:ascii="Arial" w:cs="Arial" w:eastAsia="Arial" w:hAnsi="Arial"/>
                <w:sz w:val="17"/>
                <w:szCs w:val="17"/>
                <w:color w:val="auto"/>
              </w:rPr>
              <w:t>22.9</w:t>
            </w:r>
          </w:p>
        </w:tc>
        <w:tc>
          <w:tcPr>
            <w:tcW w:w="1100" w:type="dxa"/>
            <w:vAlign w:val="bottom"/>
            <w:gridSpan w:val="2"/>
            <w:vMerge w:val="restart"/>
            <w:shd w:val="clear" w:color="auto" w:fill="CCEEFF"/>
          </w:tcPr>
          <w:p>
            <w:pPr>
              <w:jc w:val="right"/>
              <w:ind w:right="134"/>
              <w:spacing w:after="0"/>
              <w:rPr>
                <w:sz w:val="20"/>
                <w:szCs w:val="20"/>
                <w:color w:val="auto"/>
              </w:rPr>
            </w:pPr>
            <w:r>
              <w:rPr>
                <w:rFonts w:ascii="Arial" w:cs="Arial" w:eastAsia="Arial" w:hAnsi="Arial"/>
                <w:sz w:val="17"/>
                <w:szCs w:val="17"/>
                <w:color w:val="auto"/>
              </w:rPr>
              <w:t>59</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40" w:type="dxa"/>
            <w:vAlign w:val="bottom"/>
            <w:vMerge w:val="restart"/>
            <w:shd w:val="clear" w:color="auto" w:fill="CCEEFF"/>
          </w:tcPr>
          <w:p>
            <w:pPr>
              <w:jc w:val="right"/>
              <w:ind w:right="134"/>
              <w:spacing w:after="0"/>
              <w:rPr>
                <w:sz w:val="20"/>
                <w:szCs w:val="20"/>
                <w:color w:val="auto"/>
              </w:rPr>
            </w:pPr>
            <w:r>
              <w:rPr>
                <w:rFonts w:ascii="Arial" w:cs="Arial" w:eastAsia="Arial" w:hAnsi="Arial"/>
                <w:sz w:val="17"/>
                <w:szCs w:val="17"/>
                <w:color w:val="auto"/>
              </w:rPr>
              <w:t>59.4</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40" w:type="dxa"/>
            <w:vAlign w:val="bottom"/>
            <w:vMerge w:val="restart"/>
            <w:shd w:val="clear" w:color="auto" w:fill="CCEEFF"/>
          </w:tcPr>
          <w:p>
            <w:pPr>
              <w:jc w:val="right"/>
              <w:ind w:right="134"/>
              <w:spacing w:after="0"/>
              <w:rPr>
                <w:sz w:val="20"/>
                <w:szCs w:val="20"/>
                <w:color w:val="auto"/>
              </w:rPr>
            </w:pPr>
            <w:r>
              <w:rPr>
                <w:rFonts w:ascii="Arial" w:cs="Arial" w:eastAsia="Arial" w:hAnsi="Arial"/>
                <w:sz w:val="17"/>
                <w:szCs w:val="17"/>
                <w:color w:val="auto"/>
              </w:rPr>
              <w:t>79.4</w:t>
            </w:r>
          </w:p>
        </w:tc>
        <w:tc>
          <w:tcPr>
            <w:tcW w:w="1080" w:type="dxa"/>
            <w:vAlign w:val="bottom"/>
            <w:gridSpan w:val="2"/>
            <w:vMerge w:val="restart"/>
            <w:shd w:val="clear" w:color="auto" w:fill="CCEEFF"/>
          </w:tcPr>
          <w:p>
            <w:pPr>
              <w:jc w:val="right"/>
              <w:ind w:right="74"/>
              <w:spacing w:after="0"/>
              <w:rPr>
                <w:sz w:val="20"/>
                <w:szCs w:val="20"/>
                <w:color w:val="auto"/>
              </w:rPr>
            </w:pPr>
            <w:r>
              <w:rPr>
                <w:rFonts w:ascii="Arial" w:cs="Arial" w:eastAsia="Arial" w:hAnsi="Arial"/>
                <w:sz w:val="17"/>
                <w:szCs w:val="17"/>
                <w:color w:val="auto"/>
              </w:rPr>
              <w:t>(25)</w:t>
            </w:r>
          </w:p>
        </w:tc>
        <w:tc>
          <w:tcPr>
            <w:tcW w:w="0" w:type="dxa"/>
            <w:vAlign w:val="bottom"/>
          </w:tcPr>
          <w:p>
            <w:pPr>
              <w:spacing w:after="0"/>
              <w:rPr>
                <w:sz w:val="1"/>
                <w:szCs w:val="1"/>
                <w:color w:val="auto"/>
              </w:rPr>
            </w:pPr>
          </w:p>
        </w:tc>
      </w:tr>
      <w:tr>
        <w:trPr>
          <w:trHeight w:val="219"/>
        </w:trPr>
        <w:tc>
          <w:tcPr>
            <w:tcW w:w="32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overhead allocations</w:t>
            </w:r>
          </w:p>
        </w:tc>
        <w:tc>
          <w:tcPr>
            <w:tcW w:w="24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1100" w:type="dxa"/>
            <w:vAlign w:val="bottom"/>
            <w:gridSpan w:val="2"/>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08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280" w:type="dxa"/>
            <w:vAlign w:val="bottom"/>
          </w:tcPr>
          <w:p>
            <w:pPr>
              <w:ind w:left="140"/>
              <w:spacing w:after="0"/>
              <w:rPr>
                <w:sz w:val="20"/>
                <w:szCs w:val="20"/>
                <w:color w:val="auto"/>
              </w:rPr>
            </w:pPr>
            <w:r>
              <w:rPr>
                <w:rFonts w:ascii="Arial" w:cs="Arial" w:eastAsia="Arial" w:hAnsi="Arial"/>
                <w:sz w:val="17"/>
                <w:szCs w:val="17"/>
                <w:color w:val="auto"/>
              </w:rPr>
              <w:t>Corporate overhead allocations</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2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Servicing segment</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(11.7)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(11.1)</w:t>
            </w:r>
          </w:p>
        </w:tc>
        <w:tc>
          <w:tcPr>
            <w:tcW w:w="1100" w:type="dxa"/>
            <w:vAlign w:val="bottom"/>
            <w:gridSpan w:val="2"/>
            <w:shd w:val="clear" w:color="auto" w:fill="CCEEFF"/>
          </w:tcPr>
          <w:p>
            <w:pPr>
              <w:jc w:val="right"/>
              <w:ind w:right="134"/>
              <w:spacing w:after="0"/>
              <w:rPr>
                <w:sz w:val="20"/>
                <w:szCs w:val="20"/>
                <w:color w:val="auto"/>
              </w:rPr>
            </w:pPr>
            <w:r>
              <w:rPr>
                <w:rFonts w:ascii="Arial" w:cs="Arial" w:eastAsia="Arial" w:hAnsi="Arial"/>
                <w:sz w:val="17"/>
                <w:szCs w:val="17"/>
                <w:color w:val="auto"/>
              </w:rPr>
              <w:t>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(22.8)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(24.6)</w:t>
            </w:r>
          </w:p>
        </w:tc>
        <w:tc>
          <w:tcPr>
            <w:tcW w:w="108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220"/>
        </w:trPr>
        <w:tc>
          <w:tcPr>
            <w:tcW w:w="328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Originations segment</w:t>
            </w: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(5.5)</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(5.3)</w:t>
            </w:r>
          </w:p>
        </w:tc>
        <w:tc>
          <w:tcPr>
            <w:tcW w:w="1100" w:type="dxa"/>
            <w:vAlign w:val="bottom"/>
            <w:tcBorders>
              <w:bottom w:val="single" w:sz="8" w:color="CCEEFF"/>
            </w:tcBorders>
            <w:gridSpan w:val="2"/>
          </w:tcPr>
          <w:p>
            <w:pPr>
              <w:jc w:val="right"/>
              <w:ind w:right="134"/>
              <w:spacing w:after="0"/>
              <w:rPr>
                <w:sz w:val="20"/>
                <w:szCs w:val="20"/>
                <w:color w:val="auto"/>
              </w:rPr>
            </w:pPr>
            <w:r>
              <w:rPr>
                <w:rFonts w:ascii="Arial" w:cs="Arial" w:eastAsia="Arial" w:hAnsi="Arial"/>
                <w:sz w:val="17"/>
                <w:szCs w:val="17"/>
                <w:color w:val="auto"/>
              </w:rPr>
              <w:t>4</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(10.7)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(9.7)</w:t>
            </w:r>
          </w:p>
        </w:tc>
        <w:tc>
          <w:tcPr>
            <w:tcW w:w="1080" w:type="dxa"/>
            <w:vAlign w:val="bottom"/>
            <w:tcBorders>
              <w:bottom w:val="single" w:sz="8" w:color="CCEEFF"/>
            </w:tcBorders>
            <w:gridSpan w:val="2"/>
          </w:tcPr>
          <w:p>
            <w:pPr>
              <w:jc w:val="right"/>
              <w:ind w:right="114"/>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13"/>
        </w:trPr>
        <w:tc>
          <w:tcPr>
            <w:tcW w:w="32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Total operating expenses</w:t>
            </w:r>
          </w:p>
        </w:tc>
        <w:tc>
          <w:tcPr>
            <w:tcW w:w="2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19.4</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6.5</w:t>
            </w:r>
          </w:p>
        </w:tc>
        <w:tc>
          <w:tcPr>
            <w:tcW w:w="1100" w:type="dxa"/>
            <w:vAlign w:val="bottom"/>
            <w:gridSpan w:val="2"/>
            <w:shd w:val="clear" w:color="auto" w:fill="CCEEFF"/>
          </w:tcPr>
          <w:p>
            <w:pPr>
              <w:jc w:val="right"/>
              <w:ind w:right="134"/>
              <w:spacing w:after="0"/>
              <w:rPr>
                <w:sz w:val="20"/>
                <w:szCs w:val="20"/>
                <w:color w:val="auto"/>
              </w:rPr>
            </w:pPr>
            <w:r>
              <w:rPr>
                <w:rFonts w:ascii="Arial" w:cs="Arial" w:eastAsia="Arial" w:hAnsi="Arial"/>
                <w:sz w:val="17"/>
                <w:szCs w:val="17"/>
                <w:color w:val="auto"/>
              </w:rPr>
              <w:t>196</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25.9</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45.2</w:t>
            </w:r>
          </w:p>
        </w:tc>
        <w:tc>
          <w:tcPr>
            <w:tcW w:w="108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(43)</w:t>
            </w:r>
          </w:p>
        </w:tc>
        <w:tc>
          <w:tcPr>
            <w:tcW w:w="0" w:type="dxa"/>
            <w:vAlign w:val="bottom"/>
          </w:tcPr>
          <w:p>
            <w:pPr>
              <w:spacing w:after="0"/>
              <w:rPr>
                <w:sz w:val="1"/>
                <w:szCs w:val="1"/>
                <w:color w:val="auto"/>
              </w:rPr>
            </w:pPr>
          </w:p>
        </w:tc>
      </w:tr>
      <w:tr>
        <w:trPr>
          <w:trHeight w:val="135"/>
        </w:trPr>
        <w:tc>
          <w:tcPr>
            <w:tcW w:w="3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0"/>
        </w:trPr>
        <w:tc>
          <w:tcPr>
            <w:tcW w:w="32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Other income (expense), net</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280" w:type="dxa"/>
            <w:vAlign w:val="bottom"/>
          </w:tcPr>
          <w:p>
            <w:pPr>
              <w:ind w:left="140"/>
              <w:spacing w:after="0"/>
              <w:rPr>
                <w:sz w:val="20"/>
                <w:szCs w:val="20"/>
                <w:color w:val="auto"/>
              </w:rPr>
            </w:pPr>
            <w:r>
              <w:rPr>
                <w:rFonts w:ascii="Arial" w:cs="Arial" w:eastAsia="Arial" w:hAnsi="Arial"/>
                <w:sz w:val="17"/>
                <w:szCs w:val="17"/>
                <w:color w:val="auto"/>
              </w:rPr>
              <w:t>Interest income</w:t>
            </w:r>
          </w:p>
        </w:tc>
        <w:tc>
          <w:tcPr>
            <w:tcW w:w="240" w:type="dxa"/>
            <w:vAlign w:val="bottom"/>
          </w:tcPr>
          <w:p>
            <w:pPr>
              <w:spacing w:after="0"/>
              <w:rPr>
                <w:sz w:val="19"/>
                <w:szCs w:val="19"/>
                <w:color w:val="auto"/>
              </w:rPr>
            </w:pPr>
          </w:p>
        </w:tc>
        <w:tc>
          <w:tcPr>
            <w:tcW w:w="1140" w:type="dxa"/>
            <w:vAlign w:val="bottom"/>
          </w:tcPr>
          <w:p>
            <w:pPr>
              <w:jc w:val="right"/>
              <w:ind w:right="134"/>
              <w:spacing w:after="0"/>
              <w:rPr>
                <w:sz w:val="20"/>
                <w:szCs w:val="20"/>
                <w:color w:val="auto"/>
              </w:rPr>
            </w:pPr>
            <w:r>
              <w:rPr>
                <w:rFonts w:ascii="Arial" w:cs="Arial" w:eastAsia="Arial" w:hAnsi="Arial"/>
                <w:sz w:val="17"/>
                <w:szCs w:val="17"/>
                <w:color w:val="auto"/>
              </w:rPr>
              <w:t>0.1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ind w:right="134"/>
              <w:spacing w:after="0"/>
              <w:rPr>
                <w:sz w:val="20"/>
                <w:szCs w:val="20"/>
                <w:color w:val="auto"/>
              </w:rPr>
            </w:pPr>
            <w:r>
              <w:rPr>
                <w:rFonts w:ascii="Arial" w:cs="Arial" w:eastAsia="Arial" w:hAnsi="Arial"/>
                <w:sz w:val="17"/>
                <w:szCs w:val="17"/>
                <w:color w:val="auto"/>
              </w:rPr>
              <w:t>0.1</w:t>
            </w:r>
          </w:p>
        </w:tc>
        <w:tc>
          <w:tcPr>
            <w:tcW w:w="1100" w:type="dxa"/>
            <w:vAlign w:val="bottom"/>
            <w:gridSpan w:val="2"/>
          </w:tcPr>
          <w:p>
            <w:pPr>
              <w:jc w:val="right"/>
              <w:ind w:right="134"/>
              <w:spacing w:after="0"/>
              <w:rPr>
                <w:sz w:val="20"/>
                <w:szCs w:val="20"/>
                <w:color w:val="auto"/>
              </w:rPr>
            </w:pPr>
            <w:r>
              <w:rPr>
                <w:rFonts w:ascii="Arial" w:cs="Arial" w:eastAsia="Arial" w:hAnsi="Arial"/>
                <w:sz w:val="17"/>
                <w:szCs w:val="17"/>
                <w:color w:val="auto"/>
              </w:rPr>
              <w:t>84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ind w:right="134"/>
              <w:spacing w:after="0"/>
              <w:rPr>
                <w:sz w:val="20"/>
                <w:szCs w:val="20"/>
                <w:color w:val="auto"/>
              </w:rPr>
            </w:pPr>
            <w:r>
              <w:rPr>
                <w:rFonts w:ascii="Arial" w:cs="Arial" w:eastAsia="Arial" w:hAnsi="Arial"/>
                <w:sz w:val="17"/>
                <w:szCs w:val="17"/>
                <w:color w:val="auto"/>
              </w:rPr>
              <w:t>0.2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ind w:right="134"/>
              <w:spacing w:after="0"/>
              <w:rPr>
                <w:sz w:val="20"/>
                <w:szCs w:val="20"/>
                <w:color w:val="auto"/>
              </w:rPr>
            </w:pPr>
            <w:r>
              <w:rPr>
                <w:rFonts w:ascii="Arial" w:cs="Arial" w:eastAsia="Arial" w:hAnsi="Arial"/>
                <w:sz w:val="17"/>
                <w:szCs w:val="17"/>
                <w:color w:val="auto"/>
              </w:rPr>
              <w:t>0.2</w:t>
            </w:r>
          </w:p>
        </w:tc>
        <w:tc>
          <w:tcPr>
            <w:tcW w:w="1080" w:type="dxa"/>
            <w:vAlign w:val="bottom"/>
            <w:gridSpan w:val="2"/>
          </w:tcPr>
          <w:p>
            <w:pPr>
              <w:jc w:val="right"/>
              <w:ind w:right="114"/>
              <w:spacing w:after="0"/>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220"/>
        </w:trPr>
        <w:tc>
          <w:tcPr>
            <w:tcW w:w="32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Interest expense</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(10.4)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(10.5)</w:t>
            </w:r>
          </w:p>
        </w:tc>
        <w:tc>
          <w:tcPr>
            <w:tcW w:w="1100" w:type="dxa"/>
            <w:vAlign w:val="bottom"/>
            <w:gridSpan w:val="2"/>
            <w:shd w:val="clear" w:color="auto" w:fill="CCEEFF"/>
          </w:tcPr>
          <w:p>
            <w:pPr>
              <w:jc w:val="right"/>
              <w:ind w:right="94"/>
              <w:spacing w:after="0"/>
              <w:rPr>
                <w:sz w:val="20"/>
                <w:szCs w:val="20"/>
                <w:color w:val="auto"/>
              </w:rPr>
            </w:pPr>
            <w:r>
              <w:rPr>
                <w:rFonts w:ascii="Arial" w:cs="Arial" w:eastAsia="Arial" w:hAnsi="Arial"/>
                <w:sz w:val="17"/>
                <w:szCs w:val="17"/>
                <w:color w:val="auto"/>
              </w:rPr>
              <w:t>(1)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(21.0)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(17.5)</w:t>
            </w:r>
          </w:p>
        </w:tc>
        <w:tc>
          <w:tcPr>
            <w:tcW w:w="1080" w:type="dxa"/>
            <w:vAlign w:val="bottom"/>
            <w:gridSpan w:val="2"/>
            <w:shd w:val="clear" w:color="auto" w:fill="CCEEFF"/>
          </w:tcPr>
          <w:p>
            <w:pPr>
              <w:jc w:val="right"/>
              <w:ind w:right="114"/>
              <w:spacing w:after="0"/>
              <w:rPr>
                <w:sz w:val="20"/>
                <w:szCs w:val="20"/>
                <w:color w:val="auto"/>
              </w:rPr>
            </w:pPr>
            <w:r>
              <w:rPr>
                <w:rFonts w:ascii="Arial" w:cs="Arial" w:eastAsia="Arial" w:hAnsi="Arial"/>
                <w:sz w:val="17"/>
                <w:szCs w:val="17"/>
                <w:color w:val="auto"/>
              </w:rPr>
              <w:t>20</w:t>
            </w:r>
          </w:p>
        </w:tc>
        <w:tc>
          <w:tcPr>
            <w:tcW w:w="0" w:type="dxa"/>
            <w:vAlign w:val="bottom"/>
          </w:tcPr>
          <w:p>
            <w:pPr>
              <w:spacing w:after="0"/>
              <w:rPr>
                <w:sz w:val="1"/>
                <w:szCs w:val="1"/>
                <w:color w:val="auto"/>
              </w:rPr>
            </w:pPr>
          </w:p>
        </w:tc>
      </w:tr>
      <w:tr>
        <w:trPr>
          <w:trHeight w:val="220"/>
        </w:trPr>
        <w:tc>
          <w:tcPr>
            <w:tcW w:w="3280" w:type="dxa"/>
            <w:vAlign w:val="bottom"/>
          </w:tcPr>
          <w:p>
            <w:pPr>
              <w:ind w:left="140"/>
              <w:spacing w:after="0"/>
              <w:rPr>
                <w:sz w:val="20"/>
                <w:szCs w:val="20"/>
                <w:color w:val="auto"/>
              </w:rPr>
            </w:pPr>
            <w:r>
              <w:rPr>
                <w:rFonts w:ascii="Arial" w:cs="Arial" w:eastAsia="Arial" w:hAnsi="Arial"/>
                <w:sz w:val="17"/>
                <w:szCs w:val="17"/>
                <w:color w:val="auto"/>
              </w:rPr>
              <w:t>Gain (loss) on extinguishment of debt</w:t>
            </w:r>
          </w:p>
        </w:tc>
        <w:tc>
          <w:tcPr>
            <w:tcW w:w="240" w:type="dxa"/>
            <w:vAlign w:val="bottom"/>
          </w:tcPr>
          <w:p>
            <w:pPr>
              <w:spacing w:after="0"/>
              <w:rPr>
                <w:sz w:val="19"/>
                <w:szCs w:val="19"/>
                <w:color w:val="auto"/>
              </w:rPr>
            </w:pPr>
          </w:p>
        </w:tc>
        <w:tc>
          <w:tcPr>
            <w:tcW w:w="1140" w:type="dxa"/>
            <w:vAlign w:val="bottom"/>
          </w:tcPr>
          <w:p>
            <w:pPr>
              <w:jc w:val="right"/>
              <w:ind w:right="134"/>
              <w:spacing w:after="0"/>
              <w:rPr>
                <w:sz w:val="20"/>
                <w:szCs w:val="20"/>
                <w:color w:val="auto"/>
              </w:rPr>
            </w:pPr>
            <w:r>
              <w:rPr>
                <w:rFonts w:ascii="Arial" w:cs="Arial" w:eastAsia="Arial" w:hAnsi="Arial"/>
                <w:sz w:val="17"/>
                <w:szCs w:val="17"/>
                <w:color w:val="auto"/>
              </w:rPr>
              <w:t>0.9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080" w:type="dxa"/>
            <w:vAlign w:val="bottom"/>
            <w:gridSpan w:val="2"/>
          </w:tcPr>
          <w:p>
            <w:pPr>
              <w:ind w:left="700"/>
              <w:spacing w:after="0"/>
              <w:rPr>
                <w:sz w:val="20"/>
                <w:szCs w:val="20"/>
                <w:color w:val="auto"/>
              </w:rPr>
            </w:pPr>
            <w:r>
              <w:rPr>
                <w:rFonts w:ascii="Arial" w:cs="Arial" w:eastAsia="Arial" w:hAnsi="Arial"/>
                <w:sz w:val="17"/>
                <w:szCs w:val="17"/>
                <w:color w:val="auto"/>
              </w:rPr>
              <w:t>n/m</w:t>
            </w:r>
          </w:p>
        </w:tc>
        <w:tc>
          <w:tcPr>
            <w:tcW w:w="240" w:type="dxa"/>
            <w:vAlign w:val="bottom"/>
          </w:tcPr>
          <w:p>
            <w:pPr>
              <w:spacing w:after="0"/>
              <w:rPr>
                <w:sz w:val="19"/>
                <w:szCs w:val="19"/>
                <w:color w:val="auto"/>
              </w:rPr>
            </w:pPr>
          </w:p>
        </w:tc>
        <w:tc>
          <w:tcPr>
            <w:tcW w:w="1140" w:type="dxa"/>
            <w:vAlign w:val="bottom"/>
          </w:tcPr>
          <w:p>
            <w:pPr>
              <w:jc w:val="right"/>
              <w:ind w:right="134"/>
              <w:spacing w:after="0"/>
              <w:rPr>
                <w:sz w:val="20"/>
                <w:szCs w:val="20"/>
                <w:color w:val="auto"/>
              </w:rPr>
            </w:pPr>
            <w:r>
              <w:rPr>
                <w:rFonts w:ascii="Arial" w:cs="Arial" w:eastAsia="Arial" w:hAnsi="Arial"/>
                <w:sz w:val="17"/>
                <w:szCs w:val="17"/>
                <w:color w:val="auto"/>
              </w:rPr>
              <w:t>0.9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ind w:right="134"/>
              <w:spacing w:after="0"/>
              <w:rPr>
                <w:sz w:val="20"/>
                <w:szCs w:val="20"/>
                <w:color w:val="auto"/>
              </w:rPr>
            </w:pPr>
            <w:r>
              <w:rPr>
                <w:rFonts w:ascii="Arial" w:cs="Arial" w:eastAsia="Arial" w:hAnsi="Arial"/>
                <w:sz w:val="17"/>
                <w:szCs w:val="17"/>
                <w:color w:val="auto"/>
              </w:rPr>
              <w:t>(15.5)</w:t>
            </w:r>
          </w:p>
        </w:tc>
        <w:tc>
          <w:tcPr>
            <w:tcW w:w="1080" w:type="dxa"/>
            <w:vAlign w:val="bottom"/>
            <w:gridSpan w:val="2"/>
          </w:tcPr>
          <w:p>
            <w:pPr>
              <w:jc w:val="right"/>
              <w:ind w:right="74"/>
              <w:spacing w:after="0"/>
              <w:rPr>
                <w:sz w:val="20"/>
                <w:szCs w:val="20"/>
                <w:color w:val="auto"/>
              </w:rPr>
            </w:pPr>
            <w:r>
              <w:rPr>
                <w:rFonts w:ascii="Arial" w:cs="Arial" w:eastAsia="Arial" w:hAnsi="Arial"/>
                <w:sz w:val="17"/>
                <w:szCs w:val="17"/>
                <w:color w:val="auto"/>
              </w:rPr>
              <w:t>(106)</w:t>
            </w:r>
          </w:p>
        </w:tc>
        <w:tc>
          <w:tcPr>
            <w:tcW w:w="0" w:type="dxa"/>
            <w:vAlign w:val="bottom"/>
          </w:tcPr>
          <w:p>
            <w:pPr>
              <w:spacing w:after="0"/>
              <w:rPr>
                <w:sz w:val="1"/>
                <w:szCs w:val="1"/>
                <w:color w:val="auto"/>
              </w:rPr>
            </w:pPr>
          </w:p>
        </w:tc>
      </w:tr>
      <w:tr>
        <w:trPr>
          <w:trHeight w:val="220"/>
        </w:trPr>
        <w:tc>
          <w:tcPr>
            <w:tcW w:w="32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Other, net</w:t>
            </w: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(0.2)</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0.5</w:t>
            </w:r>
          </w:p>
        </w:tc>
        <w:tc>
          <w:tcPr>
            <w:tcW w:w="1100" w:type="dxa"/>
            <w:vAlign w:val="bottom"/>
            <w:gridSpan w:val="2"/>
            <w:shd w:val="clear" w:color="auto" w:fill="CCEEFF"/>
          </w:tcPr>
          <w:p>
            <w:pPr>
              <w:jc w:val="right"/>
              <w:ind w:right="94"/>
              <w:spacing w:after="0"/>
              <w:rPr>
                <w:sz w:val="20"/>
                <w:szCs w:val="20"/>
                <w:color w:val="auto"/>
              </w:rPr>
            </w:pPr>
            <w:r>
              <w:rPr>
                <w:rFonts w:ascii="Arial" w:cs="Arial" w:eastAsia="Arial" w:hAnsi="Arial"/>
                <w:sz w:val="17"/>
                <w:szCs w:val="17"/>
                <w:color w:val="auto"/>
              </w:rPr>
              <w:t>(142)</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0.3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0.5</w:t>
            </w:r>
          </w:p>
        </w:tc>
        <w:tc>
          <w:tcPr>
            <w:tcW w:w="108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(36)</w:t>
            </w:r>
          </w:p>
        </w:tc>
        <w:tc>
          <w:tcPr>
            <w:tcW w:w="0" w:type="dxa"/>
            <w:vAlign w:val="bottom"/>
          </w:tcPr>
          <w:p>
            <w:pPr>
              <w:spacing w:after="0"/>
              <w:rPr>
                <w:sz w:val="1"/>
                <w:szCs w:val="1"/>
                <w:color w:val="auto"/>
              </w:rPr>
            </w:pPr>
          </w:p>
        </w:tc>
      </w:tr>
      <w:tr>
        <w:trPr>
          <w:trHeight w:val="213"/>
        </w:trPr>
        <w:tc>
          <w:tcPr>
            <w:tcW w:w="328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Total other income (expense), net</w:t>
            </w: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(9.6)</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(9.9)</w:t>
            </w:r>
          </w:p>
        </w:tc>
        <w:tc>
          <w:tcPr>
            <w:tcW w:w="1100" w:type="dxa"/>
            <w:vAlign w:val="bottom"/>
            <w:tcBorders>
              <w:bottom w:val="single" w:sz="8" w:color="CCEEFF"/>
            </w:tcBorders>
            <w:gridSpan w:val="2"/>
          </w:tcPr>
          <w:p>
            <w:pPr>
              <w:jc w:val="right"/>
              <w:ind w:right="94"/>
              <w:spacing w:after="0"/>
              <w:rPr>
                <w:sz w:val="20"/>
                <w:szCs w:val="20"/>
                <w:color w:val="auto"/>
              </w:rPr>
            </w:pPr>
            <w:r>
              <w:rPr>
                <w:rFonts w:ascii="Arial" w:cs="Arial" w:eastAsia="Arial" w:hAnsi="Arial"/>
                <w:sz w:val="17"/>
                <w:szCs w:val="17"/>
                <w:color w:val="auto"/>
              </w:rPr>
              <w:t>(4)</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(19.5)</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(32.3)</w:t>
            </w:r>
          </w:p>
        </w:tc>
        <w:tc>
          <w:tcPr>
            <w:tcW w:w="1080" w:type="dxa"/>
            <w:vAlign w:val="bottom"/>
            <w:tcBorders>
              <w:bottom w:val="single" w:sz="8" w:color="CCEEFF"/>
            </w:tcBorders>
            <w:gridSpan w:val="2"/>
          </w:tcPr>
          <w:p>
            <w:pPr>
              <w:jc w:val="right"/>
              <w:ind w:right="74"/>
              <w:spacing w:after="0"/>
              <w:rPr>
                <w:sz w:val="20"/>
                <w:szCs w:val="20"/>
                <w:color w:val="auto"/>
              </w:rPr>
            </w:pPr>
            <w:r>
              <w:rPr>
                <w:rFonts w:ascii="Arial" w:cs="Arial" w:eastAsia="Arial" w:hAnsi="Arial"/>
                <w:sz w:val="17"/>
                <w:szCs w:val="17"/>
                <w:color w:val="auto"/>
              </w:rPr>
              <w:t>(40)</w:t>
            </w:r>
          </w:p>
        </w:tc>
        <w:tc>
          <w:tcPr>
            <w:tcW w:w="0" w:type="dxa"/>
            <w:vAlign w:val="bottom"/>
          </w:tcPr>
          <w:p>
            <w:pPr>
              <w:spacing w:after="0"/>
              <w:rPr>
                <w:sz w:val="1"/>
                <w:szCs w:val="1"/>
                <w:color w:val="auto"/>
              </w:rPr>
            </w:pPr>
          </w:p>
        </w:tc>
      </w:tr>
      <w:tr>
        <w:trPr>
          <w:trHeight w:val="135"/>
        </w:trPr>
        <w:tc>
          <w:tcPr>
            <w:tcW w:w="32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20"/>
        </w:trPr>
        <w:tc>
          <w:tcPr>
            <w:tcW w:w="3280" w:type="dxa"/>
            <w:vAlign w:val="bottom"/>
          </w:tcPr>
          <w:p>
            <w:pPr>
              <w:ind w:left="20"/>
              <w:spacing w:after="0"/>
              <w:rPr>
                <w:sz w:val="20"/>
                <w:szCs w:val="20"/>
                <w:color w:val="auto"/>
              </w:rPr>
            </w:pPr>
            <w:r>
              <w:rPr>
                <w:rFonts w:ascii="Arial" w:cs="Arial" w:eastAsia="Arial" w:hAnsi="Arial"/>
                <w:sz w:val="17"/>
                <w:szCs w:val="17"/>
                <w:b w:val="1"/>
                <w:bCs w:val="1"/>
                <w:color w:val="auto"/>
              </w:rPr>
              <w:t>Income (loss) before income taxes</w:t>
            </w:r>
          </w:p>
        </w:tc>
        <w:tc>
          <w:tcPr>
            <w:tcW w:w="2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(27.3)</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(14.6)</w:t>
            </w: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86 %</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(41.9)</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(74.6)</w:t>
            </w: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(44)%</w:t>
            </w:r>
          </w:p>
        </w:tc>
        <w:tc>
          <w:tcPr>
            <w:tcW w:w="0" w:type="dxa"/>
            <w:vAlign w:val="bottom"/>
          </w:tcPr>
          <w:p>
            <w:pPr>
              <w:spacing w:after="0"/>
              <w:rPr>
                <w:sz w:val="1"/>
                <w:szCs w:val="1"/>
                <w:color w:val="auto"/>
              </w:rPr>
            </w:pPr>
          </w:p>
        </w:tc>
      </w:tr>
      <w:tr>
        <w:trPr>
          <w:trHeight w:val="20"/>
        </w:trPr>
        <w:tc>
          <w:tcPr>
            <w:tcW w:w="32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3280" w:type="dxa"/>
            <w:vAlign w:val="bottom"/>
            <w:shd w:val="clear" w:color="auto" w:fill="CCEEFF"/>
          </w:tcPr>
          <w:p>
            <w:pPr>
              <w:ind w:left="20"/>
              <w:spacing w:after="0" w:line="185" w:lineRule="exact"/>
              <w:rPr>
                <w:sz w:val="20"/>
                <w:szCs w:val="20"/>
                <w:color w:val="auto"/>
              </w:rPr>
            </w:pPr>
            <w:r>
              <w:rPr>
                <w:rFonts w:ascii="Arial" w:cs="Arial" w:eastAsia="Arial" w:hAnsi="Arial"/>
                <w:sz w:val="17"/>
                <w:szCs w:val="17"/>
                <w:color w:val="auto"/>
              </w:rPr>
              <w:t>n/m: not meaningful</w:t>
            </w: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Compensation and Benefits</w:t>
      </w:r>
    </w:p>
    <w:p>
      <w:pPr>
        <w:spacing w:after="0" w:line="115"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Compensation and benefits expense for the three months ended June 30, 2022 increased $13.9 million, or 132%, as compared to the three months ended March 31, 2022 primarily as a result of a $10.3 million increase in incentive compensation and a $1.7 million increase in severance. The increase in incentive compensation is mostly due to an $8.4 million increase in the fair value of cash-settled share-based awards associated with the increase in our common stock price during the quarter and forfeitures of unvested awards in the first quarter of 2022. The average Corporate headcount declined 2% and the mix between onshore and offshore was mostly unchanged.</w:t>
      </w:r>
    </w:p>
    <w:p>
      <w:pPr>
        <w:spacing w:after="0" w:line="74"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As compared to the six months ended June 30, 2021, Compensation and benefits expense for the six months ended June 30, 2022 decreased $8.2 million, or 19%, primarily as a result of an $8.3 million decrease in incentive compensation and a $2.0 million decrease in salaries and benefit expense, partially offset by a $1.9 million increase in severance. The decline in incentive compensation is primarily due to a $7.7 million decrease in the fair value of cash-settled share-based awards associated with the decrease in our common stock price at June 30, 2022 as compared to June 30, 2021. The decline in salaries and benefit expense is driven by a 4% decline in average Corporate headcount. The Corporate offshore-to-total average headcount ratio declined from 74% for the six months ended June 30, 2021 to 71% for the six months ended June 30, 2022 .</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7" w:right="339" w:bottom="1440" w:gutter="0" w:footer="0" w:header="0"/>
        </w:sectPr>
      </w:pPr>
    </w:p>
    <w:bookmarkStart w:id="89" w:name="page90"/>
    <w:bookmarkEnd w:id="89"/>
    <w:p>
      <w:pPr>
        <w:spacing w:after="0"/>
        <w:rPr>
          <w:sz w:val="20"/>
          <w:szCs w:val="20"/>
          <w:color w:val="auto"/>
        </w:rPr>
      </w:pPr>
      <w:r>
        <w:rPr>
          <w:rFonts w:ascii="Arial" w:cs="Arial" w:eastAsia="Arial" w:hAnsi="Arial"/>
          <w:sz w:val="17"/>
          <w:szCs w:val="17"/>
          <w:b w:val="1"/>
          <w:bCs w:val="1"/>
          <w:i w:val="1"/>
          <w:iCs w:val="1"/>
          <w:color w:val="auto"/>
        </w:rPr>
        <w:t>Professional Services</w:t>
      </w:r>
    </w:p>
    <w:p>
      <w:pPr>
        <w:spacing w:after="0" w:line="115" w:lineRule="exact"/>
        <w:rPr>
          <w:sz w:val="20"/>
          <w:szCs w:val="20"/>
          <w:color w:val="auto"/>
        </w:rPr>
      </w:pPr>
    </w:p>
    <w:p>
      <w:pPr>
        <w:spacing w:after="0" w:line="245" w:lineRule="auto"/>
        <w:rPr>
          <w:sz w:val="20"/>
          <w:szCs w:val="20"/>
          <w:color w:val="auto"/>
        </w:rPr>
      </w:pPr>
      <w:r>
        <w:rPr>
          <w:rFonts w:ascii="Arial" w:cs="Arial" w:eastAsia="Arial" w:hAnsi="Arial"/>
          <w:sz w:val="17"/>
          <w:szCs w:val="17"/>
          <w:color w:val="auto"/>
        </w:rPr>
        <w:t>Professional services expense for the three months ended June 30, 2022 was unchanged as compared to the three months ended March 31, 2022 as the $1.1 million increase in legal expenses was offset by a decrease in other professional fees. The net increase in legal expenses is largely due to a $2.7 million lower recovery of expenses in the second quarter of 2022 related to litigation matters, partially offset by a reduction in expenses related to other legal matters. The decrease in other professional fees is primarily due to a higher utilization of professional services in the first quarter of 2022, including consulting services related to corporate strategy and business initiatives.</w:t>
      </w:r>
    </w:p>
    <w:p>
      <w:pPr>
        <w:spacing w:after="0" w:line="75" w:lineRule="exact"/>
        <w:rPr>
          <w:sz w:val="20"/>
          <w:szCs w:val="20"/>
          <w:color w:val="auto"/>
        </w:rPr>
      </w:pPr>
    </w:p>
    <w:p>
      <w:pPr>
        <w:ind w:right="180"/>
        <w:spacing w:after="0" w:line="247" w:lineRule="auto"/>
        <w:rPr>
          <w:sz w:val="20"/>
          <w:szCs w:val="20"/>
          <w:color w:val="auto"/>
        </w:rPr>
      </w:pPr>
      <w:r>
        <w:rPr>
          <w:rFonts w:ascii="Arial" w:cs="Arial" w:eastAsia="Arial" w:hAnsi="Arial"/>
          <w:sz w:val="17"/>
          <w:szCs w:val="17"/>
          <w:color w:val="auto"/>
        </w:rPr>
        <w:t>As compared to the six months ended June 30, 2021, Professional services expense for the six months ended June 30, 2022 declined $13.0 million, or 64%, primarily due to a $9.7 million decrease in legal expenses due to the $6.8 million recovery of expenses related to a litigation matter in the six months ended June 30, 2022 and a decrease in expenses related to other legal matters. Other professional fees declined $3.3 million primarily due to $3.2 million of advisory fees related to our MSR investment joint venture with Oaktree, MAV Canopy, which closed on May 3, 2021.</w:t>
      </w:r>
    </w:p>
    <w:p>
      <w:pPr>
        <w:spacing w:after="0" w:line="74"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Other operating expenses for the three months ended June 30, 2022 remained flat as compared to the three months ended March 31, 2022. Other operating expenses for the six months ended June 30, 2022 increased $2.4 million as compared to the six months ended June 30, 2021 primarily due to an increase in license fees and franchise taxes (non-income related).</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Income (Expense)</w:t>
      </w:r>
    </w:p>
    <w:p>
      <w:pPr>
        <w:spacing w:after="0" w:line="115" w:lineRule="exact"/>
        <w:rPr>
          <w:sz w:val="20"/>
          <w:szCs w:val="20"/>
          <w:color w:val="auto"/>
        </w:rPr>
      </w:pPr>
    </w:p>
    <w:p>
      <w:pPr>
        <w:jc w:val="both"/>
        <w:ind w:right="140"/>
        <w:spacing w:after="0" w:line="268" w:lineRule="auto"/>
        <w:rPr>
          <w:sz w:val="20"/>
          <w:szCs w:val="20"/>
          <w:color w:val="auto"/>
        </w:rPr>
      </w:pPr>
      <w:r>
        <w:rPr>
          <w:rFonts w:ascii="Arial" w:cs="Arial" w:eastAsia="Arial" w:hAnsi="Arial"/>
          <w:sz w:val="17"/>
          <w:szCs w:val="17"/>
          <w:color w:val="auto"/>
        </w:rPr>
        <w:t>Interest expense remained flat for the three months ended June 30, 2022 as compared to three months ended March 31, 2022. The debt balance of the Corporate segment is comprised mostly of the OFC Senior Secured Notes issued by Ocwen (parent company) as the PMC Senior Secured Notes are largely allocated to the Servicing and Originations segments.</w:t>
      </w:r>
    </w:p>
    <w:p>
      <w:pPr>
        <w:spacing w:after="0" w:line="69" w:lineRule="exact"/>
        <w:rPr>
          <w:sz w:val="20"/>
          <w:szCs w:val="20"/>
          <w:color w:val="auto"/>
        </w:rPr>
      </w:pPr>
    </w:p>
    <w:p>
      <w:pPr>
        <w:ind w:right="160"/>
        <w:spacing w:after="0" w:line="292" w:lineRule="auto"/>
        <w:rPr>
          <w:sz w:val="20"/>
          <w:szCs w:val="20"/>
          <w:color w:val="auto"/>
        </w:rPr>
      </w:pPr>
      <w:r>
        <w:rPr>
          <w:rFonts w:ascii="Arial" w:cs="Arial" w:eastAsia="Arial" w:hAnsi="Arial"/>
          <w:sz w:val="16"/>
          <w:szCs w:val="16"/>
          <w:color w:val="auto"/>
        </w:rPr>
        <w:t>As compared to the six months ended June 30, 2021, interest expense for the six months ended June 30, 2022 increased $3.5 million, or 20%. The increase is primarily driven by a higher cost of corporate debt that is mostly due to the OFC senior secured notes issued on March 4, 2021 and May 3, 2021. The notes were issued to Oaktree together with warrants that resulted in an additional discount, the accretion of which is reported as interest expense.</w:t>
      </w:r>
    </w:p>
    <w:p>
      <w:pPr>
        <w:spacing w:after="0" w:line="52" w:lineRule="exact"/>
        <w:rPr>
          <w:sz w:val="20"/>
          <w:szCs w:val="20"/>
          <w:color w:val="auto"/>
        </w:rPr>
      </w:pPr>
    </w:p>
    <w:p>
      <w:pPr>
        <w:ind w:right="40"/>
        <w:spacing w:after="0" w:line="261" w:lineRule="auto"/>
        <w:rPr>
          <w:sz w:val="20"/>
          <w:szCs w:val="20"/>
          <w:color w:val="auto"/>
        </w:rPr>
      </w:pPr>
      <w:r>
        <w:rPr>
          <w:rFonts w:ascii="Arial" w:cs="Arial" w:eastAsia="Arial" w:hAnsi="Arial"/>
          <w:sz w:val="17"/>
          <w:szCs w:val="17"/>
          <w:color w:val="auto"/>
        </w:rPr>
        <w:t>During the second quarter of 2022, we recognized a gain on debt extinguishment of $0.9 million resulting from our repurchase of $25.0 million PMC 7.875% Senior Secured Notes due March 2026 at a discount, net of the proportionate write-off of unamortized discount and debt issuance costs. In March 2021, we recognized a loss on debt extinguishment of $15.5 million resulting from our early repayment of the SSTL due May 2022 and our early redemption of our 6.375% PHH senior unsecured notes due August 2021 and our 8.375% PMC senior secured notes due November 2022. The loss on debt extinguishment includes the write-off of unamortized debt issuance costs and discount, as well as contractual prepayment premiums.</w:t>
      </w:r>
    </w:p>
    <w:p>
      <w:pPr>
        <w:spacing w:after="0" w:line="301"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LIQUIDITY AND CAPITAL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19050</wp:posOffset>
            </wp:positionV>
            <wp:extent cx="712152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121" w:lineRule="exact"/>
        <w:rPr>
          <w:sz w:val="20"/>
          <w:szCs w:val="20"/>
          <w:color w:val="auto"/>
        </w:rPr>
      </w:pPr>
    </w:p>
    <w:p>
      <w:pPr>
        <w:jc w:val="both"/>
        <w:ind w:right="20"/>
        <w:spacing w:after="0" w:line="263" w:lineRule="auto"/>
        <w:rPr>
          <w:sz w:val="20"/>
          <w:szCs w:val="20"/>
          <w:color w:val="auto"/>
        </w:rPr>
      </w:pPr>
      <w:r>
        <w:rPr>
          <w:rFonts w:ascii="Arial" w:cs="Arial" w:eastAsia="Arial" w:hAnsi="Arial"/>
          <w:sz w:val="17"/>
          <w:szCs w:val="17"/>
          <w:color w:val="auto"/>
        </w:rPr>
        <w:t>In the normal course of business, we are actively engaged with our lenders and as a result, renew, replace or extend our debt agreements to the extent necessary to finance our operations. See Note 13 – Borrowings to the Unaudited Consolidated Financial Statements for additional information. We actively monitor and, during the six months ended June 30, 2022, we have adjusted our borrowing capacity on our various collateralized debt agreements to align with our financing needs and to optimize our financing costs.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7" w:right="339" w:bottom="1440" w:gutter="0" w:footer="0" w:header="0"/>
        </w:sectPr>
      </w:pPr>
    </w:p>
    <w:bookmarkStart w:id="90" w:name="page91"/>
    <w:bookmarkEnd w:id="90"/>
    <w:p>
      <w:pPr>
        <w:spacing w:after="0"/>
        <w:rPr>
          <w:sz w:val="20"/>
          <w:szCs w:val="20"/>
          <w:color w:val="auto"/>
        </w:rPr>
      </w:pPr>
      <w:r>
        <w:rPr>
          <w:rFonts w:ascii="Arial" w:cs="Arial" w:eastAsia="Arial" w:hAnsi="Arial"/>
          <w:sz w:val="16"/>
          <w:szCs w:val="16"/>
          <w:color w:val="auto"/>
        </w:rPr>
        <w:t>A summary of borrowing capacity under our advance facilities, mortgage warehouse facilities and MSR financing facilities is as follows at the dates indicated:</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6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w w:val="92"/>
              </w:rPr>
              <w:t>June 30, 2022</w:t>
            </w:r>
          </w:p>
        </w:tc>
        <w:tc>
          <w:tcPr>
            <w:tcW w:w="20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gridSpan w:val="3"/>
          </w:tcPr>
          <w:p>
            <w:pPr>
              <w:jc w:val="center"/>
              <w:ind w:right="60"/>
              <w:spacing w:after="0"/>
              <w:rPr>
                <w:sz w:val="20"/>
                <w:szCs w:val="20"/>
                <w:color w:val="auto"/>
              </w:rPr>
            </w:pPr>
            <w:r>
              <w:rPr>
                <w:rFonts w:ascii="Arial" w:cs="Arial" w:eastAsia="Arial" w:hAnsi="Arial"/>
                <w:sz w:val="16"/>
                <w:szCs w:val="16"/>
                <w:b w:val="1"/>
                <w:bCs w:val="1"/>
                <w:color w:val="auto"/>
                <w:w w:val="91"/>
              </w:rPr>
              <w:t>December 31, 2021</w:t>
            </w:r>
          </w:p>
        </w:tc>
        <w:tc>
          <w:tcPr>
            <w:tcW w:w="20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2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center"/>
              <w:ind w:right="240"/>
              <w:spacing w:after="0" w:line="148" w:lineRule="exact"/>
              <w:rPr>
                <w:sz w:val="20"/>
                <w:szCs w:val="20"/>
                <w:color w:val="auto"/>
              </w:rPr>
            </w:pPr>
            <w:r>
              <w:rPr>
                <w:rFonts w:ascii="Arial" w:cs="Arial" w:eastAsia="Arial" w:hAnsi="Arial"/>
                <w:sz w:val="16"/>
                <w:szCs w:val="16"/>
                <w:b w:val="1"/>
                <w:bCs w:val="1"/>
                <w:color w:val="auto"/>
                <w:w w:val="93"/>
              </w:rPr>
              <w:t>Available</w:t>
            </w:r>
          </w:p>
        </w:tc>
        <w:tc>
          <w:tcPr>
            <w:tcW w:w="200" w:type="dxa"/>
            <w:vAlign w:val="bottom"/>
          </w:tcPr>
          <w:p>
            <w:pPr>
              <w:spacing w:after="0"/>
              <w:rPr>
                <w:sz w:val="12"/>
                <w:szCs w:val="12"/>
                <w:color w:val="auto"/>
              </w:rPr>
            </w:pPr>
          </w:p>
        </w:tc>
        <w:tc>
          <w:tcPr>
            <w:tcW w:w="1160" w:type="dxa"/>
            <w:vAlign w:val="bottom"/>
          </w:tcPr>
          <w:p>
            <w:pPr>
              <w:jc w:val="center"/>
              <w:ind w:right="138"/>
              <w:spacing w:after="0" w:line="148" w:lineRule="exact"/>
              <w:rPr>
                <w:sz w:val="20"/>
                <w:szCs w:val="20"/>
                <w:color w:val="auto"/>
              </w:rPr>
            </w:pPr>
            <w:r>
              <w:rPr>
                <w:rFonts w:ascii="Arial" w:cs="Arial" w:eastAsia="Arial" w:hAnsi="Arial"/>
                <w:sz w:val="16"/>
                <w:szCs w:val="16"/>
                <w:b w:val="1"/>
                <w:bCs w:val="1"/>
                <w:color w:val="auto"/>
                <w:w w:val="93"/>
              </w:rPr>
              <w:t>Available</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jc w:val="center"/>
              <w:ind w:right="220"/>
              <w:spacing w:after="0" w:line="148" w:lineRule="exact"/>
              <w:rPr>
                <w:sz w:val="20"/>
                <w:szCs w:val="20"/>
                <w:color w:val="auto"/>
              </w:rPr>
            </w:pPr>
            <w:r>
              <w:rPr>
                <w:rFonts w:ascii="Arial" w:cs="Arial" w:eastAsia="Arial" w:hAnsi="Arial"/>
                <w:sz w:val="16"/>
                <w:szCs w:val="16"/>
                <w:b w:val="1"/>
                <w:bCs w:val="1"/>
                <w:color w:val="auto"/>
                <w:w w:val="93"/>
              </w:rPr>
              <w:t>Available</w:t>
            </w:r>
          </w:p>
        </w:tc>
        <w:tc>
          <w:tcPr>
            <w:tcW w:w="200" w:type="dxa"/>
            <w:vAlign w:val="bottom"/>
          </w:tcPr>
          <w:p>
            <w:pPr>
              <w:spacing w:after="0"/>
              <w:rPr>
                <w:sz w:val="12"/>
                <w:szCs w:val="12"/>
                <w:color w:val="auto"/>
              </w:rPr>
            </w:pPr>
          </w:p>
        </w:tc>
        <w:tc>
          <w:tcPr>
            <w:tcW w:w="1160" w:type="dxa"/>
            <w:vAlign w:val="bottom"/>
          </w:tcPr>
          <w:p>
            <w:pPr>
              <w:jc w:val="center"/>
              <w:ind w:right="118"/>
              <w:spacing w:after="0" w:line="148" w:lineRule="exact"/>
              <w:rPr>
                <w:sz w:val="20"/>
                <w:szCs w:val="20"/>
                <w:color w:val="auto"/>
              </w:rPr>
            </w:pPr>
            <w:r>
              <w:rPr>
                <w:rFonts w:ascii="Arial" w:cs="Arial" w:eastAsia="Arial" w:hAnsi="Arial"/>
                <w:sz w:val="16"/>
                <w:szCs w:val="16"/>
                <w:b w:val="1"/>
                <w:bCs w:val="1"/>
                <w:color w:val="auto"/>
                <w:w w:val="91"/>
              </w:rPr>
              <w:t>Available</w:t>
            </w:r>
          </w:p>
        </w:tc>
        <w:tc>
          <w:tcPr>
            <w:tcW w:w="0" w:type="dxa"/>
            <w:vAlign w:val="bottom"/>
          </w:tcPr>
          <w:p>
            <w:pPr>
              <w:spacing w:after="0"/>
              <w:rPr>
                <w:sz w:val="1"/>
                <w:szCs w:val="1"/>
                <w:color w:val="auto"/>
              </w:rPr>
            </w:pPr>
          </w:p>
        </w:tc>
      </w:tr>
      <w:tr>
        <w:trPr>
          <w:trHeight w:val="155"/>
        </w:trPr>
        <w:tc>
          <w:tcPr>
            <w:tcW w:w="2660" w:type="dxa"/>
            <w:vAlign w:val="bottom"/>
          </w:tcPr>
          <w:p>
            <w:pPr>
              <w:spacing w:after="0"/>
              <w:rPr>
                <w:sz w:val="13"/>
                <w:szCs w:val="13"/>
                <w:color w:val="auto"/>
              </w:rPr>
            </w:pPr>
          </w:p>
        </w:tc>
        <w:tc>
          <w:tcPr>
            <w:tcW w:w="1440" w:type="dxa"/>
            <w:vAlign w:val="bottom"/>
            <w:gridSpan w:val="3"/>
            <w:vMerge w:val="restart"/>
          </w:tcPr>
          <w:p>
            <w:pPr>
              <w:jc w:val="center"/>
              <w:ind w:right="80"/>
              <w:spacing w:after="0"/>
              <w:rPr>
                <w:sz w:val="20"/>
                <w:szCs w:val="20"/>
                <w:color w:val="auto"/>
              </w:rPr>
            </w:pPr>
            <w:r>
              <w:rPr>
                <w:rFonts w:ascii="Arial" w:cs="Arial" w:eastAsia="Arial" w:hAnsi="Arial"/>
                <w:sz w:val="16"/>
                <w:szCs w:val="16"/>
                <w:b w:val="1"/>
                <w:bCs w:val="1"/>
                <w:color w:val="auto"/>
                <w:w w:val="94"/>
              </w:rPr>
              <w:t>Total Borrowing</w:t>
            </w:r>
          </w:p>
        </w:tc>
        <w:tc>
          <w:tcPr>
            <w:tcW w:w="140" w:type="dxa"/>
            <w:vAlign w:val="bottom"/>
          </w:tcPr>
          <w:p>
            <w:pPr>
              <w:spacing w:after="0"/>
              <w:rPr>
                <w:sz w:val="13"/>
                <w:szCs w:val="13"/>
                <w:color w:val="auto"/>
              </w:rPr>
            </w:pPr>
          </w:p>
        </w:tc>
        <w:tc>
          <w:tcPr>
            <w:tcW w:w="1300" w:type="dxa"/>
            <w:vAlign w:val="bottom"/>
            <w:gridSpan w:val="2"/>
          </w:tcPr>
          <w:p>
            <w:pPr>
              <w:jc w:val="center"/>
              <w:ind w:right="240"/>
              <w:spacing w:after="0" w:line="155" w:lineRule="exact"/>
              <w:rPr>
                <w:sz w:val="20"/>
                <w:szCs w:val="20"/>
                <w:color w:val="auto"/>
              </w:rPr>
            </w:pPr>
            <w:r>
              <w:rPr>
                <w:rFonts w:ascii="Arial" w:cs="Arial" w:eastAsia="Arial" w:hAnsi="Arial"/>
                <w:sz w:val="16"/>
                <w:szCs w:val="16"/>
                <w:b w:val="1"/>
                <w:bCs w:val="1"/>
                <w:color w:val="auto"/>
                <w:w w:val="92"/>
              </w:rPr>
              <w:t>Borrowing</w:t>
            </w:r>
          </w:p>
        </w:tc>
        <w:tc>
          <w:tcPr>
            <w:tcW w:w="200" w:type="dxa"/>
            <w:vAlign w:val="bottom"/>
          </w:tcPr>
          <w:p>
            <w:pPr>
              <w:spacing w:after="0"/>
              <w:rPr>
                <w:sz w:val="13"/>
                <w:szCs w:val="13"/>
                <w:color w:val="auto"/>
              </w:rPr>
            </w:pPr>
          </w:p>
        </w:tc>
        <w:tc>
          <w:tcPr>
            <w:tcW w:w="1240" w:type="dxa"/>
            <w:vAlign w:val="bottom"/>
            <w:gridSpan w:val="2"/>
          </w:tcPr>
          <w:p>
            <w:pPr>
              <w:jc w:val="center"/>
              <w:ind w:right="300"/>
              <w:spacing w:after="0" w:line="155" w:lineRule="exact"/>
              <w:rPr>
                <w:sz w:val="20"/>
                <w:szCs w:val="20"/>
                <w:color w:val="auto"/>
              </w:rPr>
            </w:pPr>
            <w:r>
              <w:rPr>
                <w:rFonts w:ascii="Arial" w:cs="Arial" w:eastAsia="Arial" w:hAnsi="Arial"/>
                <w:sz w:val="16"/>
                <w:szCs w:val="16"/>
                <w:b w:val="1"/>
                <w:bCs w:val="1"/>
                <w:color w:val="auto"/>
                <w:w w:val="92"/>
              </w:rPr>
              <w:t>Borrowing</w:t>
            </w:r>
          </w:p>
        </w:tc>
        <w:tc>
          <w:tcPr>
            <w:tcW w:w="100" w:type="dxa"/>
            <w:vAlign w:val="bottom"/>
          </w:tcPr>
          <w:p>
            <w:pPr>
              <w:spacing w:after="0"/>
              <w:rPr>
                <w:sz w:val="13"/>
                <w:szCs w:val="13"/>
                <w:color w:val="auto"/>
              </w:rPr>
            </w:pPr>
          </w:p>
        </w:tc>
        <w:tc>
          <w:tcPr>
            <w:tcW w:w="1340" w:type="dxa"/>
            <w:vAlign w:val="bottom"/>
            <w:gridSpan w:val="2"/>
            <w:vMerge w:val="restart"/>
          </w:tcPr>
          <w:p>
            <w:pPr>
              <w:jc w:val="center"/>
              <w:ind w:right="180"/>
              <w:spacing w:after="0"/>
              <w:rPr>
                <w:sz w:val="20"/>
                <w:szCs w:val="20"/>
                <w:color w:val="auto"/>
              </w:rPr>
            </w:pPr>
            <w:r>
              <w:rPr>
                <w:rFonts w:ascii="Arial" w:cs="Arial" w:eastAsia="Arial" w:hAnsi="Arial"/>
                <w:sz w:val="16"/>
                <w:szCs w:val="16"/>
                <w:b w:val="1"/>
                <w:bCs w:val="1"/>
                <w:color w:val="auto"/>
                <w:w w:val="94"/>
              </w:rPr>
              <w:t>Total Borrowing</w:t>
            </w:r>
          </w:p>
        </w:tc>
        <w:tc>
          <w:tcPr>
            <w:tcW w:w="140" w:type="dxa"/>
            <w:vAlign w:val="bottom"/>
          </w:tcPr>
          <w:p>
            <w:pPr>
              <w:spacing w:after="0"/>
              <w:rPr>
                <w:sz w:val="13"/>
                <w:szCs w:val="13"/>
                <w:color w:val="auto"/>
              </w:rPr>
            </w:pPr>
          </w:p>
        </w:tc>
        <w:tc>
          <w:tcPr>
            <w:tcW w:w="1320" w:type="dxa"/>
            <w:vAlign w:val="bottom"/>
            <w:gridSpan w:val="2"/>
          </w:tcPr>
          <w:p>
            <w:pPr>
              <w:jc w:val="center"/>
              <w:ind w:right="220"/>
              <w:spacing w:after="0" w:line="155" w:lineRule="exact"/>
              <w:rPr>
                <w:sz w:val="20"/>
                <w:szCs w:val="20"/>
                <w:color w:val="auto"/>
              </w:rPr>
            </w:pPr>
            <w:r>
              <w:rPr>
                <w:rFonts w:ascii="Arial" w:cs="Arial" w:eastAsia="Arial" w:hAnsi="Arial"/>
                <w:sz w:val="16"/>
                <w:szCs w:val="16"/>
                <w:b w:val="1"/>
                <w:bCs w:val="1"/>
                <w:color w:val="auto"/>
                <w:w w:val="92"/>
              </w:rPr>
              <w:t>Borrowing</w:t>
            </w:r>
          </w:p>
        </w:tc>
        <w:tc>
          <w:tcPr>
            <w:tcW w:w="200" w:type="dxa"/>
            <w:vAlign w:val="bottom"/>
          </w:tcPr>
          <w:p>
            <w:pPr>
              <w:spacing w:after="0"/>
              <w:rPr>
                <w:sz w:val="13"/>
                <w:szCs w:val="13"/>
                <w:color w:val="auto"/>
              </w:rPr>
            </w:pPr>
          </w:p>
        </w:tc>
        <w:tc>
          <w:tcPr>
            <w:tcW w:w="1160" w:type="dxa"/>
            <w:vAlign w:val="bottom"/>
          </w:tcPr>
          <w:p>
            <w:pPr>
              <w:jc w:val="center"/>
              <w:ind w:right="118"/>
              <w:spacing w:after="0" w:line="155" w:lineRule="exact"/>
              <w:rPr>
                <w:sz w:val="20"/>
                <w:szCs w:val="20"/>
                <w:color w:val="auto"/>
              </w:rPr>
            </w:pPr>
            <w:r>
              <w:rPr>
                <w:rFonts w:ascii="Arial" w:cs="Arial" w:eastAsia="Arial" w:hAnsi="Arial"/>
                <w:sz w:val="16"/>
                <w:szCs w:val="16"/>
                <w:b w:val="1"/>
                <w:bCs w:val="1"/>
                <w:color w:val="auto"/>
                <w:w w:val="94"/>
              </w:rPr>
              <w:t>Borrowing</w:t>
            </w:r>
          </w:p>
        </w:tc>
        <w:tc>
          <w:tcPr>
            <w:tcW w:w="0" w:type="dxa"/>
            <w:vAlign w:val="bottom"/>
          </w:tcPr>
          <w:p>
            <w:pPr>
              <w:spacing w:after="0"/>
              <w:rPr>
                <w:sz w:val="1"/>
                <w:szCs w:val="1"/>
                <w:color w:val="auto"/>
              </w:rPr>
            </w:pPr>
          </w:p>
        </w:tc>
      </w:tr>
      <w:tr>
        <w:trPr>
          <w:trHeight w:val="155"/>
        </w:trPr>
        <w:tc>
          <w:tcPr>
            <w:tcW w:w="2660" w:type="dxa"/>
            <w:vAlign w:val="bottom"/>
          </w:tcPr>
          <w:p>
            <w:pPr>
              <w:spacing w:after="0"/>
              <w:rPr>
                <w:sz w:val="13"/>
                <w:szCs w:val="13"/>
                <w:color w:val="auto"/>
              </w:rPr>
            </w:pPr>
          </w:p>
        </w:tc>
        <w:tc>
          <w:tcPr>
            <w:tcW w:w="144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gridSpan w:val="2"/>
          </w:tcPr>
          <w:p>
            <w:pPr>
              <w:jc w:val="center"/>
              <w:ind w:right="220"/>
              <w:spacing w:after="0" w:line="155" w:lineRule="exact"/>
              <w:rPr>
                <w:sz w:val="20"/>
                <w:szCs w:val="20"/>
                <w:color w:val="auto"/>
              </w:rPr>
            </w:pPr>
            <w:r>
              <w:rPr>
                <w:rFonts w:ascii="Arial" w:cs="Arial" w:eastAsia="Arial" w:hAnsi="Arial"/>
                <w:sz w:val="16"/>
                <w:szCs w:val="16"/>
                <w:b w:val="1"/>
                <w:bCs w:val="1"/>
                <w:color w:val="auto"/>
                <w:w w:val="94"/>
              </w:rPr>
              <w:t>Capacity -</w:t>
            </w:r>
          </w:p>
        </w:tc>
        <w:tc>
          <w:tcPr>
            <w:tcW w:w="200" w:type="dxa"/>
            <w:vAlign w:val="bottom"/>
          </w:tcPr>
          <w:p>
            <w:pPr>
              <w:spacing w:after="0"/>
              <w:rPr>
                <w:sz w:val="13"/>
                <w:szCs w:val="13"/>
                <w:color w:val="auto"/>
              </w:rPr>
            </w:pPr>
          </w:p>
        </w:tc>
        <w:tc>
          <w:tcPr>
            <w:tcW w:w="1240" w:type="dxa"/>
            <w:vAlign w:val="bottom"/>
            <w:gridSpan w:val="2"/>
          </w:tcPr>
          <w:p>
            <w:pPr>
              <w:jc w:val="center"/>
              <w:ind w:right="280"/>
              <w:spacing w:after="0" w:line="155" w:lineRule="exact"/>
              <w:rPr>
                <w:sz w:val="20"/>
                <w:szCs w:val="20"/>
                <w:color w:val="auto"/>
              </w:rPr>
            </w:pPr>
            <w:r>
              <w:rPr>
                <w:rFonts w:ascii="Arial" w:cs="Arial" w:eastAsia="Arial" w:hAnsi="Arial"/>
                <w:sz w:val="16"/>
                <w:szCs w:val="16"/>
                <w:b w:val="1"/>
                <w:bCs w:val="1"/>
                <w:color w:val="auto"/>
                <w:w w:val="94"/>
              </w:rPr>
              <w:t>Capacity -</w:t>
            </w:r>
          </w:p>
        </w:tc>
        <w:tc>
          <w:tcPr>
            <w:tcW w:w="100" w:type="dxa"/>
            <w:vAlign w:val="bottom"/>
          </w:tcPr>
          <w:p>
            <w:pPr>
              <w:spacing w:after="0"/>
              <w:rPr>
                <w:sz w:val="13"/>
                <w:szCs w:val="13"/>
                <w:color w:val="auto"/>
              </w:rPr>
            </w:pPr>
          </w:p>
        </w:tc>
        <w:tc>
          <w:tcPr>
            <w:tcW w:w="134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2"/>
          </w:tcPr>
          <w:p>
            <w:pPr>
              <w:jc w:val="center"/>
              <w:ind w:right="240"/>
              <w:spacing w:after="0" w:line="155" w:lineRule="exact"/>
              <w:rPr>
                <w:sz w:val="20"/>
                <w:szCs w:val="20"/>
                <w:color w:val="auto"/>
              </w:rPr>
            </w:pPr>
            <w:r>
              <w:rPr>
                <w:rFonts w:ascii="Arial" w:cs="Arial" w:eastAsia="Arial" w:hAnsi="Arial"/>
                <w:sz w:val="16"/>
                <w:szCs w:val="16"/>
                <w:b w:val="1"/>
                <w:bCs w:val="1"/>
                <w:color w:val="auto"/>
                <w:w w:val="94"/>
              </w:rPr>
              <w:t>Capacity -</w:t>
            </w:r>
          </w:p>
        </w:tc>
        <w:tc>
          <w:tcPr>
            <w:tcW w:w="200" w:type="dxa"/>
            <w:vAlign w:val="bottom"/>
          </w:tcPr>
          <w:p>
            <w:pPr>
              <w:spacing w:after="0"/>
              <w:rPr>
                <w:sz w:val="13"/>
                <w:szCs w:val="13"/>
                <w:color w:val="auto"/>
              </w:rPr>
            </w:pPr>
          </w:p>
        </w:tc>
        <w:tc>
          <w:tcPr>
            <w:tcW w:w="1160" w:type="dxa"/>
            <w:vAlign w:val="bottom"/>
          </w:tcPr>
          <w:p>
            <w:pPr>
              <w:jc w:val="center"/>
              <w:ind w:right="118"/>
              <w:spacing w:after="0" w:line="155" w:lineRule="exact"/>
              <w:rPr>
                <w:sz w:val="20"/>
                <w:szCs w:val="20"/>
                <w:color w:val="auto"/>
              </w:rPr>
            </w:pPr>
            <w:r>
              <w:rPr>
                <w:rFonts w:ascii="Arial" w:cs="Arial" w:eastAsia="Arial" w:hAnsi="Arial"/>
                <w:sz w:val="16"/>
                <w:szCs w:val="16"/>
                <w:b w:val="1"/>
                <w:bCs w:val="1"/>
                <w:color w:val="auto"/>
                <w:w w:val="94"/>
              </w:rPr>
              <w:t>Capacity -</w:t>
            </w:r>
          </w:p>
        </w:tc>
        <w:tc>
          <w:tcPr>
            <w:tcW w:w="0" w:type="dxa"/>
            <w:vAlign w:val="bottom"/>
          </w:tcPr>
          <w:p>
            <w:pPr>
              <w:spacing w:after="0"/>
              <w:rPr>
                <w:sz w:val="1"/>
                <w:szCs w:val="1"/>
                <w:color w:val="auto"/>
              </w:rPr>
            </w:pPr>
          </w:p>
        </w:tc>
      </w:tr>
      <w:tr>
        <w:trPr>
          <w:trHeight w:val="207"/>
        </w:trPr>
        <w:tc>
          <w:tcPr>
            <w:tcW w:w="2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Capacity (1)</w:t>
            </w:r>
          </w:p>
        </w:tc>
        <w:tc>
          <w:tcPr>
            <w:tcW w:w="140" w:type="dxa"/>
            <w:vAlign w:val="bottom"/>
          </w:tcPr>
          <w:p>
            <w:pPr>
              <w:spacing w:after="0"/>
              <w:rPr>
                <w:sz w:val="17"/>
                <w:szCs w:val="17"/>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Committed (1)</w:t>
            </w:r>
          </w:p>
        </w:tc>
        <w:tc>
          <w:tcPr>
            <w:tcW w:w="14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3"/>
              </w:rPr>
              <w:t>Uncommitted (1)</w:t>
            </w:r>
          </w:p>
        </w:tc>
        <w:tc>
          <w:tcPr>
            <w:tcW w:w="100" w:type="dxa"/>
            <w:vAlign w:val="bottom"/>
          </w:tcPr>
          <w:p>
            <w:pPr>
              <w:spacing w:after="0"/>
              <w:rPr>
                <w:sz w:val="17"/>
                <w:szCs w:val="17"/>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4"/>
              </w:rPr>
              <w:t>Capacity (1)</w:t>
            </w:r>
          </w:p>
        </w:tc>
        <w:tc>
          <w:tcPr>
            <w:tcW w:w="140" w:type="dxa"/>
            <w:vAlign w:val="bottom"/>
          </w:tcPr>
          <w:p>
            <w:pPr>
              <w:spacing w:after="0"/>
              <w:rPr>
                <w:sz w:val="17"/>
                <w:szCs w:val="17"/>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4"/>
              </w:rPr>
              <w:t>Committed (1)</w:t>
            </w:r>
          </w:p>
        </w:tc>
        <w:tc>
          <w:tcPr>
            <w:tcW w:w="13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5"/>
              </w:rPr>
              <w:t>Uncommitted (1)</w:t>
            </w:r>
          </w:p>
        </w:tc>
        <w:tc>
          <w:tcPr>
            <w:tcW w:w="0" w:type="dxa"/>
            <w:vAlign w:val="bottom"/>
          </w:tcPr>
          <w:p>
            <w:pPr>
              <w:spacing w:after="0"/>
              <w:rPr>
                <w:sz w:val="1"/>
                <w:szCs w:val="1"/>
                <w:color w:val="auto"/>
              </w:rPr>
            </w:pPr>
          </w:p>
        </w:tc>
      </w:tr>
      <w:tr>
        <w:trPr>
          <w:trHeight w:val="213"/>
        </w:trPr>
        <w:tc>
          <w:tcPr>
            <w:tcW w:w="2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Advance facilities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Borders>
              <w:top w:val="single" w:sz="8" w:color="auto"/>
            </w:tcBorders>
            <w:shd w:val="clear" w:color="auto" w:fill="CCEEFF"/>
          </w:tcPr>
          <w:p>
            <w:pPr>
              <w:jc w:val="right"/>
              <w:ind w:right="38"/>
              <w:spacing w:after="0"/>
              <w:rPr>
                <w:sz w:val="20"/>
                <w:szCs w:val="20"/>
                <w:color w:val="auto"/>
              </w:rPr>
            </w:pPr>
            <w:r>
              <w:rPr>
                <w:rFonts w:ascii="Arial" w:cs="Arial" w:eastAsia="Arial" w:hAnsi="Arial"/>
                <w:sz w:val="17"/>
                <w:szCs w:val="17"/>
                <w:color w:val="auto"/>
              </w:rPr>
              <w:t>570.0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tcBorders>
            <w:shd w:val="clear" w:color="auto" w:fill="CCEEFF"/>
          </w:tcPr>
          <w:p>
            <w:pPr>
              <w:jc w:val="right"/>
              <w:ind w:right="38"/>
              <w:spacing w:after="0"/>
              <w:rPr>
                <w:sz w:val="20"/>
                <w:szCs w:val="20"/>
                <w:color w:val="auto"/>
              </w:rPr>
            </w:pPr>
            <w:r>
              <w:rPr>
                <w:rFonts w:ascii="Arial" w:cs="Arial" w:eastAsia="Arial" w:hAnsi="Arial"/>
                <w:sz w:val="17"/>
                <w:szCs w:val="17"/>
                <w:color w:val="auto"/>
              </w:rPr>
              <w:t>74.5</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shd w:val="clear" w:color="auto" w:fill="CCEEFF"/>
          </w:tcPr>
          <w:p>
            <w:pPr>
              <w:jc w:val="right"/>
              <w:ind w:right="58"/>
              <w:spacing w:after="0"/>
              <w:rPr>
                <w:sz w:val="20"/>
                <w:szCs w:val="20"/>
                <w:color w:val="auto"/>
              </w:rPr>
            </w:pPr>
            <w:r>
              <w:rPr>
                <w:rFonts w:ascii="Arial" w:cs="Arial" w:eastAsia="Arial" w:hAnsi="Arial"/>
                <w:sz w:val="16"/>
                <w:szCs w:val="16"/>
                <w:color w:val="auto"/>
              </w:rPr>
              <w:t>18.5</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shd w:val="clear" w:color="auto" w:fill="CCEEFF"/>
          </w:tcPr>
          <w:p>
            <w:pPr>
              <w:jc w:val="right"/>
              <w:ind w:right="38"/>
              <w:spacing w:after="0"/>
              <w:rPr>
                <w:sz w:val="20"/>
                <w:szCs w:val="20"/>
                <w:color w:val="auto"/>
              </w:rPr>
            </w:pPr>
            <w:r>
              <w:rPr>
                <w:rFonts w:ascii="Arial" w:cs="Arial" w:eastAsia="Arial" w:hAnsi="Arial"/>
                <w:sz w:val="16"/>
                <w:szCs w:val="16"/>
                <w:color w:val="auto"/>
              </w:rPr>
              <w:t>595.0</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shd w:val="clear" w:color="auto" w:fill="CCEEFF"/>
          </w:tcPr>
          <w:p>
            <w:pPr>
              <w:jc w:val="right"/>
              <w:ind w:right="38"/>
              <w:spacing w:after="0"/>
              <w:rPr>
                <w:sz w:val="20"/>
                <w:szCs w:val="20"/>
                <w:color w:val="auto"/>
              </w:rPr>
            </w:pPr>
            <w:r>
              <w:rPr>
                <w:rFonts w:ascii="Arial" w:cs="Arial" w:eastAsia="Arial" w:hAnsi="Arial"/>
                <w:sz w:val="16"/>
                <w:szCs w:val="16"/>
                <w:color w:val="auto"/>
              </w:rPr>
              <w:t>82.7</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shd w:val="clear" w:color="auto" w:fill="CCEEFF"/>
          </w:tcPr>
          <w:p>
            <w:pPr>
              <w:jc w:val="right"/>
              <w:ind w:right="3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2660" w:type="dxa"/>
            <w:vAlign w:val="bottom"/>
          </w:tcPr>
          <w:p>
            <w:pPr>
              <w:ind w:left="20"/>
              <w:spacing w:after="0"/>
              <w:rPr>
                <w:sz w:val="20"/>
                <w:szCs w:val="20"/>
                <w:color w:val="auto"/>
              </w:rPr>
            </w:pPr>
            <w:r>
              <w:rPr>
                <w:rFonts w:ascii="Arial" w:cs="Arial" w:eastAsia="Arial" w:hAnsi="Arial"/>
                <w:sz w:val="17"/>
                <w:szCs w:val="17"/>
                <w:color w:val="auto"/>
              </w:rPr>
              <w:t>Mortgage loan warehouse facilities</w:t>
            </w:r>
          </w:p>
        </w:tc>
        <w:tc>
          <w:tcPr>
            <w:tcW w:w="180" w:type="dxa"/>
            <w:vAlign w:val="bottom"/>
          </w:tcPr>
          <w:p>
            <w:pPr>
              <w:spacing w:after="0"/>
              <w:rPr>
                <w:sz w:val="19"/>
                <w:szCs w:val="19"/>
                <w:color w:val="auto"/>
              </w:rPr>
            </w:pPr>
          </w:p>
        </w:tc>
        <w:tc>
          <w:tcPr>
            <w:tcW w:w="1160" w:type="dxa"/>
            <w:vAlign w:val="bottom"/>
          </w:tcPr>
          <w:p>
            <w:pPr>
              <w:jc w:val="right"/>
              <w:ind w:right="38"/>
              <w:spacing w:after="0"/>
              <w:rPr>
                <w:sz w:val="20"/>
                <w:szCs w:val="20"/>
                <w:color w:val="auto"/>
              </w:rPr>
            </w:pPr>
            <w:r>
              <w:rPr>
                <w:rFonts w:ascii="Arial" w:cs="Arial" w:eastAsia="Arial" w:hAnsi="Arial"/>
                <w:sz w:val="16"/>
                <w:szCs w:val="16"/>
                <w:color w:val="auto"/>
              </w:rPr>
              <w:t>2,109.1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ind w:right="38"/>
              <w:spacing w:after="0"/>
              <w:rPr>
                <w:sz w:val="20"/>
                <w:szCs w:val="20"/>
                <w:color w:val="auto"/>
              </w:rPr>
            </w:pPr>
            <w:r>
              <w:rPr>
                <w:rFonts w:ascii="Arial" w:cs="Arial" w:eastAsia="Arial" w:hAnsi="Arial"/>
                <w:sz w:val="16"/>
                <w:szCs w:val="16"/>
                <w:color w:val="auto"/>
              </w:rPr>
              <w:t>288.5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ind w:right="58"/>
              <w:spacing w:after="0"/>
              <w:rPr>
                <w:sz w:val="20"/>
                <w:szCs w:val="20"/>
                <w:color w:val="auto"/>
              </w:rPr>
            </w:pPr>
            <w:r>
              <w:rPr>
                <w:rFonts w:ascii="Arial" w:cs="Arial" w:eastAsia="Arial" w:hAnsi="Arial"/>
                <w:sz w:val="16"/>
                <w:szCs w:val="16"/>
                <w:color w:val="auto"/>
              </w:rPr>
              <w:t>1,041.3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ind w:right="38"/>
              <w:spacing w:after="0"/>
              <w:rPr>
                <w:sz w:val="20"/>
                <w:szCs w:val="20"/>
                <w:color w:val="auto"/>
              </w:rPr>
            </w:pPr>
            <w:r>
              <w:rPr>
                <w:rFonts w:ascii="Arial" w:cs="Arial" w:eastAsia="Arial" w:hAnsi="Arial"/>
                <w:sz w:val="16"/>
                <w:szCs w:val="16"/>
                <w:color w:val="auto"/>
              </w:rPr>
              <w:t>2,119.3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ind w:right="38"/>
              <w:spacing w:after="0"/>
              <w:rPr>
                <w:sz w:val="20"/>
                <w:szCs w:val="20"/>
                <w:color w:val="auto"/>
              </w:rPr>
            </w:pPr>
            <w:r>
              <w:rPr>
                <w:rFonts w:ascii="Arial" w:cs="Arial" w:eastAsia="Arial" w:hAnsi="Arial"/>
                <w:sz w:val="16"/>
                <w:szCs w:val="16"/>
                <w:color w:val="auto"/>
              </w:rPr>
              <w:t>240.3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ind w:right="38"/>
              <w:spacing w:after="0"/>
              <w:rPr>
                <w:sz w:val="20"/>
                <w:szCs w:val="20"/>
                <w:color w:val="auto"/>
              </w:rPr>
            </w:pPr>
            <w:r>
              <w:rPr>
                <w:rFonts w:ascii="Arial" w:cs="Arial" w:eastAsia="Arial" w:hAnsi="Arial"/>
                <w:sz w:val="16"/>
                <w:szCs w:val="16"/>
                <w:color w:val="auto"/>
              </w:rPr>
              <w:t>794.0</w:t>
            </w:r>
          </w:p>
        </w:tc>
        <w:tc>
          <w:tcPr>
            <w:tcW w:w="0" w:type="dxa"/>
            <w:vAlign w:val="bottom"/>
          </w:tcPr>
          <w:p>
            <w:pPr>
              <w:spacing w:after="0"/>
              <w:rPr>
                <w:sz w:val="1"/>
                <w:szCs w:val="1"/>
                <w:color w:val="auto"/>
              </w:rPr>
            </w:pPr>
          </w:p>
        </w:tc>
      </w:tr>
      <w:tr>
        <w:trPr>
          <w:trHeight w:val="207"/>
        </w:trPr>
        <w:tc>
          <w:tcPr>
            <w:tcW w:w="2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MSR financing facilities</w:t>
            </w:r>
          </w:p>
        </w:tc>
        <w:tc>
          <w:tcPr>
            <w:tcW w:w="18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6"/>
                <w:szCs w:val="16"/>
                <w:color w:val="auto"/>
              </w:rPr>
              <w:t>910.0</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6"/>
                <w:szCs w:val="16"/>
                <w:color w:val="auto"/>
              </w:rPr>
              <w:t>68.9</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6"/>
                <w:szCs w:val="16"/>
                <w:color w:val="auto"/>
              </w:rPr>
              <w:t>49.5</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6"/>
                <w:szCs w:val="16"/>
                <w:color w:val="auto"/>
              </w:rPr>
              <w:t>785.0</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6"/>
                <w:szCs w:val="16"/>
                <w:color w:val="auto"/>
              </w:rPr>
              <w:t>40.4</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6"/>
                <w:szCs w:val="16"/>
                <w:color w:val="auto"/>
              </w:rPr>
              <w:t>18.3</w:t>
            </w:r>
          </w:p>
        </w:tc>
        <w:tc>
          <w:tcPr>
            <w:tcW w:w="0" w:type="dxa"/>
            <w:vAlign w:val="bottom"/>
          </w:tcPr>
          <w:p>
            <w:pPr>
              <w:spacing w:after="0"/>
              <w:rPr>
                <w:sz w:val="1"/>
                <w:szCs w:val="1"/>
                <w:color w:val="auto"/>
              </w:rPr>
            </w:pPr>
          </w:p>
        </w:tc>
      </w:tr>
      <w:tr>
        <w:trPr>
          <w:trHeight w:val="200"/>
        </w:trPr>
        <w:tc>
          <w:tcPr>
            <w:tcW w:w="2660" w:type="dxa"/>
            <w:vAlign w:val="bottom"/>
          </w:tcPr>
          <w:p>
            <w:pPr>
              <w:ind w:left="12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color w:val="auto"/>
              </w:rPr>
              <w:t>3,589.1</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color w:val="auto"/>
              </w:rPr>
              <w:t>432.0</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ind w:right="58"/>
              <w:spacing w:after="0"/>
              <w:rPr>
                <w:sz w:val="20"/>
                <w:szCs w:val="20"/>
                <w:color w:val="auto"/>
              </w:rPr>
            </w:pPr>
            <w:r>
              <w:rPr>
                <w:rFonts w:ascii="Arial" w:cs="Arial" w:eastAsia="Arial" w:hAnsi="Arial"/>
                <w:sz w:val="16"/>
                <w:szCs w:val="16"/>
                <w:color w:val="auto"/>
              </w:rPr>
              <w:t>1,109.3</w:t>
            </w:r>
          </w:p>
        </w:tc>
        <w:tc>
          <w:tcPr>
            <w:tcW w:w="8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color w:val="auto"/>
              </w:rPr>
              <w:t>3,499.3</w:t>
            </w:r>
          </w:p>
        </w:tc>
        <w:tc>
          <w:tcPr>
            <w:tcW w:w="8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color w:val="auto"/>
              </w:rPr>
              <w:t>363.4</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color w:val="auto"/>
              </w:rPr>
              <w:t>812.3</w:t>
            </w:r>
          </w:p>
        </w:tc>
        <w:tc>
          <w:tcPr>
            <w:tcW w:w="0" w:type="dxa"/>
            <w:vAlign w:val="bottom"/>
          </w:tcPr>
          <w:p>
            <w:pPr>
              <w:spacing w:after="0"/>
              <w:rPr>
                <w:sz w:val="1"/>
                <w:szCs w:val="1"/>
                <w:color w:val="auto"/>
              </w:rPr>
            </w:pPr>
          </w:p>
        </w:tc>
      </w:tr>
      <w:tr>
        <w:trPr>
          <w:trHeight w:val="20"/>
        </w:trPr>
        <w:tc>
          <w:tcPr>
            <w:tcW w:w="26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Capacity increase (decrease)</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89.8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68.6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297.0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3%</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07"/>
        </w:trPr>
        <w:tc>
          <w:tcPr>
            <w:tcW w:w="2660" w:type="dxa"/>
            <w:vAlign w:val="bottom"/>
          </w:tcPr>
          <w:p>
            <w:pPr>
              <w:ind w:left="20"/>
              <w:spacing w:after="0"/>
              <w:rPr>
                <w:sz w:val="20"/>
                <w:szCs w:val="20"/>
                <w:color w:val="auto"/>
              </w:rPr>
            </w:pPr>
            <w:r>
              <w:rPr>
                <w:rFonts w:ascii="Arial" w:cs="Arial" w:eastAsia="Arial" w:hAnsi="Arial"/>
                <w:sz w:val="16"/>
                <w:szCs w:val="16"/>
                <w:color w:val="auto"/>
              </w:rPr>
              <w:t>Advance facilities</w:t>
            </w:r>
          </w:p>
        </w:tc>
        <w:tc>
          <w:tcPr>
            <w:tcW w:w="180" w:type="dxa"/>
            <w:vAlign w:val="bottom"/>
          </w:tcPr>
          <w:p>
            <w:pPr>
              <w:spacing w:after="0"/>
              <w:rPr>
                <w:sz w:val="17"/>
                <w:szCs w:val="17"/>
                <w:color w:val="auto"/>
              </w:rPr>
            </w:pPr>
          </w:p>
        </w:tc>
        <w:tc>
          <w:tcPr>
            <w:tcW w:w="1160" w:type="dxa"/>
            <w:vAlign w:val="bottom"/>
          </w:tcPr>
          <w:p>
            <w:pPr>
              <w:jc w:val="right"/>
              <w:ind w:right="38"/>
              <w:spacing w:after="0"/>
              <w:rPr>
                <w:sz w:val="20"/>
                <w:szCs w:val="20"/>
                <w:color w:val="auto"/>
              </w:rPr>
            </w:pPr>
            <w:r>
              <w:rPr>
                <w:rFonts w:ascii="Arial" w:cs="Arial" w:eastAsia="Arial" w:hAnsi="Arial"/>
                <w:sz w:val="16"/>
                <w:szCs w:val="16"/>
                <w:color w:val="auto"/>
              </w:rPr>
              <w:t>(25.0)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ind w:right="38"/>
              <w:spacing w:after="0"/>
              <w:rPr>
                <w:sz w:val="20"/>
                <w:szCs w:val="20"/>
                <w:color w:val="auto"/>
              </w:rPr>
            </w:pPr>
            <w:r>
              <w:rPr>
                <w:rFonts w:ascii="Arial" w:cs="Arial" w:eastAsia="Arial" w:hAnsi="Arial"/>
                <w:sz w:val="16"/>
                <w:szCs w:val="16"/>
                <w:color w:val="auto"/>
              </w:rPr>
              <w:t>(8.2)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ind w:right="58"/>
              <w:spacing w:after="0"/>
              <w:rPr>
                <w:sz w:val="20"/>
                <w:szCs w:val="20"/>
                <w:color w:val="auto"/>
              </w:rPr>
            </w:pPr>
            <w:r>
              <w:rPr>
                <w:rFonts w:ascii="Arial" w:cs="Arial" w:eastAsia="Arial" w:hAnsi="Arial"/>
                <w:sz w:val="16"/>
                <w:szCs w:val="16"/>
                <w:color w:val="auto"/>
              </w:rPr>
              <w:t>18.5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right"/>
              <w:ind w:right="38"/>
              <w:spacing w:after="0"/>
              <w:rPr>
                <w:sz w:val="20"/>
                <w:szCs w:val="20"/>
                <w:color w:val="auto"/>
              </w:rPr>
            </w:pPr>
            <w:r>
              <w:rPr>
                <w:rFonts w:ascii="Arial" w:cs="Arial" w:eastAsia="Arial" w:hAnsi="Arial"/>
                <w:sz w:val="16"/>
                <w:szCs w:val="16"/>
                <w:color w:val="auto"/>
              </w:rPr>
              <w:t>(4)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ind w:right="38"/>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ind w:right="3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2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Mortgage loan warehouse facilities</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(10.2)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48.2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247.3</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08"/>
        </w:trPr>
        <w:tc>
          <w:tcPr>
            <w:tcW w:w="2660" w:type="dxa"/>
            <w:vAlign w:val="bottom"/>
          </w:tcPr>
          <w:p>
            <w:pPr>
              <w:ind w:left="20"/>
              <w:spacing w:after="0"/>
              <w:rPr>
                <w:sz w:val="20"/>
                <w:szCs w:val="20"/>
                <w:color w:val="auto"/>
              </w:rPr>
            </w:pPr>
            <w:r>
              <w:rPr>
                <w:rFonts w:ascii="Arial" w:cs="Arial" w:eastAsia="Arial" w:hAnsi="Arial"/>
                <w:sz w:val="16"/>
                <w:szCs w:val="16"/>
                <w:color w:val="auto"/>
              </w:rPr>
              <w:t>MSR financing facilities</w:t>
            </w:r>
          </w:p>
        </w:tc>
        <w:tc>
          <w:tcPr>
            <w:tcW w:w="180" w:type="dxa"/>
            <w:vAlign w:val="bottom"/>
          </w:tcPr>
          <w:p>
            <w:pPr>
              <w:spacing w:after="0"/>
              <w:rPr>
                <w:sz w:val="18"/>
                <w:szCs w:val="18"/>
                <w:color w:val="auto"/>
              </w:rPr>
            </w:pPr>
          </w:p>
        </w:tc>
        <w:tc>
          <w:tcPr>
            <w:tcW w:w="1160" w:type="dxa"/>
            <w:vAlign w:val="bottom"/>
          </w:tcPr>
          <w:p>
            <w:pPr>
              <w:jc w:val="right"/>
              <w:ind w:right="38"/>
              <w:spacing w:after="0"/>
              <w:rPr>
                <w:sz w:val="20"/>
                <w:szCs w:val="20"/>
                <w:color w:val="auto"/>
              </w:rPr>
            </w:pPr>
            <w:r>
              <w:rPr>
                <w:rFonts w:ascii="Arial" w:cs="Arial" w:eastAsia="Arial" w:hAnsi="Arial"/>
                <w:sz w:val="16"/>
                <w:szCs w:val="16"/>
                <w:color w:val="auto"/>
              </w:rPr>
              <w:t>125.0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38"/>
              <w:spacing w:after="0"/>
              <w:rPr>
                <w:sz w:val="20"/>
                <w:szCs w:val="20"/>
                <w:color w:val="auto"/>
              </w:rPr>
            </w:pPr>
            <w:r>
              <w:rPr>
                <w:rFonts w:ascii="Arial" w:cs="Arial" w:eastAsia="Arial" w:hAnsi="Arial"/>
                <w:sz w:val="16"/>
                <w:szCs w:val="16"/>
                <w:color w:val="auto"/>
              </w:rPr>
              <w:t>28.5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58"/>
              <w:spacing w:after="0"/>
              <w:rPr>
                <w:sz w:val="20"/>
                <w:szCs w:val="20"/>
                <w:color w:val="auto"/>
              </w:rPr>
            </w:pPr>
            <w:r>
              <w:rPr>
                <w:rFonts w:ascii="Arial" w:cs="Arial" w:eastAsia="Arial" w:hAnsi="Arial"/>
                <w:sz w:val="16"/>
                <w:szCs w:val="16"/>
                <w:color w:val="auto"/>
              </w:rPr>
              <w:t>31.2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ind w:right="38"/>
              <w:spacing w:after="0"/>
              <w:rPr>
                <w:sz w:val="20"/>
                <w:szCs w:val="20"/>
                <w:color w:val="auto"/>
              </w:rPr>
            </w:pPr>
            <w:r>
              <w:rPr>
                <w:rFonts w:ascii="Arial" w:cs="Arial" w:eastAsia="Arial" w:hAnsi="Arial"/>
                <w:sz w:val="16"/>
                <w:szCs w:val="16"/>
                <w:color w:val="auto"/>
              </w:rPr>
              <w:t>16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38"/>
              <w:spacing w:after="0"/>
              <w:rPr>
                <w:sz w:val="20"/>
                <w:szCs w:val="20"/>
                <w:color w:val="auto"/>
              </w:rPr>
            </w:pPr>
            <w:r>
              <w:rPr>
                <w:rFonts w:ascii="Arial" w:cs="Arial" w:eastAsia="Arial" w:hAnsi="Arial"/>
                <w:sz w:val="16"/>
                <w:szCs w:val="16"/>
                <w:color w:val="auto"/>
              </w:rPr>
              <w:t>71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38"/>
              <w:spacing w:after="0"/>
              <w:rPr>
                <w:sz w:val="20"/>
                <w:szCs w:val="20"/>
                <w:color w:val="auto"/>
              </w:rPr>
            </w:pPr>
            <w:r>
              <w:rPr>
                <w:rFonts w:ascii="Arial" w:cs="Arial" w:eastAsia="Arial" w:hAnsi="Arial"/>
                <w:sz w:val="16"/>
                <w:szCs w:val="16"/>
                <w:color w:val="auto"/>
              </w:rPr>
              <w:t>170</w:t>
            </w:r>
          </w:p>
        </w:tc>
        <w:tc>
          <w:tcPr>
            <w:tcW w:w="0" w:type="dxa"/>
            <w:vAlign w:val="bottom"/>
          </w:tcPr>
          <w:p>
            <w:pPr>
              <w:spacing w:after="0"/>
              <w:rPr>
                <w:sz w:val="1"/>
                <w:szCs w:val="1"/>
                <w:color w:val="auto"/>
              </w:rPr>
            </w:pPr>
          </w:p>
        </w:tc>
      </w:tr>
    </w:tbl>
    <w:p>
      <w:pPr>
        <w:spacing w:after="0" w:line="185" w:lineRule="exact"/>
        <w:rPr>
          <w:sz w:val="20"/>
          <w:szCs w:val="20"/>
          <w:color w:val="auto"/>
        </w:rPr>
      </w:pPr>
    </w:p>
    <w:p>
      <w:pPr>
        <w:ind w:left="320" w:right="260" w:hanging="317"/>
        <w:spacing w:after="0" w:line="251" w:lineRule="auto"/>
        <w:tabs>
          <w:tab w:leader="none" w:pos="32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Total Borrowing Capacity represents the maximum amount which can be borrowed, subject to eligible collateral. Available Borrowing Capacity represents Total Borrowing Capacity less outstanding borrowings.</w:t>
      </w:r>
    </w:p>
    <w:p>
      <w:pPr>
        <w:spacing w:after="0" w:line="76"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color w:val="auto"/>
        </w:rPr>
        <w:t>Our total borrowing capacity increased by $89.8 million (or 3%) in the six months ended June 30, 2022, mostly driven by a $125.0 million (16%) increase in the capacity of our MSR financing facilities to fund our MSR portfolio growth. Partially offsetting this increase is a $25.0 million decrease in capacity on our advance facilities, consistent with the decrease in our advances. At June 30, 2022, none of the available borrowing capacity under our advance financing facilities could be funded based on the amount of eligible collateral that had been pledged to such facilities. Also, none of our uncommitted borrowing capacity was available to fund advances at June 30, 2022 under our Ginnie Mae MSR financing facility based on the amount of eligible collateral.</w:t>
      </w:r>
    </w:p>
    <w:p>
      <w:pPr>
        <w:spacing w:after="0" w:line="47" w:lineRule="exact"/>
        <w:rPr>
          <w:sz w:val="20"/>
          <w:szCs w:val="20"/>
          <w:color w:val="auto"/>
        </w:rPr>
      </w:pPr>
    </w:p>
    <w:p>
      <w:pPr>
        <w:ind w:right="20"/>
        <w:spacing w:after="0" w:line="231" w:lineRule="auto"/>
        <w:rPr>
          <w:sz w:val="20"/>
          <w:szCs w:val="20"/>
          <w:color w:val="auto"/>
        </w:rPr>
      </w:pPr>
      <w:r>
        <w:rPr>
          <w:rFonts w:ascii="Arial" w:cs="Arial" w:eastAsia="Arial" w:hAnsi="Arial"/>
          <w:sz w:val="17"/>
          <w:szCs w:val="17"/>
          <w:color w:val="auto"/>
        </w:rPr>
        <w:t>We may utilize committed borrowing capacity under our mortgage warehouse facilities and MSR financing facilities to the extent we have sufficient eligible collateral to borrow against and otherwise satisfy the applicable conditions to funding. At June 30, 2022, we had $1.9 million committed borrowing capacity under our mortgage loan warehouse facilities and $10.6 million committed borrowing capacity under our MSR financing facilities, based on the amount of eligible collateral. Uncommitted amounts can be advanced at the discretion of the lender, and there can be no assurance that any uncommitted amounts will be available to us at any particular time.</w:t>
      </w:r>
    </w:p>
    <w:p>
      <w:pPr>
        <w:spacing w:after="0" w:line="80" w:lineRule="exact"/>
        <w:rPr>
          <w:sz w:val="20"/>
          <w:szCs w:val="20"/>
          <w:color w:val="auto"/>
        </w:rPr>
      </w:pPr>
    </w:p>
    <w:p>
      <w:pPr>
        <w:ind w:right="160"/>
        <w:spacing w:after="0" w:line="283" w:lineRule="auto"/>
        <w:rPr>
          <w:sz w:val="20"/>
          <w:szCs w:val="20"/>
          <w:color w:val="auto"/>
        </w:rPr>
      </w:pPr>
      <w:r>
        <w:rPr>
          <w:rFonts w:ascii="Arial" w:cs="Arial" w:eastAsia="Arial" w:hAnsi="Arial"/>
          <w:sz w:val="17"/>
          <w:szCs w:val="17"/>
          <w:color w:val="auto"/>
        </w:rPr>
        <w:t>At June 30, 2022, our unrestricted cash position was $255.9 million compared to $192.8 million at December 31, 2021. We typically invest cash in excess of our immediate operating needs in deposit accounts and other liquid assets.</w:t>
      </w:r>
    </w:p>
    <w:p>
      <w:pPr>
        <w:spacing w:after="0" w:line="56" w:lineRule="exact"/>
        <w:rPr>
          <w:sz w:val="20"/>
          <w:szCs w:val="20"/>
          <w:color w:val="auto"/>
        </w:rPr>
      </w:pPr>
    </w:p>
    <w:p>
      <w:pPr>
        <w:ind w:right="560"/>
        <w:spacing w:after="0" w:line="283" w:lineRule="auto"/>
        <w:rPr>
          <w:sz w:val="20"/>
          <w:szCs w:val="20"/>
          <w:color w:val="auto"/>
        </w:rPr>
      </w:pPr>
      <w:r>
        <w:rPr>
          <w:rFonts w:ascii="Arial" w:cs="Arial" w:eastAsia="Arial" w:hAnsi="Arial"/>
          <w:sz w:val="17"/>
          <w:szCs w:val="17"/>
          <w:color w:val="auto"/>
        </w:rPr>
        <w:t>We strive to optimize our daily cash position to reduce financing costs while closely monitoring our liquidity needs and ongoing funding requirements. We regularly monitor and project cash flows over various time horizons as a way to anticipate and mitigate liquidity risk.</w:t>
      </w:r>
    </w:p>
    <w:p>
      <w:pPr>
        <w:spacing w:after="0" w:line="56" w:lineRule="exact"/>
        <w:rPr>
          <w:sz w:val="20"/>
          <w:szCs w:val="20"/>
          <w:color w:val="auto"/>
        </w:rPr>
      </w:pPr>
    </w:p>
    <w:p>
      <w:pPr>
        <w:spacing w:after="0"/>
        <w:rPr>
          <w:sz w:val="20"/>
          <w:szCs w:val="20"/>
          <w:color w:val="auto"/>
        </w:rPr>
      </w:pPr>
      <w:r>
        <w:rPr>
          <w:rFonts w:ascii="Arial" w:cs="Arial" w:eastAsia="Arial" w:hAnsi="Arial"/>
          <w:sz w:val="17"/>
          <w:szCs w:val="17"/>
          <w:color w:val="auto"/>
        </w:rPr>
        <w:t>In assessing our liquidity outlook, our primary focus is on available cash on hand, unused available funding and the following forecast measures:</w:t>
      </w:r>
    </w:p>
    <w:p>
      <w:pPr>
        <w:spacing w:after="0" w:line="115" w:lineRule="exact"/>
        <w:rPr>
          <w:sz w:val="20"/>
          <w:szCs w:val="20"/>
          <w:color w:val="auto"/>
        </w:rPr>
      </w:pPr>
    </w:p>
    <w:p>
      <w:pPr>
        <w:ind w:left="620" w:hanging="307"/>
        <w:spacing w:after="0"/>
        <w:tabs>
          <w:tab w:leader="none" w:pos="620" w:val="left"/>
        </w:tabs>
        <w:numPr>
          <w:ilvl w:val="0"/>
          <w:numId w:val="58"/>
        </w:numPr>
        <w:rPr>
          <w:rFonts w:ascii="Arial" w:cs="Arial" w:eastAsia="Arial" w:hAnsi="Arial"/>
          <w:sz w:val="17"/>
          <w:szCs w:val="17"/>
          <w:color w:val="auto"/>
        </w:rPr>
      </w:pPr>
      <w:r>
        <w:rPr>
          <w:rFonts w:ascii="Arial" w:cs="Arial" w:eastAsia="Arial" w:hAnsi="Arial"/>
          <w:sz w:val="17"/>
          <w:szCs w:val="17"/>
          <w:color w:val="auto"/>
        </w:rPr>
        <w:t>Financial projections for ongoing net income, excluding the impact of non-cash items, and working capital needs including loan repurchases;</w:t>
      </w:r>
    </w:p>
    <w:p>
      <w:pPr>
        <w:spacing w:after="0" w:line="23" w:lineRule="exact"/>
        <w:rPr>
          <w:rFonts w:ascii="Arial" w:cs="Arial" w:eastAsia="Arial" w:hAnsi="Arial"/>
          <w:sz w:val="17"/>
          <w:szCs w:val="17"/>
          <w:color w:val="auto"/>
        </w:rPr>
      </w:pPr>
    </w:p>
    <w:p>
      <w:pPr>
        <w:ind w:left="620" w:hanging="307"/>
        <w:spacing w:after="0"/>
        <w:tabs>
          <w:tab w:leader="none" w:pos="620" w:val="left"/>
        </w:tabs>
        <w:numPr>
          <w:ilvl w:val="0"/>
          <w:numId w:val="58"/>
        </w:numPr>
        <w:rPr>
          <w:rFonts w:ascii="Arial" w:cs="Arial" w:eastAsia="Arial" w:hAnsi="Arial"/>
          <w:sz w:val="17"/>
          <w:szCs w:val="17"/>
          <w:color w:val="auto"/>
        </w:rPr>
      </w:pPr>
      <w:r>
        <w:rPr>
          <w:rFonts w:ascii="Arial" w:cs="Arial" w:eastAsia="Arial" w:hAnsi="Arial"/>
          <w:sz w:val="17"/>
          <w:szCs w:val="17"/>
          <w:color w:val="auto"/>
        </w:rPr>
        <w:t>Requirements for amortizing and maturing liabilities;</w:t>
      </w:r>
    </w:p>
    <w:p>
      <w:pPr>
        <w:spacing w:after="0" w:line="11" w:lineRule="exact"/>
        <w:rPr>
          <w:rFonts w:ascii="Arial" w:cs="Arial" w:eastAsia="Arial" w:hAnsi="Arial"/>
          <w:sz w:val="17"/>
          <w:szCs w:val="17"/>
          <w:color w:val="auto"/>
        </w:rPr>
      </w:pPr>
    </w:p>
    <w:p>
      <w:pPr>
        <w:ind w:left="620" w:right="560" w:hanging="307"/>
        <w:spacing w:after="0" w:line="253" w:lineRule="auto"/>
        <w:tabs>
          <w:tab w:leader="none" w:pos="616"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projected change in advances compared to the projected borrowing capacity to fund such advances under our facilities, including capacity for monthly peak needs;</w:t>
      </w:r>
    </w:p>
    <w:p>
      <w:pPr>
        <w:spacing w:after="0" w:line="1" w:lineRule="exact"/>
        <w:rPr>
          <w:rFonts w:ascii="Arial" w:cs="Arial" w:eastAsia="Arial" w:hAnsi="Arial"/>
          <w:sz w:val="17"/>
          <w:szCs w:val="17"/>
          <w:color w:val="auto"/>
        </w:rPr>
      </w:pPr>
    </w:p>
    <w:p>
      <w:pPr>
        <w:ind w:left="620" w:hanging="307"/>
        <w:spacing w:after="0"/>
        <w:tabs>
          <w:tab w:leader="none" w:pos="620" w:val="left"/>
        </w:tabs>
        <w:numPr>
          <w:ilvl w:val="0"/>
          <w:numId w:val="58"/>
        </w:numPr>
        <w:rPr>
          <w:rFonts w:ascii="Arial" w:cs="Arial" w:eastAsia="Arial" w:hAnsi="Arial"/>
          <w:sz w:val="16"/>
          <w:szCs w:val="16"/>
          <w:color w:val="auto"/>
        </w:rPr>
      </w:pPr>
      <w:r>
        <w:rPr>
          <w:rFonts w:ascii="Arial" w:cs="Arial" w:eastAsia="Arial" w:hAnsi="Arial"/>
          <w:sz w:val="16"/>
          <w:szCs w:val="16"/>
          <w:color w:val="auto"/>
        </w:rPr>
        <w:t>Projected funding requirements for acquisitions of MSRs and other investment opportunities, including our equity contributions to MAV Canopy;</w:t>
      </w:r>
    </w:p>
    <w:p>
      <w:pPr>
        <w:spacing w:after="0" w:line="22" w:lineRule="exact"/>
        <w:rPr>
          <w:rFonts w:ascii="Arial" w:cs="Arial" w:eastAsia="Arial" w:hAnsi="Arial"/>
          <w:sz w:val="16"/>
          <w:szCs w:val="16"/>
          <w:color w:val="auto"/>
        </w:rPr>
      </w:pPr>
    </w:p>
    <w:p>
      <w:pPr>
        <w:ind w:left="620" w:hanging="307"/>
        <w:spacing w:after="0"/>
        <w:tabs>
          <w:tab w:leader="none" w:pos="620" w:val="left"/>
        </w:tabs>
        <w:numPr>
          <w:ilvl w:val="0"/>
          <w:numId w:val="58"/>
        </w:numPr>
        <w:rPr>
          <w:rFonts w:ascii="Arial" w:cs="Arial" w:eastAsia="Arial" w:hAnsi="Arial"/>
          <w:sz w:val="17"/>
          <w:szCs w:val="17"/>
          <w:color w:val="auto"/>
        </w:rPr>
      </w:pPr>
      <w:r>
        <w:rPr>
          <w:rFonts w:ascii="Arial" w:cs="Arial" w:eastAsia="Arial" w:hAnsi="Arial"/>
          <w:sz w:val="17"/>
          <w:szCs w:val="17"/>
          <w:color w:val="auto"/>
        </w:rPr>
        <w:t>Funding capacity for whole loans and tail draws under our reverse mortgage commitments subject to warehouse eligibility requirements;</w:t>
      </w:r>
    </w:p>
    <w:p>
      <w:pPr>
        <w:spacing w:after="0" w:line="11" w:lineRule="exact"/>
        <w:rPr>
          <w:rFonts w:ascii="Arial" w:cs="Arial" w:eastAsia="Arial" w:hAnsi="Arial"/>
          <w:sz w:val="17"/>
          <w:szCs w:val="17"/>
          <w:color w:val="auto"/>
        </w:rPr>
      </w:pPr>
    </w:p>
    <w:p>
      <w:pPr>
        <w:ind w:left="620" w:hanging="307"/>
        <w:spacing w:after="0"/>
        <w:tabs>
          <w:tab w:leader="none" w:pos="620" w:val="left"/>
        </w:tabs>
        <w:numPr>
          <w:ilvl w:val="0"/>
          <w:numId w:val="58"/>
        </w:numPr>
        <w:rPr>
          <w:rFonts w:ascii="Arial" w:cs="Arial" w:eastAsia="Arial" w:hAnsi="Arial"/>
          <w:sz w:val="17"/>
          <w:szCs w:val="17"/>
          <w:color w:val="auto"/>
        </w:rPr>
      </w:pPr>
      <w:r>
        <w:rPr>
          <w:rFonts w:ascii="Arial" w:cs="Arial" w:eastAsia="Arial" w:hAnsi="Arial"/>
          <w:sz w:val="17"/>
          <w:szCs w:val="17"/>
          <w:color w:val="auto"/>
        </w:rPr>
        <w:t>Potential payments or recoveries related to legal and regulatory matters, insurance, taxes and others; and</w:t>
      </w:r>
    </w:p>
    <w:p>
      <w:pPr>
        <w:spacing w:after="0" w:line="11" w:lineRule="exact"/>
        <w:rPr>
          <w:rFonts w:ascii="Arial" w:cs="Arial" w:eastAsia="Arial" w:hAnsi="Arial"/>
          <w:sz w:val="17"/>
          <w:szCs w:val="17"/>
          <w:color w:val="auto"/>
        </w:rPr>
      </w:pPr>
    </w:p>
    <w:p>
      <w:pPr>
        <w:ind w:left="620" w:hanging="307"/>
        <w:spacing w:after="0"/>
        <w:tabs>
          <w:tab w:leader="none" w:pos="620" w:val="left"/>
        </w:tabs>
        <w:numPr>
          <w:ilvl w:val="0"/>
          <w:numId w:val="58"/>
        </w:numPr>
        <w:rPr>
          <w:rFonts w:ascii="Arial" w:cs="Arial" w:eastAsia="Arial" w:hAnsi="Arial"/>
          <w:sz w:val="17"/>
          <w:szCs w:val="17"/>
          <w:color w:val="auto"/>
        </w:rPr>
      </w:pPr>
      <w:r>
        <w:rPr>
          <w:rFonts w:ascii="Arial" w:cs="Arial" w:eastAsia="Arial" w:hAnsi="Arial"/>
          <w:sz w:val="17"/>
          <w:szCs w:val="17"/>
          <w:color w:val="auto"/>
        </w:rPr>
        <w:t>Margining requirements associated with our borrowing facilities and hedging program.</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7" w:right="339" w:bottom="1440" w:gutter="0" w:footer="0" w:header="0"/>
        </w:sectPr>
      </w:pPr>
    </w:p>
    <w:bookmarkStart w:id="91" w:name="page92"/>
    <w:bookmarkEnd w:id="91"/>
    <w:p>
      <w:pPr>
        <w:spacing w:after="0"/>
        <w:rPr>
          <w:sz w:val="20"/>
          <w:szCs w:val="20"/>
          <w:color w:val="auto"/>
        </w:rPr>
      </w:pPr>
      <w:r>
        <w:rPr>
          <w:rFonts w:ascii="Arial" w:cs="Arial" w:eastAsia="Arial" w:hAnsi="Arial"/>
          <w:sz w:val="17"/>
          <w:szCs w:val="17"/>
          <w:b w:val="1"/>
          <w:bCs w:val="1"/>
          <w:color w:val="auto"/>
        </w:rPr>
        <w:t>Use of Funds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Our primary near-term uses of funds in the normal course include:</w:t>
      </w:r>
    </w:p>
    <w:p>
      <w:pPr>
        <w:spacing w:after="0" w:line="115" w:lineRule="exact"/>
        <w:rPr>
          <w:sz w:val="20"/>
          <w:szCs w:val="20"/>
          <w:color w:val="auto"/>
        </w:rPr>
      </w:pPr>
    </w:p>
    <w:p>
      <w:pPr>
        <w:ind w:left="620" w:hanging="307"/>
        <w:spacing w:after="0"/>
        <w:tabs>
          <w:tab w:leader="none" w:pos="620" w:val="left"/>
        </w:tabs>
        <w:numPr>
          <w:ilvl w:val="0"/>
          <w:numId w:val="59"/>
        </w:numPr>
        <w:rPr>
          <w:rFonts w:ascii="Arial" w:cs="Arial" w:eastAsia="Arial" w:hAnsi="Arial"/>
          <w:sz w:val="17"/>
          <w:szCs w:val="17"/>
          <w:color w:val="auto"/>
        </w:rPr>
      </w:pPr>
      <w:r>
        <w:rPr>
          <w:rFonts w:ascii="Arial" w:cs="Arial" w:eastAsia="Arial" w:hAnsi="Arial"/>
          <w:sz w:val="17"/>
          <w:szCs w:val="17"/>
          <w:color w:val="auto"/>
        </w:rPr>
        <w:t>Payment of operating costs and corporate expenses;</w:t>
      </w:r>
    </w:p>
    <w:p>
      <w:pPr>
        <w:spacing w:after="0" w:line="23" w:lineRule="exact"/>
        <w:rPr>
          <w:rFonts w:ascii="Arial" w:cs="Arial" w:eastAsia="Arial" w:hAnsi="Arial"/>
          <w:sz w:val="17"/>
          <w:szCs w:val="17"/>
          <w:color w:val="auto"/>
        </w:rPr>
      </w:pPr>
    </w:p>
    <w:p>
      <w:pPr>
        <w:ind w:left="620" w:hanging="307"/>
        <w:spacing w:after="0"/>
        <w:tabs>
          <w:tab w:leader="none" w:pos="620" w:val="left"/>
        </w:tabs>
        <w:numPr>
          <w:ilvl w:val="0"/>
          <w:numId w:val="59"/>
        </w:numPr>
        <w:rPr>
          <w:rFonts w:ascii="Arial" w:cs="Arial" w:eastAsia="Arial" w:hAnsi="Arial"/>
          <w:sz w:val="17"/>
          <w:szCs w:val="17"/>
          <w:color w:val="auto"/>
        </w:rPr>
      </w:pPr>
      <w:r>
        <w:rPr>
          <w:rFonts w:ascii="Arial" w:cs="Arial" w:eastAsia="Arial" w:hAnsi="Arial"/>
          <w:sz w:val="17"/>
          <w:szCs w:val="17"/>
          <w:color w:val="auto"/>
        </w:rPr>
        <w:t>Payments for advances in excess of collections;</w:t>
      </w:r>
    </w:p>
    <w:p>
      <w:pPr>
        <w:spacing w:after="0" w:line="11" w:lineRule="exact"/>
        <w:rPr>
          <w:rFonts w:ascii="Arial" w:cs="Arial" w:eastAsia="Arial" w:hAnsi="Arial"/>
          <w:sz w:val="17"/>
          <w:szCs w:val="17"/>
          <w:color w:val="auto"/>
        </w:rPr>
      </w:pPr>
    </w:p>
    <w:p>
      <w:pPr>
        <w:ind w:left="620" w:hanging="307"/>
        <w:spacing w:after="0"/>
        <w:tabs>
          <w:tab w:leader="none" w:pos="620" w:val="left"/>
        </w:tabs>
        <w:numPr>
          <w:ilvl w:val="0"/>
          <w:numId w:val="59"/>
        </w:numPr>
        <w:rPr>
          <w:rFonts w:ascii="Arial" w:cs="Arial" w:eastAsia="Arial" w:hAnsi="Arial"/>
          <w:sz w:val="17"/>
          <w:szCs w:val="17"/>
          <w:color w:val="auto"/>
        </w:rPr>
      </w:pPr>
      <w:r>
        <w:rPr>
          <w:rFonts w:ascii="Arial" w:cs="Arial" w:eastAsia="Arial" w:hAnsi="Arial"/>
          <w:sz w:val="17"/>
          <w:szCs w:val="17"/>
          <w:color w:val="auto"/>
        </w:rPr>
        <w:t>Investing in our servicing and originations businesses, including MSRs, other asset acquisitions and MAV Canopy equity contributions;</w:t>
      </w:r>
    </w:p>
    <w:p>
      <w:pPr>
        <w:spacing w:after="0" w:line="11" w:lineRule="exact"/>
        <w:rPr>
          <w:rFonts w:ascii="Arial" w:cs="Arial" w:eastAsia="Arial" w:hAnsi="Arial"/>
          <w:sz w:val="17"/>
          <w:szCs w:val="17"/>
          <w:color w:val="auto"/>
        </w:rPr>
      </w:pPr>
    </w:p>
    <w:p>
      <w:pPr>
        <w:ind w:left="620" w:hanging="307"/>
        <w:spacing w:after="0"/>
        <w:tabs>
          <w:tab w:leader="none" w:pos="620" w:val="left"/>
        </w:tabs>
        <w:numPr>
          <w:ilvl w:val="0"/>
          <w:numId w:val="59"/>
        </w:numPr>
        <w:rPr>
          <w:rFonts w:ascii="Arial" w:cs="Arial" w:eastAsia="Arial" w:hAnsi="Arial"/>
          <w:sz w:val="17"/>
          <w:szCs w:val="17"/>
          <w:color w:val="auto"/>
        </w:rPr>
      </w:pPr>
      <w:r>
        <w:rPr>
          <w:rFonts w:ascii="Arial" w:cs="Arial" w:eastAsia="Arial" w:hAnsi="Arial"/>
          <w:sz w:val="17"/>
          <w:szCs w:val="17"/>
          <w:color w:val="auto"/>
        </w:rPr>
        <w:t>Originated and repurchased loans, including scheduled and unscheduled equity draws on reverse mortgage loans;</w:t>
      </w:r>
    </w:p>
    <w:p>
      <w:pPr>
        <w:spacing w:after="0" w:line="11" w:lineRule="exact"/>
        <w:rPr>
          <w:rFonts w:ascii="Arial" w:cs="Arial" w:eastAsia="Arial" w:hAnsi="Arial"/>
          <w:sz w:val="17"/>
          <w:szCs w:val="17"/>
          <w:color w:val="auto"/>
        </w:rPr>
      </w:pPr>
    </w:p>
    <w:p>
      <w:pPr>
        <w:ind w:left="620" w:hanging="307"/>
        <w:spacing w:after="0"/>
        <w:tabs>
          <w:tab w:leader="none" w:pos="620" w:val="left"/>
        </w:tabs>
        <w:numPr>
          <w:ilvl w:val="0"/>
          <w:numId w:val="59"/>
        </w:numPr>
        <w:rPr>
          <w:rFonts w:ascii="Arial" w:cs="Arial" w:eastAsia="Arial" w:hAnsi="Arial"/>
          <w:sz w:val="17"/>
          <w:szCs w:val="17"/>
          <w:color w:val="auto"/>
        </w:rPr>
      </w:pPr>
      <w:r>
        <w:rPr>
          <w:rFonts w:ascii="Arial" w:cs="Arial" w:eastAsia="Arial" w:hAnsi="Arial"/>
          <w:sz w:val="17"/>
          <w:szCs w:val="17"/>
          <w:color w:val="auto"/>
        </w:rPr>
        <w:t>Payment of margin calls under our MSR financing facilities and derivative instruments;</w:t>
      </w:r>
    </w:p>
    <w:p>
      <w:pPr>
        <w:spacing w:after="0" w:line="11" w:lineRule="exact"/>
        <w:rPr>
          <w:rFonts w:ascii="Arial" w:cs="Arial" w:eastAsia="Arial" w:hAnsi="Arial"/>
          <w:sz w:val="17"/>
          <w:szCs w:val="17"/>
          <w:color w:val="auto"/>
        </w:rPr>
      </w:pPr>
    </w:p>
    <w:p>
      <w:pPr>
        <w:ind w:left="620" w:hanging="307"/>
        <w:spacing w:after="0"/>
        <w:tabs>
          <w:tab w:leader="none" w:pos="620" w:val="left"/>
        </w:tabs>
        <w:numPr>
          <w:ilvl w:val="0"/>
          <w:numId w:val="59"/>
        </w:numPr>
        <w:rPr>
          <w:rFonts w:ascii="Arial" w:cs="Arial" w:eastAsia="Arial" w:hAnsi="Arial"/>
          <w:sz w:val="16"/>
          <w:szCs w:val="16"/>
          <w:color w:val="auto"/>
        </w:rPr>
      </w:pPr>
      <w:r>
        <w:rPr>
          <w:rFonts w:ascii="Arial" w:cs="Arial" w:eastAsia="Arial" w:hAnsi="Arial"/>
          <w:sz w:val="16"/>
          <w:szCs w:val="16"/>
          <w:color w:val="auto"/>
        </w:rPr>
        <w:t>Repayments of borrowings, including under our MSR financing, advance financing and warehouse facilities, and payment of interest expense; and</w:t>
      </w:r>
    </w:p>
    <w:p>
      <w:pPr>
        <w:spacing w:after="0" w:line="22" w:lineRule="exact"/>
        <w:rPr>
          <w:rFonts w:ascii="Arial" w:cs="Arial" w:eastAsia="Arial" w:hAnsi="Arial"/>
          <w:sz w:val="16"/>
          <w:szCs w:val="16"/>
          <w:color w:val="auto"/>
        </w:rPr>
      </w:pPr>
    </w:p>
    <w:p>
      <w:pPr>
        <w:ind w:left="620" w:hanging="307"/>
        <w:spacing w:after="0"/>
        <w:tabs>
          <w:tab w:leader="none" w:pos="620" w:val="left"/>
        </w:tabs>
        <w:numPr>
          <w:ilvl w:val="0"/>
          <w:numId w:val="59"/>
        </w:numPr>
        <w:rPr>
          <w:rFonts w:ascii="Arial" w:cs="Arial" w:eastAsia="Arial" w:hAnsi="Arial"/>
          <w:sz w:val="17"/>
          <w:szCs w:val="17"/>
          <w:color w:val="auto"/>
        </w:rPr>
      </w:pPr>
      <w:r>
        <w:rPr>
          <w:rFonts w:ascii="Arial" w:cs="Arial" w:eastAsia="Arial" w:hAnsi="Arial"/>
          <w:sz w:val="17"/>
          <w:szCs w:val="17"/>
          <w:color w:val="auto"/>
        </w:rPr>
        <w:t>Net negative working capital and other general corporate cash outflows.</w:t>
      </w:r>
    </w:p>
    <w:p>
      <w:pPr>
        <w:spacing w:after="0" w:line="102" w:lineRule="exact"/>
        <w:rPr>
          <w:sz w:val="20"/>
          <w:szCs w:val="20"/>
          <w:color w:val="auto"/>
        </w:rPr>
      </w:pPr>
    </w:p>
    <w:p>
      <w:pPr>
        <w:ind w:right="120"/>
        <w:spacing w:after="0" w:line="275" w:lineRule="auto"/>
        <w:rPr>
          <w:sz w:val="20"/>
          <w:szCs w:val="20"/>
          <w:color w:val="auto"/>
        </w:rPr>
      </w:pPr>
      <w:r>
        <w:rPr>
          <w:rFonts w:ascii="Arial" w:cs="Arial" w:eastAsia="Arial" w:hAnsi="Arial"/>
          <w:sz w:val="16"/>
          <w:szCs w:val="16"/>
          <w:color w:val="auto"/>
        </w:rPr>
        <w:t>We have originated floating-rate reverse mortgage loans under which the borrowers have additional borrowing capacity of $1.7 billion at June 30, 2022. This additional borrowing capacity is available on a scheduled or unscheduled payment basis. During the six months ended June 30, 2022, we funded $114.6 million out of the $1.5 billion borrowing capacity available as of December 31, 2021. We also had short-term commitments to lend $526.2 million and $31.2 million in connection with our forward and reverse mortgage loan IRLCs, respectively, outstanding at June 30, 2022. As an HMBS issuer, we assume certain obligations related to each security issued. The most significant obligation is the requirement to purchase loans out of the Ginnie Mae securitization pools once the outstanding principal balance of the related HECM is equal to or greater than 98% of the maximum claim amount (MCA repurchases), or when they become inactive (the borrower is deceased, no longer occupies the property or is delinquent on tax and insurance payments). Our subservicing clients bear the financial obligation and risks associated with purchasing loans out of securitization pools within the portfolio we subservice. We finance originated and purchased forward and reverse mortgage loans with repurchase and participation agreements, referred to as warehouse lines.</w:t>
      </w:r>
    </w:p>
    <w:p>
      <w:pPr>
        <w:spacing w:after="0" w:line="67"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Regarding the current maturities of our borrowings, as of June 30, 2022, we have approximately $1.9 billion of debt outstanding that would either come due, begin amortizing or require partial repayment in the next 12 months. This amount is comprised of $779.3 million of borrowings under forward and reverse mortgage warehouse facilities, $475.5 million of notes under advance financing facilities that will enter their respective amortization periods, $608.7 million outstanding under Agency and Ginnie Mae MSR financing facilities maturing in the next 12 months and $19.7 million of scheduled principal amortization on the PLS Notes secured by PLS MSRs.</w:t>
      </w:r>
    </w:p>
    <w:p>
      <w:pPr>
        <w:spacing w:after="0" w:line="74"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We are generally subject to daily margining requirements under the terms of our MSR financing facilities and daily cash calls for our TBAs, interest rate swap futures or other derivatives. Declines in fair value of our MSRs due to declines in market interest rates, assumption updates or other factors require that we provide additional collateral to our lenders under MSR financing facilities. Similarly, declines in fair value of our derivative instruments require that we provide additional collateral to the clearing counterparties. Refer to the sensitivity analysis in Item 3, Quantitative and qualitative disclosures about market risk.</w:t>
      </w:r>
    </w:p>
    <w:p>
      <w:pPr>
        <w:spacing w:after="0" w:line="56" w:lineRule="exact"/>
        <w:rPr>
          <w:sz w:val="20"/>
          <w:szCs w:val="20"/>
          <w:color w:val="auto"/>
        </w:rPr>
      </w:pPr>
    </w:p>
    <w:p>
      <w:pPr>
        <w:ind w:right="300"/>
        <w:spacing w:after="0" w:line="309" w:lineRule="auto"/>
        <w:rPr>
          <w:sz w:val="20"/>
          <w:szCs w:val="20"/>
          <w:color w:val="auto"/>
        </w:rPr>
      </w:pPr>
      <w:r>
        <w:rPr>
          <w:rFonts w:ascii="Arial" w:cs="Arial" w:eastAsia="Arial" w:hAnsi="Arial"/>
          <w:sz w:val="15"/>
          <w:szCs w:val="15"/>
          <w:color w:val="auto"/>
        </w:rPr>
        <w:t>On May 20, 2022, Ocwen’s Board of Directors authorized a share repurchase program for an aggregate amount of up to $50.0 million of Ocwen’s issued and outstanding shares of common stock. Through July 2022, we completed the repurchase of 490,317 shares of our common stock under this program for a total purchase price of $14.6 million. Unless Ocwen amends the share repurchase program or repurchases the full $50.0 million amount by an earlier date, the share repurchase program will continue through November 20, 2022. We intend to finance the remaining share repurchases through available cash.</w:t>
      </w: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color w:val="auto"/>
        </w:rPr>
        <w:t>Our medium- and long-term requirements for cash include:</w:t>
      </w:r>
    </w:p>
    <w:p>
      <w:pPr>
        <w:spacing w:after="0" w:line="63" w:lineRule="exact"/>
        <w:rPr>
          <w:sz w:val="20"/>
          <w:szCs w:val="20"/>
          <w:color w:val="auto"/>
        </w:rPr>
      </w:pPr>
    </w:p>
    <w:p>
      <w:pPr>
        <w:ind w:left="620" w:hanging="307"/>
        <w:spacing w:after="0"/>
        <w:tabs>
          <w:tab w:leader="none" w:pos="620" w:val="left"/>
        </w:tabs>
        <w:numPr>
          <w:ilvl w:val="0"/>
          <w:numId w:val="60"/>
        </w:numPr>
        <w:rPr>
          <w:rFonts w:ascii="Arial" w:cs="Arial" w:eastAsia="Arial" w:hAnsi="Arial"/>
          <w:sz w:val="17"/>
          <w:szCs w:val="17"/>
          <w:color w:val="auto"/>
        </w:rPr>
      </w:pPr>
      <w:r>
        <w:rPr>
          <w:rFonts w:ascii="Arial" w:cs="Arial" w:eastAsia="Arial" w:hAnsi="Arial"/>
          <w:sz w:val="17"/>
          <w:szCs w:val="17"/>
          <w:color w:val="auto"/>
        </w:rPr>
        <w:t>Payment of interest and principal repayment of our corporate debt that matures in 2026 and 2027;</w:t>
      </w:r>
    </w:p>
    <w:p>
      <w:pPr>
        <w:spacing w:after="0" w:line="23" w:lineRule="exact"/>
        <w:rPr>
          <w:rFonts w:ascii="Arial" w:cs="Arial" w:eastAsia="Arial" w:hAnsi="Arial"/>
          <w:sz w:val="17"/>
          <w:szCs w:val="17"/>
          <w:color w:val="auto"/>
        </w:rPr>
      </w:pPr>
    </w:p>
    <w:p>
      <w:pPr>
        <w:ind w:left="620" w:hanging="307"/>
        <w:spacing w:after="0"/>
        <w:tabs>
          <w:tab w:leader="none" w:pos="620" w:val="left"/>
        </w:tabs>
        <w:numPr>
          <w:ilvl w:val="0"/>
          <w:numId w:val="60"/>
        </w:numPr>
        <w:rPr>
          <w:rFonts w:ascii="Arial" w:cs="Arial" w:eastAsia="Arial" w:hAnsi="Arial"/>
          <w:sz w:val="17"/>
          <w:szCs w:val="17"/>
          <w:color w:val="auto"/>
        </w:rPr>
      </w:pPr>
      <w:r>
        <w:rPr>
          <w:rFonts w:ascii="Arial" w:cs="Arial" w:eastAsia="Arial" w:hAnsi="Arial"/>
          <w:sz w:val="17"/>
          <w:szCs w:val="17"/>
          <w:color w:val="auto"/>
        </w:rPr>
        <w:t>Any payments associated with the confirmation of loss contingencies; and</w:t>
      </w:r>
    </w:p>
    <w:p>
      <w:pPr>
        <w:spacing w:after="0" w:line="11" w:lineRule="exact"/>
        <w:rPr>
          <w:rFonts w:ascii="Arial" w:cs="Arial" w:eastAsia="Arial" w:hAnsi="Arial"/>
          <w:sz w:val="17"/>
          <w:szCs w:val="17"/>
          <w:color w:val="auto"/>
        </w:rPr>
      </w:pPr>
    </w:p>
    <w:p>
      <w:pPr>
        <w:ind w:left="620" w:hanging="307"/>
        <w:spacing w:after="0"/>
        <w:tabs>
          <w:tab w:leader="none" w:pos="620" w:val="left"/>
        </w:tabs>
        <w:numPr>
          <w:ilvl w:val="0"/>
          <w:numId w:val="60"/>
        </w:numPr>
        <w:rPr>
          <w:rFonts w:ascii="Arial" w:cs="Arial" w:eastAsia="Arial" w:hAnsi="Arial"/>
          <w:sz w:val="17"/>
          <w:szCs w:val="17"/>
          <w:color w:val="auto"/>
        </w:rPr>
      </w:pPr>
      <w:r>
        <w:rPr>
          <w:rFonts w:ascii="Arial" w:cs="Arial" w:eastAsia="Arial" w:hAnsi="Arial"/>
          <w:sz w:val="17"/>
          <w:szCs w:val="17"/>
          <w:color w:val="auto"/>
        </w:rPr>
        <w:t>Any other payments required under contractual obligations discussed above that extend beyond one year.</w:t>
      </w:r>
    </w:p>
    <w:p>
      <w:pPr>
        <w:spacing w:after="0" w:line="102" w:lineRule="exact"/>
        <w:rPr>
          <w:sz w:val="20"/>
          <w:szCs w:val="20"/>
          <w:color w:val="auto"/>
        </w:rPr>
      </w:pPr>
    </w:p>
    <w:p>
      <w:pPr>
        <w:ind w:right="540"/>
        <w:spacing w:after="0" w:line="315" w:lineRule="auto"/>
        <w:rPr>
          <w:sz w:val="20"/>
          <w:szCs w:val="20"/>
          <w:color w:val="auto"/>
        </w:rPr>
      </w:pPr>
      <w:r>
        <w:rPr>
          <w:rFonts w:ascii="Arial" w:cs="Arial" w:eastAsia="Arial" w:hAnsi="Arial"/>
          <w:sz w:val="16"/>
          <w:szCs w:val="16"/>
          <w:color w:val="auto"/>
        </w:rPr>
        <w:t>We are focused on ensuring that we have sufficient liquidity sources to continue to operate through the pandemic as well as after. We continuously evaluate alternative financings to diversify our sources of funds, optimize maturities and reduce our funding cost. See “Sources of Funds” below.</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Sources of Funds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Our primary sources of funds for near-term liquidity in normal course include:</w:t>
      </w:r>
    </w:p>
    <w:p>
      <w:pPr>
        <w:spacing w:after="0" w:line="115" w:lineRule="exact"/>
        <w:rPr>
          <w:sz w:val="20"/>
          <w:szCs w:val="20"/>
          <w:color w:val="auto"/>
        </w:rPr>
      </w:pPr>
    </w:p>
    <w:p>
      <w:pPr>
        <w:ind w:left="620" w:hanging="307"/>
        <w:spacing w:after="0"/>
        <w:tabs>
          <w:tab w:leader="none" w:pos="620" w:val="left"/>
        </w:tabs>
        <w:numPr>
          <w:ilvl w:val="0"/>
          <w:numId w:val="61"/>
        </w:numPr>
        <w:rPr>
          <w:rFonts w:ascii="Arial" w:cs="Arial" w:eastAsia="Arial" w:hAnsi="Arial"/>
          <w:sz w:val="17"/>
          <w:szCs w:val="17"/>
          <w:color w:val="auto"/>
        </w:rPr>
      </w:pPr>
      <w:r>
        <w:rPr>
          <w:rFonts w:ascii="Arial" w:cs="Arial" w:eastAsia="Arial" w:hAnsi="Arial"/>
          <w:sz w:val="17"/>
          <w:szCs w:val="17"/>
          <w:color w:val="auto"/>
        </w:rPr>
        <w:t>Collections of servicing and subservicing fees and ancillary revenues;</w:t>
      </w:r>
    </w:p>
    <w:p>
      <w:pPr>
        <w:spacing w:after="0" w:line="23" w:lineRule="exact"/>
        <w:rPr>
          <w:rFonts w:ascii="Arial" w:cs="Arial" w:eastAsia="Arial" w:hAnsi="Arial"/>
          <w:sz w:val="17"/>
          <w:szCs w:val="17"/>
          <w:color w:val="auto"/>
        </w:rPr>
      </w:pPr>
    </w:p>
    <w:p>
      <w:pPr>
        <w:ind w:left="620" w:hanging="307"/>
        <w:spacing w:after="0"/>
        <w:tabs>
          <w:tab w:leader="none" w:pos="620" w:val="left"/>
        </w:tabs>
        <w:numPr>
          <w:ilvl w:val="0"/>
          <w:numId w:val="61"/>
        </w:numPr>
        <w:rPr>
          <w:rFonts w:ascii="Arial" w:cs="Arial" w:eastAsia="Arial" w:hAnsi="Arial"/>
          <w:sz w:val="17"/>
          <w:szCs w:val="17"/>
          <w:color w:val="auto"/>
        </w:rPr>
      </w:pPr>
      <w:r>
        <w:rPr>
          <w:rFonts w:ascii="Arial" w:cs="Arial" w:eastAsia="Arial" w:hAnsi="Arial"/>
          <w:sz w:val="17"/>
          <w:szCs w:val="17"/>
          <w:color w:val="auto"/>
        </w:rPr>
        <w:t>Collections of advances in excess of new advances;</w:t>
      </w:r>
    </w:p>
    <w:p>
      <w:pPr>
        <w:spacing w:after="0" w:line="11" w:lineRule="exact"/>
        <w:rPr>
          <w:rFonts w:ascii="Arial" w:cs="Arial" w:eastAsia="Arial" w:hAnsi="Arial"/>
          <w:sz w:val="17"/>
          <w:szCs w:val="17"/>
          <w:color w:val="auto"/>
        </w:rPr>
      </w:pPr>
    </w:p>
    <w:p>
      <w:pPr>
        <w:ind w:left="620" w:hanging="307"/>
        <w:spacing w:after="0"/>
        <w:tabs>
          <w:tab w:leader="none" w:pos="620" w:val="left"/>
        </w:tabs>
        <w:numPr>
          <w:ilvl w:val="0"/>
          <w:numId w:val="61"/>
        </w:numPr>
        <w:rPr>
          <w:rFonts w:ascii="Arial" w:cs="Arial" w:eastAsia="Arial" w:hAnsi="Arial"/>
          <w:sz w:val="17"/>
          <w:szCs w:val="17"/>
          <w:color w:val="auto"/>
        </w:rPr>
      </w:pPr>
      <w:r>
        <w:rPr>
          <w:rFonts w:ascii="Arial" w:cs="Arial" w:eastAsia="Arial" w:hAnsi="Arial"/>
          <w:sz w:val="17"/>
          <w:szCs w:val="17"/>
          <w:color w:val="auto"/>
        </w:rPr>
        <w:t>Proceeds from match funded advance financing facilities;</w:t>
      </w:r>
    </w:p>
    <w:p>
      <w:pPr>
        <w:spacing w:after="0" w:line="11" w:lineRule="exact"/>
        <w:rPr>
          <w:rFonts w:ascii="Arial" w:cs="Arial" w:eastAsia="Arial" w:hAnsi="Arial"/>
          <w:sz w:val="17"/>
          <w:szCs w:val="17"/>
          <w:color w:val="auto"/>
        </w:rPr>
      </w:pPr>
    </w:p>
    <w:p>
      <w:pPr>
        <w:ind w:left="620" w:hanging="307"/>
        <w:spacing w:after="0"/>
        <w:tabs>
          <w:tab w:leader="none" w:pos="620" w:val="left"/>
        </w:tabs>
        <w:numPr>
          <w:ilvl w:val="0"/>
          <w:numId w:val="61"/>
        </w:numPr>
        <w:rPr>
          <w:rFonts w:ascii="Arial" w:cs="Arial" w:eastAsia="Arial" w:hAnsi="Arial"/>
          <w:sz w:val="17"/>
          <w:szCs w:val="17"/>
          <w:color w:val="auto"/>
        </w:rPr>
      </w:pPr>
      <w:r>
        <w:rPr>
          <w:rFonts w:ascii="Arial" w:cs="Arial" w:eastAsia="Arial" w:hAnsi="Arial"/>
          <w:sz w:val="17"/>
          <w:szCs w:val="17"/>
          <w:color w:val="auto"/>
        </w:rPr>
        <w:t>Proceeds from other borrowings, including warehouse facilities and MSR financing facilities;</w:t>
      </w:r>
    </w:p>
    <w:p>
      <w:pPr>
        <w:spacing w:after="0" w:line="11" w:lineRule="exact"/>
        <w:rPr>
          <w:rFonts w:ascii="Arial" w:cs="Arial" w:eastAsia="Arial" w:hAnsi="Arial"/>
          <w:sz w:val="17"/>
          <w:szCs w:val="17"/>
          <w:color w:val="auto"/>
        </w:rPr>
      </w:pPr>
    </w:p>
    <w:p>
      <w:pPr>
        <w:ind w:left="620" w:hanging="307"/>
        <w:spacing w:after="0"/>
        <w:tabs>
          <w:tab w:leader="none" w:pos="620" w:val="left"/>
        </w:tabs>
        <w:numPr>
          <w:ilvl w:val="0"/>
          <w:numId w:val="61"/>
        </w:numPr>
        <w:rPr>
          <w:rFonts w:ascii="Arial" w:cs="Arial" w:eastAsia="Arial" w:hAnsi="Arial"/>
          <w:sz w:val="17"/>
          <w:szCs w:val="17"/>
          <w:color w:val="auto"/>
        </w:rPr>
      </w:pPr>
      <w:r>
        <w:rPr>
          <w:rFonts w:ascii="Arial" w:cs="Arial" w:eastAsia="Arial" w:hAnsi="Arial"/>
          <w:sz w:val="17"/>
          <w:szCs w:val="17"/>
          <w:color w:val="auto"/>
        </w:rPr>
        <w:t>Proceeds from sales and securitizations of originated loans and repurchased loans; and</w:t>
      </w:r>
    </w:p>
    <w:p>
      <w:pPr>
        <w:spacing w:after="0" w:line="11" w:lineRule="exact"/>
        <w:rPr>
          <w:rFonts w:ascii="Arial" w:cs="Arial" w:eastAsia="Arial" w:hAnsi="Arial"/>
          <w:sz w:val="17"/>
          <w:szCs w:val="17"/>
          <w:color w:val="auto"/>
        </w:rPr>
      </w:pPr>
    </w:p>
    <w:p>
      <w:pPr>
        <w:ind w:left="620" w:hanging="307"/>
        <w:spacing w:after="0"/>
        <w:tabs>
          <w:tab w:leader="none" w:pos="620" w:val="left"/>
        </w:tabs>
        <w:numPr>
          <w:ilvl w:val="0"/>
          <w:numId w:val="61"/>
        </w:numPr>
        <w:rPr>
          <w:rFonts w:ascii="Arial" w:cs="Arial" w:eastAsia="Arial" w:hAnsi="Arial"/>
          <w:sz w:val="17"/>
          <w:szCs w:val="17"/>
          <w:color w:val="auto"/>
        </w:rPr>
      </w:pPr>
      <w:r>
        <w:rPr>
          <w:rFonts w:ascii="Arial" w:cs="Arial" w:eastAsia="Arial" w:hAnsi="Arial"/>
          <w:sz w:val="17"/>
          <w:szCs w:val="17"/>
          <w:color w:val="auto"/>
        </w:rPr>
        <w:t>Net positive working capital from changes in other assets and liabilities.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1" w:right="339" w:bottom="1440" w:gutter="0" w:footer="0" w:header="0"/>
        </w:sectPr>
      </w:pPr>
    </w:p>
    <w:bookmarkStart w:id="92" w:name="page93"/>
    <w:bookmarkEnd w:id="92"/>
    <w:p>
      <w:pPr>
        <w:ind w:right="220"/>
        <w:spacing w:after="0" w:line="259" w:lineRule="auto"/>
        <w:rPr>
          <w:sz w:val="20"/>
          <w:szCs w:val="20"/>
          <w:color w:val="auto"/>
        </w:rPr>
      </w:pPr>
      <w:r>
        <w:rPr>
          <w:rFonts w:ascii="Arial" w:cs="Arial" w:eastAsia="Arial" w:hAnsi="Arial"/>
          <w:sz w:val="17"/>
          <w:szCs w:val="17"/>
          <w:color w:val="auto"/>
        </w:rPr>
        <w:t>Servicing advances are an important component of our business and represent amounts that we, as servicer, are required to advance to, or on behalf of, our servicing clients if we do not receive such amounts from borrowers. Our use of advance financing facilities is integral to our cash and liquidity management strategy. Revolving variable funding notes issued under our advance financing facilities to financial institutions typically have a revolving period of 12 months. Term notes are generally issued to institutional investors with one-, two- or three-year revolving periods. Additionally, certain of our financing and subservicing agreements permit us to retain advance collections for a period ranging from one to two business days before remittance, thus providing a source of short-term liquidity.</w:t>
      </w:r>
    </w:p>
    <w:p>
      <w:pPr>
        <w:spacing w:after="0" w:line="78" w:lineRule="exact"/>
        <w:rPr>
          <w:sz w:val="20"/>
          <w:szCs w:val="20"/>
          <w:color w:val="auto"/>
        </w:rPr>
      </w:pPr>
    </w:p>
    <w:p>
      <w:pPr>
        <w:ind w:right="100"/>
        <w:spacing w:after="0" w:line="278" w:lineRule="auto"/>
        <w:rPr>
          <w:sz w:val="20"/>
          <w:szCs w:val="20"/>
          <w:color w:val="auto"/>
        </w:rPr>
      </w:pPr>
      <w:r>
        <w:rPr>
          <w:rFonts w:ascii="Arial" w:cs="Arial" w:eastAsia="Arial" w:hAnsi="Arial"/>
          <w:sz w:val="16"/>
          <w:szCs w:val="16"/>
          <w:color w:val="auto"/>
        </w:rPr>
        <w:t>We use mortgage loan repurchase and participation facilities (commonly called warehouse lines) to fund newly-originated loans on a short-term basis until they are sold or securitized to secondary market investors, including GSEs or other third-party investors, and to fund repurchases of certain Ginnie Mae forward loans, HECM loans, second-lien loans and other types of loans. Warehouse facilities are structured as repurchase or participation agreements under which ownership of the loans is temporarily transferred to the lender. These facilities contain eligibility criteria that include aging and concentration limits by loan type among other provisions. Currently, our master repurchase and participation agreements generally have maximum terms of 364 days. The funds are typically repaid using the proceeds from the sale of the loans to the secondary market investors, usually within 30 days.</w:t>
      </w:r>
    </w:p>
    <w:p>
      <w:pPr>
        <w:spacing w:after="0" w:line="65" w:lineRule="exact"/>
        <w:rPr>
          <w:sz w:val="20"/>
          <w:szCs w:val="20"/>
          <w:color w:val="auto"/>
        </w:rPr>
      </w:pPr>
    </w:p>
    <w:p>
      <w:pPr>
        <w:spacing w:after="0" w:line="320" w:lineRule="auto"/>
        <w:rPr>
          <w:sz w:val="20"/>
          <w:szCs w:val="20"/>
          <w:color w:val="auto"/>
        </w:rPr>
      </w:pPr>
      <w:r>
        <w:rPr>
          <w:rFonts w:ascii="Arial" w:cs="Arial" w:eastAsia="Arial" w:hAnsi="Arial"/>
          <w:sz w:val="15"/>
          <w:szCs w:val="15"/>
          <w:color w:val="auto"/>
        </w:rPr>
        <w:t>We also rely on the secondary mortgage market as a source of consistent liquidity to support our lending operations. Substantially all of the mortgage loans that we originate or purchase are sold or securitized in the secondary mortgage market in the form of residential mortgage backed securities guaranteed by Fannie Mae or Freddie Mac and, in the case of mortgage backed securities guaranteed by Ginnie Mae, are mortgage loans insured or guaranteed by the FHA, VA or USDA.</w:t>
      </w:r>
    </w:p>
    <w:p>
      <w:pPr>
        <w:spacing w:after="0" w:line="34"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We regularly evaluate financing structure options that we believe will most effectively provide the necessary capacity to support our investment plans, address upcoming debt maturities and accommodate our business needs. We continuously evaluate the allocation of our capital to MSR investments, the related returns, funding and liquidity requirements. While our investment in MAV Canopy exposes us to additional capital contributions, the relationship may provide PMC with an additional means to finance MSRs and maintain liquidity while maintaining servicing volume. With the launch of MAV and our relationships with other clients, additional opportunities to rebalance our servicing and subservicing portfolio mix are available to us and may result in the sale of MSRs while we would perform subservicing for the sold portfolio.</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Covenants</w:t>
      </w:r>
    </w:p>
    <w:p>
      <w:pPr>
        <w:spacing w:after="0" w:line="121" w:lineRule="exact"/>
        <w:rPr>
          <w:sz w:val="20"/>
          <w:szCs w:val="20"/>
          <w:color w:val="auto"/>
        </w:rPr>
      </w:pPr>
    </w:p>
    <w:p>
      <w:pPr>
        <w:ind w:right="20"/>
        <w:spacing w:after="0" w:line="273" w:lineRule="auto"/>
        <w:rPr>
          <w:sz w:val="20"/>
          <w:szCs w:val="20"/>
          <w:color w:val="auto"/>
        </w:rPr>
      </w:pPr>
      <w:r>
        <w:rPr>
          <w:rFonts w:ascii="Arial" w:cs="Arial" w:eastAsia="Arial" w:hAnsi="Arial"/>
          <w:sz w:val="16"/>
          <w:szCs w:val="16"/>
          <w:color w:val="auto"/>
        </w:rPr>
        <w:t>Our debt agreements contain various qualitative and quantitative covenants including financial covenants, covenants to operate in material compliance with applicable laws and regulations, monitoring and reporting obligations and restrictions on our ability to engage in various activities, including but not limited to incurring or guarantying additional debt, paying dividends or making distributions on or purchasing equity interests of Ocwen and its subsidiaries, repurchasing or redeeming capital stock or junior capital, repurchasing or redeeming subordinated debt prior to maturity, issuing preferred stock, selling or transferring assets or making loans or investments or other restricted payments, entering into mergers or consolidations or sales of all or substantially all of the assets of Ocwen and its subsidiaries, creating liens on assets to secure debt, and entering into transactions with affiliates. These covenants may limit the manner in which we conduct our business and may limit our ability to engage in favorable business activities or raise additional capital to finance future operations or satisfy future liquidity needs. In addition, breaches or events that may result in a default under our debt agreements include, among other things, nonpayment of principal or interest, noncompliance with our covenants, breach of representations, the occurrence of a material adverse change, insolvency, bankruptcy, certain material judgments and litigation and changes of control. See Note 13 – Borrowings to the Unaudited Consolidated Financial Statements for additional information regarding our covenants. The most restrictive liquidity requirement under our debt agreements is for a minimum of $87.5 million in consolidated liquidity, as defined, under certain of our MSR financing facilities agreements. At June 30, 2022, we held unrestricted cash in excess of this minimum amount.</w:t>
      </w:r>
    </w:p>
    <w:p>
      <w:pPr>
        <w:spacing w:after="0" w:line="73"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In addition, our debt agreements generally include cross default provisions such that a default under one agreement could trigger defaults under other agreements. If we fail to comply with our debt agreements and are unable to avoid, remedy or secure a waiver of any resulting default, we may be subject to adverse action by our lenders, including termination of further funding, acceleration of outstanding obligations, enforcement of liens against the assets securing or otherwise supporting our obligations, and other legal remedies, any of which could have a material adverse effect on our business, financial condition, liquidity and results of operations. We believe that we are in compliance with the covenants in our debt agreements as of the date this Quarterly Report on Form 10-Q is filed with the SEC.</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Credit Ratings</w:t>
      </w:r>
    </w:p>
    <w:p>
      <w:pPr>
        <w:spacing w:after="0" w:line="121" w:lineRule="exact"/>
        <w:rPr>
          <w:sz w:val="20"/>
          <w:szCs w:val="20"/>
          <w:color w:val="auto"/>
        </w:rPr>
      </w:pPr>
    </w:p>
    <w:p>
      <w:pPr>
        <w:ind w:right="40"/>
        <w:spacing w:after="0" w:line="283" w:lineRule="auto"/>
        <w:rPr>
          <w:sz w:val="20"/>
          <w:szCs w:val="20"/>
          <w:color w:val="auto"/>
        </w:rPr>
      </w:pPr>
      <w:r>
        <w:rPr>
          <w:rFonts w:ascii="Arial" w:cs="Arial" w:eastAsia="Arial" w:hAnsi="Arial"/>
          <w:sz w:val="17"/>
          <w:szCs w:val="17"/>
          <w:color w:val="auto"/>
        </w:rPr>
        <w:t>Credit ratings are intended to be an indicator of the creditworthiness of a company’s debt obligations. Lower ratings generally result in higher borrowing costs and reduced access to capital markets. The following table summarizes our current</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93" w:name="page94"/>
    <w:bookmarkEnd w:id="93"/>
    <w:p>
      <w:pPr>
        <w:ind w:right="400"/>
        <w:spacing w:after="0" w:line="283" w:lineRule="auto"/>
        <w:rPr>
          <w:sz w:val="20"/>
          <w:szCs w:val="20"/>
          <w:color w:val="auto"/>
        </w:rPr>
      </w:pPr>
      <w:r>
        <w:rPr>
          <w:rFonts w:ascii="Arial" w:cs="Arial" w:eastAsia="Arial" w:hAnsi="Arial"/>
          <w:sz w:val="17"/>
          <w:szCs w:val="17"/>
          <w:color w:val="auto"/>
        </w:rPr>
        <w:t>ratings and outlook by the respective nationally recognized rating agencies. A credit rating is not a recommendation to buy, sell or hold securities and may be subject to revision or withdrawal at any time.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020" w:type="dxa"/>
            <w:vAlign w:val="bottom"/>
            <w:tcBorders>
              <w:bottom w:val="single" w:sz="8" w:color="auto"/>
            </w:tcBorders>
          </w:tcPr>
          <w:p>
            <w:pPr>
              <w:ind w:left="1460"/>
              <w:spacing w:after="0"/>
              <w:rPr>
                <w:sz w:val="20"/>
                <w:szCs w:val="20"/>
                <w:color w:val="auto"/>
              </w:rPr>
            </w:pPr>
            <w:r>
              <w:rPr>
                <w:rFonts w:ascii="Arial" w:cs="Arial" w:eastAsia="Arial" w:hAnsi="Arial"/>
                <w:sz w:val="17"/>
                <w:szCs w:val="17"/>
                <w:b w:val="1"/>
                <w:bCs w:val="1"/>
                <w:color w:val="auto"/>
              </w:rPr>
              <w:t>Rating Agency</w:t>
            </w:r>
          </w:p>
        </w:tc>
        <w:tc>
          <w:tcPr>
            <w:tcW w:w="100" w:type="dxa"/>
            <w:vAlign w:val="bottom"/>
            <w:tcBorders>
              <w:bottom w:val="single" w:sz="8" w:color="CCEEFF"/>
            </w:tcBorders>
          </w:tcPr>
          <w:p>
            <w:pPr>
              <w:spacing w:after="0"/>
              <w:rPr>
                <w:sz w:val="19"/>
                <w:szCs w:val="19"/>
                <w:color w:val="auto"/>
              </w:rPr>
            </w:pPr>
          </w:p>
        </w:tc>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3"/>
              </w:rPr>
              <w:t>Long-term Corporate Rating</w:t>
            </w:r>
          </w:p>
        </w:tc>
        <w:tc>
          <w:tcPr>
            <w:tcW w:w="100" w:type="dxa"/>
            <w:vAlign w:val="bottom"/>
            <w:tcBorders>
              <w:bottom w:val="single" w:sz="8" w:color="CCEEFF"/>
            </w:tcBorders>
          </w:tcPr>
          <w:p>
            <w:pPr>
              <w:spacing w:after="0"/>
              <w:rPr>
                <w:sz w:val="19"/>
                <w:szCs w:val="19"/>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0"/>
              </w:rPr>
              <w:t>Review Status / Outlook</w:t>
            </w:r>
          </w:p>
        </w:tc>
        <w:tc>
          <w:tcPr>
            <w:tcW w:w="100" w:type="dxa"/>
            <w:vAlign w:val="bottom"/>
            <w:tcBorders>
              <w:bottom w:val="single" w:sz="8" w:color="CCEEFF"/>
            </w:tcBorders>
          </w:tcPr>
          <w:p>
            <w:pPr>
              <w:spacing w:after="0"/>
              <w:rPr>
                <w:sz w:val="19"/>
                <w:szCs w:val="19"/>
                <w:color w:val="auto"/>
              </w:rPr>
            </w:pPr>
          </w:p>
        </w:tc>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0"/>
              </w:rPr>
              <w:t>Date of last action</w:t>
            </w:r>
          </w:p>
        </w:tc>
      </w:tr>
      <w:tr>
        <w:trPr>
          <w:trHeight w:val="213"/>
        </w:trPr>
        <w:tc>
          <w:tcPr>
            <w:tcW w:w="41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Moody’s</w:t>
            </w:r>
          </w:p>
        </w:tc>
        <w:tc>
          <w:tcPr>
            <w:tcW w:w="2400" w:type="dxa"/>
            <w:vAlign w:val="bottom"/>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83"/>
              </w:rPr>
              <w:t>Caa1</w:t>
            </w:r>
          </w:p>
        </w:tc>
        <w:tc>
          <w:tcPr>
            <w:tcW w:w="2380" w:type="dxa"/>
            <w:vAlign w:val="bottom"/>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91"/>
              </w:rPr>
              <w:t>Stable</w:t>
            </w:r>
          </w:p>
        </w:tc>
        <w:tc>
          <w:tcPr>
            <w:tcW w:w="23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February 24, 2021</w:t>
            </w:r>
          </w:p>
        </w:tc>
      </w:tr>
      <w:tr>
        <w:trPr>
          <w:trHeight w:val="220"/>
        </w:trPr>
        <w:tc>
          <w:tcPr>
            <w:tcW w:w="4120" w:type="dxa"/>
            <w:vAlign w:val="bottom"/>
            <w:gridSpan w:val="2"/>
          </w:tcPr>
          <w:p>
            <w:pPr>
              <w:ind w:left="20"/>
              <w:spacing w:after="0"/>
              <w:rPr>
                <w:sz w:val="20"/>
                <w:szCs w:val="20"/>
                <w:color w:val="auto"/>
              </w:rPr>
            </w:pPr>
            <w:r>
              <w:rPr>
                <w:rFonts w:ascii="Arial" w:cs="Arial" w:eastAsia="Arial" w:hAnsi="Arial"/>
                <w:sz w:val="17"/>
                <w:szCs w:val="17"/>
                <w:color w:val="auto"/>
              </w:rPr>
              <w:t>S&amp;P</w:t>
            </w:r>
          </w:p>
        </w:tc>
        <w:tc>
          <w:tcPr>
            <w:tcW w:w="2400" w:type="dxa"/>
            <w:vAlign w:val="bottom"/>
            <w:gridSpan w:val="2"/>
          </w:tcPr>
          <w:p>
            <w:pPr>
              <w:jc w:val="center"/>
              <w:ind w:right="100"/>
              <w:spacing w:after="0"/>
              <w:rPr>
                <w:sz w:val="20"/>
                <w:szCs w:val="20"/>
                <w:color w:val="auto"/>
              </w:rPr>
            </w:pPr>
            <w:r>
              <w:rPr>
                <w:rFonts w:ascii="Arial" w:cs="Arial" w:eastAsia="Arial" w:hAnsi="Arial"/>
                <w:sz w:val="17"/>
                <w:szCs w:val="17"/>
                <w:color w:val="auto"/>
              </w:rPr>
              <w:t>B-</w:t>
            </w:r>
          </w:p>
        </w:tc>
        <w:tc>
          <w:tcPr>
            <w:tcW w:w="2380" w:type="dxa"/>
            <w:vAlign w:val="bottom"/>
            <w:gridSpan w:val="2"/>
          </w:tcPr>
          <w:p>
            <w:pPr>
              <w:jc w:val="center"/>
              <w:ind w:right="100"/>
              <w:spacing w:after="0"/>
              <w:rPr>
                <w:sz w:val="20"/>
                <w:szCs w:val="20"/>
                <w:color w:val="auto"/>
              </w:rPr>
            </w:pPr>
            <w:r>
              <w:rPr>
                <w:rFonts w:ascii="Arial" w:cs="Arial" w:eastAsia="Arial" w:hAnsi="Arial"/>
                <w:sz w:val="17"/>
                <w:szCs w:val="17"/>
                <w:color w:val="auto"/>
                <w:w w:val="91"/>
              </w:rPr>
              <w:t>Stable</w:t>
            </w:r>
          </w:p>
        </w:tc>
        <w:tc>
          <w:tcPr>
            <w:tcW w:w="2300" w:type="dxa"/>
            <w:vAlign w:val="bottom"/>
          </w:tcPr>
          <w:p>
            <w:pPr>
              <w:jc w:val="center"/>
              <w:spacing w:after="0"/>
              <w:rPr>
                <w:sz w:val="20"/>
                <w:szCs w:val="20"/>
                <w:color w:val="auto"/>
              </w:rPr>
            </w:pPr>
            <w:r>
              <w:rPr>
                <w:rFonts w:ascii="Arial" w:cs="Arial" w:eastAsia="Arial" w:hAnsi="Arial"/>
                <w:sz w:val="17"/>
                <w:szCs w:val="17"/>
                <w:color w:val="auto"/>
                <w:w w:val="89"/>
              </w:rPr>
              <w:t>January 24, 2022</w:t>
            </w:r>
          </w:p>
        </w:tc>
      </w:tr>
    </w:tbl>
    <w:p>
      <w:pPr>
        <w:spacing w:after="0" w:line="168"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On February 24, 2021, concurrent with the launch of the $400.0 million PMC Senior Secured Notes offering, both Moody’s and S&amp;P reaffirmed the corporate ratings at Caa1 and B-, respectively. In addition, both agencies revised the outlook of the corporate ratings to Stable from Negative. This change in outlook was driven by the elimination of the short debt maturity runway and refinancing risk, which was listed as an area of concern by both Moody’s and S&amp;P. On January 24, 2022, S&amp;P affirmed the corporate rating at B-.</w:t>
      </w:r>
    </w:p>
    <w:p>
      <w:pPr>
        <w:spacing w:after="0" w:line="73"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On January 24, 2022, S&amp;P raised the assigned rating to the PMC Senior Secured Notes from ‘B-’ to ‘B’ and maintained a stable outlook citing improved profitability and increase in assets. It is possible that additional actions by credit rating agencies could have a material adverse impact on our liquidity and funding position, including materially changing the terms on which we may be able to borrow money.</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Cash Flows</w:t>
      </w:r>
    </w:p>
    <w:p>
      <w:pPr>
        <w:spacing w:after="0" w:line="121"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color w:val="auto"/>
        </w:rPr>
        <w:t>Our operating cash flow is primarily impacted by operating results, including Originations gains on loan sales, changes in our servicing advance balances, the level of mortgage loan production, the timing of sales and securitizations of mortgage loans, and the margin calls required under our MSR financing facilities or derivative instruments. We classify purchases of MSRs through flow purchase agreements, Agency Cash Window and bulk acquisitions as investing activity. MSR investments represent a key indicator of our ability to generate future income in our Servicing business, together with originated MSRs. We classify changes in HECM loans held for investment as investing activity and changes in the related HMBS borrowings as financing activity.</w:t>
      </w:r>
    </w:p>
    <w:p>
      <w:pPr>
        <w:spacing w:after="0" w:line="60"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Our NRZ agreements represent an important component of our liquidity and our liquidity management, and have a significant impact on consolidated statements of cash flows. Excluding the impact of changes to the secured financings attributed to changes in fair value, changes in the balance of these secured financings are reflected in cash flows from operating activities despite having no impact on our consolidated cash balance.</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8100" w:type="dxa"/>
            <w:vAlign w:val="bottom"/>
          </w:tcPr>
          <w:p>
            <w:pPr>
              <w:spacing w:after="0"/>
              <w:rPr>
                <w:sz w:val="20"/>
                <w:szCs w:val="20"/>
                <w:color w:val="auto"/>
              </w:rPr>
            </w:pPr>
            <w:r>
              <w:rPr>
                <w:rFonts w:ascii="Arial" w:cs="Arial" w:eastAsia="Arial" w:hAnsi="Arial"/>
                <w:sz w:val="17"/>
                <w:szCs w:val="17"/>
                <w:color w:val="auto"/>
              </w:rPr>
              <w:t>Our cash flows are summarized as follows:</w:t>
            </w: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349"/>
        </w:trPr>
        <w:tc>
          <w:tcPr>
            <w:tcW w:w="8100" w:type="dxa"/>
            <w:vAlign w:val="bottom"/>
          </w:tcPr>
          <w:p>
            <w:pPr>
              <w:ind w:left="120"/>
              <w:spacing w:after="0"/>
              <w:rPr>
                <w:sz w:val="20"/>
                <w:szCs w:val="20"/>
                <w:color w:val="auto"/>
              </w:rPr>
            </w:pPr>
            <w:r>
              <w:rPr>
                <w:rFonts w:ascii="Arial" w:cs="Arial" w:eastAsia="Arial" w:hAnsi="Arial"/>
                <w:sz w:val="17"/>
                <w:szCs w:val="17"/>
                <w:b w:val="1"/>
                <w:bCs w:val="1"/>
                <w:i w:val="1"/>
                <w:iCs w:val="1"/>
                <w:color w:val="auto"/>
              </w:rPr>
              <w:t>$ in millions</w:t>
            </w:r>
          </w:p>
        </w:tc>
        <w:tc>
          <w:tcPr>
            <w:tcW w:w="18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4"/>
          </w:tcPr>
          <w:p>
            <w:pPr>
              <w:jc w:val="right"/>
              <w:ind w:right="194"/>
              <w:spacing w:after="0"/>
              <w:rPr>
                <w:sz w:val="20"/>
                <w:szCs w:val="20"/>
                <w:color w:val="auto"/>
              </w:rPr>
            </w:pPr>
            <w:r>
              <w:rPr>
                <w:rFonts w:ascii="Arial" w:cs="Arial" w:eastAsia="Arial" w:hAnsi="Arial"/>
                <w:sz w:val="17"/>
                <w:szCs w:val="17"/>
                <w:b w:val="1"/>
                <w:bCs w:val="1"/>
                <w:color w:val="auto"/>
                <w:w w:val="94"/>
              </w:rPr>
              <w:t>For the Six Months Ended June 30,</w:t>
            </w:r>
          </w:p>
        </w:tc>
      </w:tr>
      <w:tr>
        <w:trPr>
          <w:trHeight w:val="213"/>
        </w:trPr>
        <w:tc>
          <w:tcPr>
            <w:tcW w:w="8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14"/>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4"/>
              <w:spacing w:after="0"/>
              <w:rPr>
                <w:sz w:val="20"/>
                <w:szCs w:val="20"/>
                <w:color w:val="auto"/>
              </w:rPr>
            </w:pPr>
            <w:r>
              <w:rPr>
                <w:rFonts w:ascii="Arial" w:cs="Arial" w:eastAsia="Arial" w:hAnsi="Arial"/>
                <w:sz w:val="17"/>
                <w:szCs w:val="17"/>
                <w:b w:val="1"/>
                <w:bCs w:val="1"/>
                <w:color w:val="auto"/>
              </w:rPr>
              <w:t>2021</w:t>
            </w:r>
          </w:p>
        </w:tc>
      </w:tr>
      <w:tr>
        <w:trPr>
          <w:trHeight w:val="213"/>
        </w:trPr>
        <w:tc>
          <w:tcPr>
            <w:tcW w:w="8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provided by (used in) operating activities</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299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(216)</w:t>
            </w:r>
          </w:p>
        </w:tc>
      </w:tr>
      <w:tr>
        <w:trPr>
          <w:trHeight w:val="220"/>
        </w:trPr>
        <w:tc>
          <w:tcPr>
            <w:tcW w:w="8100" w:type="dxa"/>
            <w:vAlign w:val="bottom"/>
          </w:tcPr>
          <w:p>
            <w:pPr>
              <w:ind w:left="20"/>
              <w:spacing w:after="0"/>
              <w:rPr>
                <w:sz w:val="20"/>
                <w:szCs w:val="20"/>
                <w:color w:val="auto"/>
              </w:rPr>
            </w:pPr>
            <w:r>
              <w:rPr>
                <w:rFonts w:ascii="Arial" w:cs="Arial" w:eastAsia="Arial" w:hAnsi="Arial"/>
                <w:sz w:val="17"/>
                <w:szCs w:val="17"/>
                <w:color w:val="auto"/>
              </w:rPr>
              <w:t>Net cash provided by (used in) investing activities</w:t>
            </w:r>
          </w:p>
        </w:tc>
        <w:tc>
          <w:tcPr>
            <w:tcW w:w="180" w:type="dxa"/>
            <w:vAlign w:val="bottom"/>
          </w:tcPr>
          <w:p>
            <w:pPr>
              <w:spacing w:after="0"/>
              <w:rPr>
                <w:sz w:val="19"/>
                <w:szCs w:val="19"/>
                <w:color w:val="auto"/>
              </w:rPr>
            </w:pPr>
          </w:p>
        </w:tc>
        <w:tc>
          <w:tcPr>
            <w:tcW w:w="1340" w:type="dxa"/>
            <w:vAlign w:val="bottom"/>
          </w:tcPr>
          <w:p>
            <w:pPr>
              <w:jc w:val="right"/>
              <w:ind w:right="134"/>
              <w:spacing w:after="0"/>
              <w:rPr>
                <w:sz w:val="20"/>
                <w:szCs w:val="20"/>
                <w:color w:val="auto"/>
              </w:rPr>
            </w:pPr>
            <w:r>
              <w:rPr>
                <w:rFonts w:ascii="Arial" w:cs="Arial" w:eastAsia="Arial" w:hAnsi="Arial"/>
                <w:sz w:val="17"/>
                <w:szCs w:val="17"/>
                <w:color w:val="auto"/>
              </w:rPr>
              <w:t>(125)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ind w:right="134"/>
              <w:spacing w:after="0"/>
              <w:rPr>
                <w:sz w:val="20"/>
                <w:szCs w:val="20"/>
                <w:color w:val="auto"/>
              </w:rPr>
            </w:pPr>
            <w:r>
              <w:rPr>
                <w:rFonts w:ascii="Arial" w:cs="Arial" w:eastAsia="Arial" w:hAnsi="Arial"/>
                <w:sz w:val="17"/>
                <w:szCs w:val="17"/>
                <w:color w:val="auto"/>
              </w:rPr>
              <w:t>(722)</w:t>
            </w:r>
          </w:p>
        </w:tc>
      </w:tr>
      <w:tr>
        <w:trPr>
          <w:trHeight w:val="220"/>
        </w:trPr>
        <w:tc>
          <w:tcPr>
            <w:tcW w:w="8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provided by (used in) financing activities</w:t>
            </w: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(114)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893</w:t>
            </w:r>
          </w:p>
        </w:tc>
      </w:tr>
      <w:tr>
        <w:trPr>
          <w:trHeight w:val="213"/>
        </w:trPr>
        <w:tc>
          <w:tcPr>
            <w:tcW w:w="8100" w:type="dxa"/>
            <w:vAlign w:val="bottom"/>
          </w:tcPr>
          <w:p>
            <w:pPr>
              <w:ind w:left="20"/>
              <w:spacing w:after="0"/>
              <w:rPr>
                <w:sz w:val="20"/>
                <w:szCs w:val="20"/>
                <w:color w:val="auto"/>
              </w:rPr>
            </w:pPr>
            <w:r>
              <w:rPr>
                <w:rFonts w:ascii="Arial" w:cs="Arial" w:eastAsia="Arial" w:hAnsi="Arial"/>
                <w:sz w:val="17"/>
                <w:szCs w:val="17"/>
                <w:color w:val="auto"/>
              </w:rPr>
              <w:t>Net increase (decrease) in cash, cash equivalents and restricted cash</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59</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(46)</w:t>
            </w:r>
          </w:p>
        </w:tc>
      </w:tr>
      <w:tr>
        <w:trPr>
          <w:trHeight w:val="20"/>
        </w:trPr>
        <w:tc>
          <w:tcPr>
            <w:tcW w:w="8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11"/>
        </w:trPr>
        <w:tc>
          <w:tcPr>
            <w:tcW w:w="8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cash equivalents and restricted cash at end of period</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323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312</w:t>
            </w:r>
          </w:p>
        </w:tc>
      </w:tr>
    </w:tbl>
    <w:p>
      <w:pPr>
        <w:spacing w:after="0" w:line="2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flows for the six months ended June 30, 2022</w:t>
      </w:r>
    </w:p>
    <w:p>
      <w:pPr>
        <w:spacing w:after="0" w:line="166" w:lineRule="exact"/>
        <w:rPr>
          <w:sz w:val="20"/>
          <w:szCs w:val="20"/>
          <w:color w:val="auto"/>
        </w:rPr>
      </w:pPr>
    </w:p>
    <w:p>
      <w:pPr>
        <w:ind w:right="280"/>
        <w:spacing w:after="0" w:line="315" w:lineRule="auto"/>
        <w:rPr>
          <w:sz w:val="20"/>
          <w:szCs w:val="20"/>
          <w:color w:val="auto"/>
        </w:rPr>
      </w:pPr>
      <w:r>
        <w:rPr>
          <w:rFonts w:ascii="Arial" w:cs="Arial" w:eastAsia="Arial" w:hAnsi="Arial"/>
          <w:sz w:val="16"/>
          <w:szCs w:val="16"/>
          <w:color w:val="auto"/>
        </w:rPr>
        <w:t>Our operating activities provided $298.9 million of cash with net cash received on loans held for sale of $120.6 million for the six months ended June 30, 2022 due to higher forward loan production volumes. In addition, net collections of servicing advances were $105.9 million, mostly T&amp;I advances.</w:t>
      </w:r>
    </w:p>
    <w:p>
      <w:pPr>
        <w:spacing w:after="0" w:line="34" w:lineRule="exact"/>
        <w:rPr>
          <w:sz w:val="20"/>
          <w:szCs w:val="20"/>
          <w:color w:val="auto"/>
        </w:rPr>
      </w:pPr>
    </w:p>
    <w:p>
      <w:pPr>
        <w:ind w:right="40"/>
        <w:spacing w:after="0" w:line="263" w:lineRule="auto"/>
        <w:rPr>
          <w:sz w:val="20"/>
          <w:szCs w:val="20"/>
          <w:color w:val="auto"/>
        </w:rPr>
      </w:pPr>
      <w:r>
        <w:rPr>
          <w:rFonts w:ascii="Arial" w:cs="Arial" w:eastAsia="Arial" w:hAnsi="Arial"/>
          <w:sz w:val="17"/>
          <w:szCs w:val="17"/>
          <w:color w:val="auto"/>
        </w:rPr>
        <w:t>Our investing activities used $125.3 million of cash. The primary uses of cash in our investing activities include $149.1 million net cash outflows in connection with our HECM reverse mortgages, $6.9 million acquisition of reverse subservicing agreement and $103.5 million to purchase MSRs. Offsetting cash inflows include $134.5 million proceeds from the sale of MSRs to an unrelated third party. Capital distributions of $16.9 million received from our equity method investee MAV Canopy were offset by $16.5 million of capital contributions.</w:t>
      </w:r>
    </w:p>
    <w:p>
      <w:pPr>
        <w:spacing w:after="0" w:line="73"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Our financing activities used $114.4 million of cash. Cash outflows include $217.0 million net repayments of borrowings under our mortgage warehouse and MSR financing facilities due to the decline in loans held for sale, $35.3 million of net repayments on advance match funded liabilities due to the decline in servicing advances, $57.0 million of net payments on the</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7" w:right="339" w:bottom="1440" w:gutter="0" w:footer="0" w:header="0"/>
        </w:sectPr>
      </w:pPr>
    </w:p>
    <w:bookmarkStart w:id="94" w:name="page95"/>
    <w:bookmarkEnd w:id="94"/>
    <w:p>
      <w:pPr>
        <w:ind w:right="20"/>
        <w:spacing w:after="0" w:line="263" w:lineRule="auto"/>
        <w:rPr>
          <w:sz w:val="20"/>
          <w:szCs w:val="20"/>
          <w:color w:val="auto"/>
        </w:rPr>
      </w:pPr>
      <w:r>
        <w:rPr>
          <w:rFonts w:ascii="Arial" w:cs="Arial" w:eastAsia="Arial" w:hAnsi="Arial"/>
          <w:sz w:val="17"/>
          <w:szCs w:val="17"/>
          <w:color w:val="auto"/>
        </w:rPr>
        <w:t>financing liabilities related to MSRs transferred due to runoff. We also paid $23.6 million to repurchase $25.0 million of our 7.875% PMC Senior Secured Notes and $2.3 million to repurchase 84,087 shares of our common stock. Cash inflows include $1.1 billion received in connection with our reverse mortgage securitizations, which are accounted for as secured financings, partially offset by repayments on the related financing liability of $993.5 million, and $66.2 million of proceeds from sale of MSRs accounted for as a financing in connection with sales of MSRs to MAV.</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flows for the six months ended June 30, 2021</w:t>
      </w:r>
    </w:p>
    <w:p>
      <w:pPr>
        <w:spacing w:after="0" w:line="115" w:lineRule="exact"/>
        <w:rPr>
          <w:sz w:val="20"/>
          <w:szCs w:val="20"/>
          <w:color w:val="auto"/>
        </w:rPr>
      </w:pPr>
    </w:p>
    <w:p>
      <w:pPr>
        <w:ind w:right="400"/>
        <w:spacing w:after="0" w:line="315" w:lineRule="auto"/>
        <w:rPr>
          <w:sz w:val="20"/>
          <w:szCs w:val="20"/>
          <w:color w:val="auto"/>
        </w:rPr>
      </w:pPr>
      <w:r>
        <w:rPr>
          <w:rFonts w:ascii="Arial" w:cs="Arial" w:eastAsia="Arial" w:hAnsi="Arial"/>
          <w:sz w:val="16"/>
          <w:szCs w:val="16"/>
          <w:color w:val="auto"/>
        </w:rPr>
        <w:t>Our operating activities used $216.2 million of cash largely due to the growth of our new Originations production with net cash paid on loans held for sale of $333.5 million for the six months ended June 30, 2021, partially offset by $56.5 million of net collections of servicing advances, mostly P&amp;I advances.</w:t>
      </w:r>
    </w:p>
    <w:p>
      <w:pPr>
        <w:spacing w:after="0" w:line="3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Our investing activities used $722.5 million of cash. The primary uses of cash in our investing activities include $712.6 million to purchase MSRs, mostly through bulk acquisitions, and $11.5 million of contributions to our equity method investee MAV Canopy. These cash outflows were partially offset by net cash inflows in connection with our HECM reverse mortgages of $1.7 million.</w:t>
      </w:r>
    </w:p>
    <w:p>
      <w:pPr>
        <w:spacing w:after="0" w:line="69" w:lineRule="exact"/>
        <w:rPr>
          <w:sz w:val="20"/>
          <w:szCs w:val="20"/>
          <w:color w:val="auto"/>
        </w:rPr>
      </w:pPr>
    </w:p>
    <w:p>
      <w:pPr>
        <w:ind w:right="180"/>
        <w:spacing w:after="0" w:line="292" w:lineRule="auto"/>
        <w:rPr>
          <w:sz w:val="20"/>
          <w:szCs w:val="20"/>
          <w:color w:val="auto"/>
        </w:rPr>
      </w:pPr>
      <w:r>
        <w:rPr>
          <w:rFonts w:ascii="Arial" w:cs="Arial" w:eastAsia="Arial" w:hAnsi="Arial"/>
          <w:sz w:val="15"/>
          <w:szCs w:val="15"/>
          <w:color w:val="auto"/>
        </w:rPr>
        <w:t>Our financing activities provided $893.0 million of cash. Cash inflows include $647.9 million from the issuance of the PMC Senior Secured Notes and the OFC Senior Secured Notes, warrants and common stock to Oaktree and $667.5 million received in connection with our reverse mortgage securitizations, which are accounted for as secured financings, partially offset by repayments on the related financing liability of $715.3 million, and an $897.6 million net increase in borrowings under our mortgage warehouse and MSR financing facilities. Cash outflows include $319.2 million to repay our 6.375% senior unsecured notes and</w:t>
      </w:r>
    </w:p>
    <w:p>
      <w:pPr>
        <w:spacing w:after="0" w:line="260" w:lineRule="auto"/>
        <w:rPr>
          <w:sz w:val="20"/>
          <w:szCs w:val="20"/>
          <w:color w:val="auto"/>
        </w:rPr>
      </w:pPr>
      <w:r>
        <w:rPr>
          <w:rFonts w:ascii="Arial" w:cs="Arial" w:eastAsia="Arial" w:hAnsi="Arial"/>
          <w:sz w:val="17"/>
          <w:szCs w:val="17"/>
          <w:color w:val="auto"/>
        </w:rPr>
        <w:t>8.375% senior secured notes, $188.7 million repayment of the SSTL, $51.1 million of net repayments on advance match funded liabilities and $38.5 million of net payments on the financing liabilities related to MSRs pledged. In addition, we paid debt issuance costs of $16.0 million in connection with the issuance of the PMC Senior Secured Notes and OFC Senior Secured Notes.</w:t>
      </w:r>
    </w:p>
    <w:p>
      <w:pPr>
        <w:spacing w:after="0" w:line="354"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CRITICAL ACCOUNTING POLICIES AND ESTIMATES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84455</wp:posOffset>
            </wp:positionV>
            <wp:extent cx="712152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94"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color w:val="auto"/>
        </w:rPr>
        <w:t>Our ability to measure and report our financial position and operating results is influenced by the need to estimate the impact or outcome of future events based on information available at the date of the financial statements. An accounting estimate is considered critical if it requires that management make assumptions about matters that were highly uncertain at the time the accounting estimate was made. If actual results differ from our judgments and assumptions, then it may have an adverse impact on the results of operations and cash flows. We have processes in place to monitor these judgments and assumptions, and management is required to review critical accounting policies and estimates with the Audit Committee of the Board of Directors.</w:t>
      </w:r>
    </w:p>
    <w:p>
      <w:pPr>
        <w:spacing w:after="0" w:line="60"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Our accounting policies and estimates involving significant judgments primarily relate to fair value measurements, income taxes, allowance for losses on assets, and the provision for losses that may arise from contingencies, including indemnification obligations and litigation proceedings. We use fair value measurements to record fair value adjustments to certain instruments in our statement of operations and to determine fair value disclosures, including but not limited to MSRs, Pledged MSR liabilities and Reverse mortgage loans held for investment. As of June 30, 2022, 87% of our assets and 70% of our liabilities were reported at fair value, with fair value changes reported in our statement of operations. Substantially all our assets and liabilities at fair value were classified as Level 3 instruments due to unobservable inputs.</w:t>
      </w:r>
    </w:p>
    <w:p>
      <w:pPr>
        <w:spacing w:after="0" w:line="78" w:lineRule="exact"/>
        <w:rPr>
          <w:sz w:val="20"/>
          <w:szCs w:val="20"/>
          <w:color w:val="auto"/>
        </w:rPr>
      </w:pPr>
    </w:p>
    <w:p>
      <w:pPr>
        <w:ind w:right="120"/>
        <w:spacing w:after="0" w:line="263" w:lineRule="auto"/>
        <w:rPr>
          <w:sz w:val="20"/>
          <w:szCs w:val="20"/>
          <w:color w:val="auto"/>
        </w:rPr>
      </w:pPr>
      <w:r>
        <w:rPr>
          <w:rFonts w:ascii="Arial" w:cs="Arial" w:eastAsia="Arial" w:hAnsi="Arial"/>
          <w:sz w:val="17"/>
          <w:szCs w:val="17"/>
          <w:color w:val="auto"/>
        </w:rPr>
        <w:t>Our significant accounting policies and critical accounting estimates are disclosed in our Annual Report on Form 10-K for the year ended December 31, 2021 in Note 1 to the Consolidated Financial Statements and in Management’s Discussion and Analysis of Financial Condition and Results of Operations under “Critical Accounting Policies and Estimates.” There have not been any material changes to our critical accounting policies and the methods we used and judgments we made relating to estimates as disclosed in the Annual Report on Form 10-K.</w:t>
      </w:r>
    </w:p>
    <w:p>
      <w:pPr>
        <w:spacing w:after="0" w:line="313"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RECENT ACCOUNTING DEVELOPMENTS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84455</wp:posOffset>
            </wp:positionV>
            <wp:extent cx="712152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07" w:lineRule="exact"/>
        <w:rPr>
          <w:sz w:val="20"/>
          <w:szCs w:val="20"/>
          <w:color w:val="auto"/>
        </w:rPr>
      </w:pPr>
    </w:p>
    <w:p>
      <w:pPr>
        <w:ind w:right="260"/>
        <w:spacing w:after="0" w:line="283" w:lineRule="auto"/>
        <w:rPr>
          <w:sz w:val="20"/>
          <w:szCs w:val="20"/>
          <w:color w:val="auto"/>
        </w:rPr>
      </w:pPr>
      <w:r>
        <w:rPr>
          <w:rFonts w:ascii="Arial" w:cs="Arial" w:eastAsia="Arial" w:hAnsi="Arial"/>
          <w:sz w:val="17"/>
          <w:szCs w:val="17"/>
          <w:color w:val="auto"/>
        </w:rPr>
        <w:t>See Note 1 - Organization and Basis of Presentation to the Unaudited Consolidated Financial Statements for information related to recent accounting standards updates.</w:t>
      </w:r>
    </w:p>
    <w:p>
      <w:pPr>
        <w:spacing w:after="0" w:line="102" w:lineRule="exact"/>
        <w:rPr>
          <w:sz w:val="20"/>
          <w:szCs w:val="20"/>
          <w:color w:val="auto"/>
        </w:rPr>
      </w:pPr>
    </w:p>
    <w:p>
      <w:pPr>
        <w:ind w:right="720"/>
        <w:spacing w:after="0" w:line="384" w:lineRule="auto"/>
        <w:rPr>
          <w:sz w:val="20"/>
          <w:szCs w:val="20"/>
          <w:color w:val="auto"/>
        </w:rPr>
      </w:pPr>
      <w:r>
        <w:rPr>
          <w:rFonts w:ascii="Arial" w:cs="Arial" w:eastAsia="Arial" w:hAnsi="Arial"/>
          <w:sz w:val="17"/>
          <w:szCs w:val="17"/>
          <w:b w:val="1"/>
          <w:bCs w:val="1"/>
          <w:color w:val="auto"/>
        </w:rPr>
        <w:t>ITEM 3. QUANTITATIVE AND QUALITATIVE DISCLOSURES ABOUT MARKET RISK (Dollars in millions unless otherwise indicated) Interest Rates</w:t>
      </w:r>
    </w:p>
    <w:p>
      <w:pPr>
        <w:spacing w:after="0" w:line="1" w:lineRule="exact"/>
        <w:rPr>
          <w:sz w:val="20"/>
          <w:szCs w:val="20"/>
          <w:color w:val="auto"/>
        </w:rPr>
      </w:pPr>
    </w:p>
    <w:p>
      <w:pPr>
        <w:ind w:right="220"/>
        <w:spacing w:after="0" w:line="283" w:lineRule="auto"/>
        <w:rPr>
          <w:sz w:val="20"/>
          <w:szCs w:val="20"/>
          <w:color w:val="auto"/>
        </w:rPr>
      </w:pPr>
      <w:r>
        <w:rPr>
          <w:rFonts w:ascii="Arial" w:cs="Arial" w:eastAsia="Arial" w:hAnsi="Arial"/>
          <w:sz w:val="17"/>
          <w:szCs w:val="17"/>
          <w:color w:val="auto"/>
        </w:rPr>
        <w:t>Our principal market risk exposure is the impact of interest rate changes on our mortgage-related assets and commitments, including MSRs, loans held for sale, loans held for investment, IRLCs and other derivative instruments. In addition, changes in</w:t>
      </w:r>
    </w:p>
    <w:p>
      <w:pPr>
        <w:spacing w:after="0" w:line="200" w:lineRule="exact"/>
        <w:rPr>
          <w:sz w:val="20"/>
          <w:szCs w:val="20"/>
          <w:color w:val="auto"/>
        </w:rPr>
      </w:pPr>
    </w:p>
    <w:p>
      <w:pPr>
        <w:spacing w:after="0" w:line="28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967" w:right="359" w:bottom="1440" w:gutter="0" w:footer="0" w:header="0"/>
        </w:sectPr>
      </w:pPr>
    </w:p>
    <w:bookmarkStart w:id="95" w:name="page96"/>
    <w:bookmarkEnd w:id="95"/>
    <w:p>
      <w:pPr>
        <w:ind w:right="180"/>
        <w:spacing w:after="0" w:line="353" w:lineRule="auto"/>
        <w:rPr>
          <w:sz w:val="20"/>
          <w:szCs w:val="20"/>
          <w:color w:val="auto"/>
        </w:rPr>
      </w:pPr>
      <w:r>
        <w:rPr>
          <w:rFonts w:ascii="Arial" w:cs="Arial" w:eastAsia="Arial" w:hAnsi="Arial"/>
          <w:sz w:val="15"/>
          <w:szCs w:val="15"/>
          <w:color w:val="auto"/>
        </w:rPr>
        <w:t>interest rates could materially and adversely affect the amount of escrow and float income, the volume of mortgage loan originations or result in MSR fair value changes. We also have exposure to the effects of changes in interest rates on our floating-rate borrowings, including MSR and advance financing facilities.</w:t>
      </w:r>
    </w:p>
    <w:p>
      <w:pPr>
        <w:spacing w:after="0" w:line="9" w:lineRule="exact"/>
        <w:rPr>
          <w:sz w:val="20"/>
          <w:szCs w:val="20"/>
          <w:color w:val="auto"/>
        </w:rPr>
      </w:pPr>
    </w:p>
    <w:p>
      <w:pPr>
        <w:ind w:right="140"/>
        <w:spacing w:after="0" w:line="309" w:lineRule="auto"/>
        <w:rPr>
          <w:sz w:val="20"/>
          <w:szCs w:val="20"/>
          <w:color w:val="auto"/>
        </w:rPr>
      </w:pPr>
      <w:r>
        <w:rPr>
          <w:rFonts w:ascii="Arial" w:cs="Arial" w:eastAsia="Arial" w:hAnsi="Arial"/>
          <w:sz w:val="15"/>
          <w:szCs w:val="15"/>
          <w:color w:val="auto"/>
        </w:rPr>
        <w:t>Our management-level Market Risk Committee establishes and maintains policies that govern our risk appetite and associated hedging programs, including such factors as market volatility, duration and interest rate sensitivity measures, limits, targeted hedge ratios, the hedge instruments that we are permitted to use in our hedging activities and the counterparties with whom we are permitted to enter into hedging transactions and our liquidity risk profile. See Note 16 – Derivative Financial Instruments and Hedging Activities to the Unaudited Consolidated Financial Statements for additional information regarding our use of derivatives.</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MSR Hedging Strategy</w:t>
      </w:r>
    </w:p>
    <w:p>
      <w:pPr>
        <w:spacing w:after="0" w:line="121" w:lineRule="exact"/>
        <w:rPr>
          <w:sz w:val="20"/>
          <w:szCs w:val="20"/>
          <w:color w:val="auto"/>
        </w:rPr>
      </w:pPr>
    </w:p>
    <w:p>
      <w:pPr>
        <w:ind w:right="60"/>
        <w:spacing w:after="0" w:line="283" w:lineRule="auto"/>
        <w:rPr>
          <w:sz w:val="20"/>
          <w:szCs w:val="20"/>
          <w:color w:val="auto"/>
        </w:rPr>
      </w:pPr>
      <w:r>
        <w:rPr>
          <w:rFonts w:ascii="Arial" w:cs="Arial" w:eastAsia="Arial" w:hAnsi="Arial"/>
          <w:sz w:val="17"/>
          <w:szCs w:val="17"/>
          <w:color w:val="auto"/>
        </w:rPr>
        <w:t>MSRs are carried at fair value with changes in fair value being recorded in earnings in the period in which the changes occur. The fair value of MSRs is subject to changes in market interest rates and prepayment speeds.</w:t>
      </w:r>
    </w:p>
    <w:p>
      <w:pPr>
        <w:spacing w:after="0" w:line="56" w:lineRule="exact"/>
        <w:rPr>
          <w:sz w:val="20"/>
          <w:szCs w:val="20"/>
          <w:color w:val="auto"/>
        </w:rPr>
      </w:pPr>
    </w:p>
    <w:p>
      <w:pPr>
        <w:ind w:right="440"/>
        <w:spacing w:after="0" w:line="283" w:lineRule="auto"/>
        <w:rPr>
          <w:sz w:val="20"/>
          <w:szCs w:val="20"/>
          <w:color w:val="auto"/>
        </w:rPr>
      </w:pPr>
      <w:r>
        <w:rPr>
          <w:rFonts w:ascii="Arial" w:cs="Arial" w:eastAsia="Arial" w:hAnsi="Arial"/>
          <w:sz w:val="17"/>
          <w:szCs w:val="17"/>
          <w:color w:val="auto"/>
        </w:rPr>
        <w:t>Our risk management MSR policy’s objective is to provide partial hedge coverage of interest-rate sensitive MSR portfolio exposure, considering market and liquidity conditions. The interest-rate sensitive MSR portfolio exposure is defined as follows:</w:t>
      </w:r>
    </w:p>
    <w:p>
      <w:pPr>
        <w:spacing w:after="0" w:line="56" w:lineRule="exact"/>
        <w:rPr>
          <w:sz w:val="20"/>
          <w:szCs w:val="20"/>
          <w:color w:val="auto"/>
        </w:rPr>
      </w:pPr>
    </w:p>
    <w:p>
      <w:pPr>
        <w:ind w:left="620" w:hanging="307"/>
        <w:spacing w:after="0"/>
        <w:tabs>
          <w:tab w:leader="none" w:pos="620" w:val="left"/>
        </w:tabs>
        <w:numPr>
          <w:ilvl w:val="0"/>
          <w:numId w:val="62"/>
        </w:numPr>
        <w:rPr>
          <w:rFonts w:ascii="Arial" w:cs="Arial" w:eastAsia="Arial" w:hAnsi="Arial"/>
          <w:sz w:val="17"/>
          <w:szCs w:val="17"/>
          <w:color w:val="auto"/>
        </w:rPr>
      </w:pPr>
      <w:r>
        <w:rPr>
          <w:rFonts w:ascii="Arial" w:cs="Arial" w:eastAsia="Arial" w:hAnsi="Arial"/>
          <w:sz w:val="17"/>
          <w:szCs w:val="17"/>
          <w:color w:val="auto"/>
        </w:rPr>
        <w:t>Agency MSR portfolio,</w:t>
      </w:r>
    </w:p>
    <w:p>
      <w:pPr>
        <w:spacing w:after="0" w:line="23" w:lineRule="exact"/>
        <w:rPr>
          <w:rFonts w:ascii="Arial" w:cs="Arial" w:eastAsia="Arial" w:hAnsi="Arial"/>
          <w:sz w:val="17"/>
          <w:szCs w:val="17"/>
          <w:color w:val="auto"/>
        </w:rPr>
      </w:pPr>
    </w:p>
    <w:p>
      <w:pPr>
        <w:ind w:left="620" w:hanging="307"/>
        <w:spacing w:after="0"/>
        <w:tabs>
          <w:tab w:leader="none" w:pos="620" w:val="left"/>
        </w:tabs>
        <w:numPr>
          <w:ilvl w:val="0"/>
          <w:numId w:val="62"/>
        </w:numPr>
        <w:rPr>
          <w:rFonts w:ascii="Arial" w:cs="Arial" w:eastAsia="Arial" w:hAnsi="Arial"/>
          <w:sz w:val="17"/>
          <w:szCs w:val="17"/>
          <w:color w:val="auto"/>
        </w:rPr>
      </w:pPr>
      <w:r>
        <w:rPr>
          <w:rFonts w:ascii="Arial" w:cs="Arial" w:eastAsia="Arial" w:hAnsi="Arial"/>
          <w:sz w:val="17"/>
          <w:szCs w:val="17"/>
          <w:color w:val="auto"/>
        </w:rPr>
        <w:t>expected Agency MSR bulk transactions subject to letters of intent (LOI),</w:t>
      </w:r>
    </w:p>
    <w:p>
      <w:pPr>
        <w:spacing w:after="0" w:line="11" w:lineRule="exact"/>
        <w:rPr>
          <w:rFonts w:ascii="Arial" w:cs="Arial" w:eastAsia="Arial" w:hAnsi="Arial"/>
          <w:sz w:val="17"/>
          <w:szCs w:val="17"/>
          <w:color w:val="auto"/>
        </w:rPr>
      </w:pPr>
    </w:p>
    <w:p>
      <w:pPr>
        <w:ind w:left="620" w:hanging="307"/>
        <w:spacing w:after="0"/>
        <w:tabs>
          <w:tab w:leader="none" w:pos="620" w:val="left"/>
        </w:tabs>
        <w:numPr>
          <w:ilvl w:val="0"/>
          <w:numId w:val="62"/>
        </w:numPr>
        <w:rPr>
          <w:rFonts w:ascii="Arial" w:cs="Arial" w:eastAsia="Arial" w:hAnsi="Arial"/>
          <w:sz w:val="16"/>
          <w:szCs w:val="16"/>
          <w:color w:val="auto"/>
        </w:rPr>
      </w:pPr>
      <w:r>
        <w:rPr>
          <w:rFonts w:ascii="Arial" w:cs="Arial" w:eastAsia="Arial" w:hAnsi="Arial"/>
          <w:sz w:val="16"/>
          <w:szCs w:val="16"/>
          <w:color w:val="auto"/>
        </w:rPr>
        <w:t>less the Agency MSRs subject to our sale agreements with NRZ and MAV (See Note 8 — MSR Transfers Not Qualifying for Sale Accounting),</w:t>
      </w:r>
    </w:p>
    <w:p>
      <w:pPr>
        <w:spacing w:after="0" w:line="22" w:lineRule="exact"/>
        <w:rPr>
          <w:rFonts w:ascii="Arial" w:cs="Arial" w:eastAsia="Arial" w:hAnsi="Arial"/>
          <w:sz w:val="16"/>
          <w:szCs w:val="16"/>
          <w:color w:val="auto"/>
        </w:rPr>
      </w:pPr>
    </w:p>
    <w:p>
      <w:pPr>
        <w:ind w:left="620" w:hanging="307"/>
        <w:spacing w:after="0"/>
        <w:tabs>
          <w:tab w:leader="none" w:pos="620" w:val="left"/>
        </w:tabs>
        <w:numPr>
          <w:ilvl w:val="0"/>
          <w:numId w:val="62"/>
        </w:numPr>
        <w:rPr>
          <w:rFonts w:ascii="Arial" w:cs="Arial" w:eastAsia="Arial" w:hAnsi="Arial"/>
          <w:sz w:val="17"/>
          <w:szCs w:val="17"/>
          <w:color w:val="auto"/>
        </w:rPr>
      </w:pPr>
      <w:r>
        <w:rPr>
          <w:rFonts w:ascii="Arial" w:cs="Arial" w:eastAsia="Arial" w:hAnsi="Arial"/>
          <w:sz w:val="17"/>
          <w:szCs w:val="17"/>
          <w:color w:val="auto"/>
        </w:rPr>
        <w:t>less the asset value for securitized HECM loans, net of the corresponding HMBS-related borrowings (Reverse).</w:t>
      </w:r>
    </w:p>
    <w:p>
      <w:pPr>
        <w:spacing w:after="0" w:line="102" w:lineRule="exact"/>
        <w:rPr>
          <w:sz w:val="20"/>
          <w:szCs w:val="20"/>
          <w:color w:val="auto"/>
        </w:rPr>
      </w:pPr>
    </w:p>
    <w:p>
      <w:pPr>
        <w:ind w:right="80"/>
        <w:spacing w:after="0" w:line="274" w:lineRule="auto"/>
        <w:rPr>
          <w:sz w:val="20"/>
          <w:szCs w:val="20"/>
          <w:color w:val="auto"/>
        </w:rPr>
      </w:pPr>
      <w:r>
        <w:rPr>
          <w:rFonts w:ascii="Arial" w:cs="Arial" w:eastAsia="Arial" w:hAnsi="Arial"/>
          <w:sz w:val="16"/>
          <w:szCs w:val="16"/>
          <w:color w:val="auto"/>
        </w:rPr>
        <w:t>The hedge coverage ratio, defined as the ratio of hedge and asset rate sensitivity (referred to as DV01) at the time of measurement, is subject to lower and upper thresholds, as modeled, of 40% and 60%, respectively in order to preserve liquidity and optimize asset returns. MSRs subject to LOI may be covered under a separate hedge coverage ratio requirement sufficient to preserve the economics of the intended transactions. Accordingly, the changes in fair value of our hedging instruments may not fully offset the changes in fair value of our net MSR portfolio exposure attributable to interest rate changes. We periodically evaluate the 40-60% coverage ratio at the intended shock interval to determine if it is relevant or warrants adjustment based on market conditions, symmetry of interest rate risk exposure, and liquidity impacts of both the hedge and asset profile under shock scenarios. As the market dictates, management may choose to maintain hedge coverage ratio levels at or beyond the above thresholds, with approval of the Market Risk Committee, in order to preserve liquidity and/or optimize asset returns. In addition, while DV01 measures may remain within the range of our hedging strategy’s objective, actual changes in fair value of the derivatives and MSR portfolio may not offset to the same extent, due to non-parallel changes in the interest rate curve and the basis risk inherent in the MSR profile and hedging instruments, among other factors. We continuously evaluate the use of hedging instruments to strive to enhance the effectiveness of our interest rate hedging strategy.</w:t>
      </w:r>
    </w:p>
    <w:p>
      <w:pPr>
        <w:spacing w:after="0" w:line="67"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The following table illustrates the interest rate sensitivity of our MSR portfolio exposure and associated hedges at June 30, 2022. Hypothetical change in values of the MSR and hedges are presented under a set instantaneous +/- 25 basis point parallel move in rates. Refer to the description below under Sensitivity Analysis for more details. Changes in fair value cannot be extrapolated because the relationship to the change in fair value may not be linear. The amounts based on market risk sensitive measures are hypothetical and presented for illustrative purposes only.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967" w:right="359"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195"/>
        </w:trPr>
        <w:tc>
          <w:tcPr>
            <w:tcW w:w="5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40" w:type="dxa"/>
            <w:vAlign w:val="bottom"/>
            <w:vMerge w:val="restart"/>
          </w:tcPr>
          <w:p>
            <w:pPr>
              <w:jc w:val="right"/>
              <w:ind w:right="134"/>
              <w:spacing w:after="0"/>
              <w:rPr>
                <w:sz w:val="20"/>
                <w:szCs w:val="20"/>
                <w:color w:val="auto"/>
              </w:rPr>
            </w:pPr>
            <w:r>
              <w:rPr>
                <w:rFonts w:ascii="Arial" w:cs="Arial" w:eastAsia="Arial" w:hAnsi="Arial"/>
                <w:sz w:val="17"/>
                <w:szCs w:val="17"/>
                <w:b w:val="1"/>
                <w:bCs w:val="1"/>
                <w:color w:val="auto"/>
                <w:w w:val="93"/>
              </w:rPr>
              <w:t>Fair value at June 30,</w:t>
            </w:r>
          </w:p>
        </w:tc>
        <w:tc>
          <w:tcPr>
            <w:tcW w:w="140" w:type="dxa"/>
            <w:vAlign w:val="bottom"/>
          </w:tcPr>
          <w:p>
            <w:pPr>
              <w:spacing w:after="0"/>
              <w:rPr>
                <w:sz w:val="16"/>
                <w:szCs w:val="16"/>
                <w:color w:val="auto"/>
              </w:rPr>
            </w:pPr>
          </w:p>
        </w:tc>
        <w:tc>
          <w:tcPr>
            <w:tcW w:w="196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91"/>
              </w:rPr>
              <w:t>Hypothetical change in</w:t>
            </w:r>
          </w:p>
        </w:tc>
        <w:tc>
          <w:tcPr>
            <w:tcW w:w="120" w:type="dxa"/>
            <w:vAlign w:val="bottom"/>
          </w:tcPr>
          <w:p>
            <w:pPr>
              <w:spacing w:after="0"/>
              <w:rPr>
                <w:sz w:val="16"/>
                <w:szCs w:val="16"/>
                <w:color w:val="auto"/>
              </w:rPr>
            </w:pPr>
          </w:p>
        </w:tc>
        <w:tc>
          <w:tcPr>
            <w:tcW w:w="1880" w:type="dxa"/>
            <w:vAlign w:val="bottom"/>
          </w:tcPr>
          <w:p>
            <w:pPr>
              <w:jc w:val="center"/>
              <w:ind w:right="14"/>
              <w:spacing w:after="0"/>
              <w:rPr>
                <w:sz w:val="20"/>
                <w:szCs w:val="20"/>
                <w:color w:val="auto"/>
              </w:rPr>
            </w:pPr>
            <w:r>
              <w:rPr>
                <w:rFonts w:ascii="Arial" w:cs="Arial" w:eastAsia="Arial" w:hAnsi="Arial"/>
                <w:sz w:val="17"/>
                <w:szCs w:val="17"/>
                <w:b w:val="1"/>
                <w:bCs w:val="1"/>
                <w:color w:val="auto"/>
                <w:w w:val="91"/>
              </w:rPr>
              <w:t>Hypothetical change in</w:t>
            </w:r>
          </w:p>
        </w:tc>
        <w:tc>
          <w:tcPr>
            <w:tcW w:w="0" w:type="dxa"/>
            <w:vAlign w:val="bottom"/>
          </w:tcPr>
          <w:p>
            <w:pPr>
              <w:spacing w:after="0"/>
              <w:rPr>
                <w:sz w:val="1"/>
                <w:szCs w:val="1"/>
                <w:color w:val="auto"/>
              </w:rPr>
            </w:pPr>
          </w:p>
        </w:tc>
      </w:tr>
      <w:tr>
        <w:trPr>
          <w:trHeight w:val="168"/>
        </w:trPr>
        <w:tc>
          <w:tcPr>
            <w:tcW w:w="5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960" w:type="dxa"/>
            <w:vAlign w:val="bottom"/>
            <w:gridSpan w:val="2"/>
          </w:tcPr>
          <w:p>
            <w:pPr>
              <w:jc w:val="center"/>
              <w:ind w:right="220"/>
              <w:spacing w:after="0" w:line="168" w:lineRule="exact"/>
              <w:rPr>
                <w:sz w:val="20"/>
                <w:szCs w:val="20"/>
                <w:color w:val="auto"/>
              </w:rPr>
            </w:pPr>
            <w:r>
              <w:rPr>
                <w:rFonts w:ascii="Arial" w:cs="Arial" w:eastAsia="Arial" w:hAnsi="Arial"/>
                <w:sz w:val="17"/>
                <w:szCs w:val="17"/>
                <w:b w:val="1"/>
                <w:bCs w:val="1"/>
                <w:color w:val="auto"/>
                <w:w w:val="89"/>
              </w:rPr>
              <w:t>fair value due to 25 bps</w:t>
            </w:r>
          </w:p>
        </w:tc>
        <w:tc>
          <w:tcPr>
            <w:tcW w:w="120" w:type="dxa"/>
            <w:vAlign w:val="bottom"/>
          </w:tcPr>
          <w:p>
            <w:pPr>
              <w:spacing w:after="0"/>
              <w:rPr>
                <w:sz w:val="14"/>
                <w:szCs w:val="14"/>
                <w:color w:val="auto"/>
              </w:rPr>
            </w:pPr>
          </w:p>
        </w:tc>
        <w:tc>
          <w:tcPr>
            <w:tcW w:w="1880" w:type="dxa"/>
            <w:vAlign w:val="bottom"/>
          </w:tcPr>
          <w:p>
            <w:pPr>
              <w:jc w:val="center"/>
              <w:ind w:right="34"/>
              <w:spacing w:after="0" w:line="168" w:lineRule="exact"/>
              <w:rPr>
                <w:sz w:val="20"/>
                <w:szCs w:val="20"/>
                <w:color w:val="auto"/>
              </w:rPr>
            </w:pPr>
            <w:r>
              <w:rPr>
                <w:rFonts w:ascii="Arial" w:cs="Arial" w:eastAsia="Arial" w:hAnsi="Arial"/>
                <w:sz w:val="17"/>
                <w:szCs w:val="17"/>
                <w:b w:val="1"/>
                <w:bCs w:val="1"/>
                <w:color w:val="auto"/>
                <w:w w:val="90"/>
              </w:rPr>
              <w:t>fair value due to 25 bps</w:t>
            </w:r>
          </w:p>
        </w:tc>
        <w:tc>
          <w:tcPr>
            <w:tcW w:w="0" w:type="dxa"/>
            <w:vAlign w:val="bottom"/>
          </w:tcPr>
          <w:p>
            <w:pPr>
              <w:spacing w:after="0"/>
              <w:rPr>
                <w:sz w:val="1"/>
                <w:szCs w:val="1"/>
                <w:color w:val="auto"/>
              </w:rPr>
            </w:pPr>
          </w:p>
        </w:tc>
      </w:tr>
      <w:tr>
        <w:trPr>
          <w:trHeight w:val="220"/>
        </w:trPr>
        <w:tc>
          <w:tcPr>
            <w:tcW w:w="5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40" w:type="dxa"/>
            <w:vAlign w:val="bottom"/>
          </w:tcPr>
          <w:p>
            <w:pPr>
              <w:jc w:val="right"/>
              <w:ind w:right="774"/>
              <w:spacing w:after="0"/>
              <w:rPr>
                <w:sz w:val="20"/>
                <w:szCs w:val="20"/>
                <w:color w:val="auto"/>
              </w:rPr>
            </w:pPr>
            <w:r>
              <w:rPr>
                <w:rFonts w:ascii="Arial" w:cs="Arial" w:eastAsia="Arial" w:hAnsi="Arial"/>
                <w:sz w:val="17"/>
                <w:szCs w:val="17"/>
                <w:b w:val="1"/>
                <w:bCs w:val="1"/>
                <w:color w:val="auto"/>
              </w:rPr>
              <w:t>2022</w:t>
            </w:r>
          </w:p>
        </w:tc>
        <w:tc>
          <w:tcPr>
            <w:tcW w:w="140" w:type="dxa"/>
            <w:vAlign w:val="bottom"/>
          </w:tcPr>
          <w:p>
            <w:pPr>
              <w:spacing w:after="0"/>
              <w:rPr>
                <w:sz w:val="19"/>
                <w:szCs w:val="19"/>
                <w:color w:val="auto"/>
              </w:rPr>
            </w:pPr>
          </w:p>
        </w:tc>
        <w:tc>
          <w:tcPr>
            <w:tcW w:w="196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90"/>
              </w:rPr>
              <w:t>rate decrease (1)</w:t>
            </w:r>
          </w:p>
        </w:tc>
        <w:tc>
          <w:tcPr>
            <w:tcW w:w="120" w:type="dxa"/>
            <w:vAlign w:val="bottom"/>
          </w:tcPr>
          <w:p>
            <w:pPr>
              <w:spacing w:after="0"/>
              <w:rPr>
                <w:sz w:val="19"/>
                <w:szCs w:val="19"/>
                <w:color w:val="auto"/>
              </w:rPr>
            </w:pPr>
          </w:p>
        </w:tc>
        <w:tc>
          <w:tcPr>
            <w:tcW w:w="1880" w:type="dxa"/>
            <w:vAlign w:val="bottom"/>
          </w:tcPr>
          <w:p>
            <w:pPr>
              <w:jc w:val="center"/>
              <w:ind w:right="14"/>
              <w:spacing w:after="0"/>
              <w:rPr>
                <w:sz w:val="20"/>
                <w:szCs w:val="20"/>
                <w:color w:val="auto"/>
              </w:rPr>
            </w:pPr>
            <w:r>
              <w:rPr>
                <w:rFonts w:ascii="Arial" w:cs="Arial" w:eastAsia="Arial" w:hAnsi="Arial"/>
                <w:sz w:val="17"/>
                <w:szCs w:val="17"/>
                <w:b w:val="1"/>
                <w:bCs w:val="1"/>
                <w:color w:val="auto"/>
                <w:w w:val="90"/>
              </w:rPr>
              <w:t>rate increase (1)</w:t>
            </w:r>
          </w:p>
        </w:tc>
        <w:tc>
          <w:tcPr>
            <w:tcW w:w="0" w:type="dxa"/>
            <w:vAlign w:val="bottom"/>
          </w:tcPr>
          <w:p>
            <w:pPr>
              <w:spacing w:after="0"/>
              <w:rPr>
                <w:sz w:val="1"/>
                <w:szCs w:val="1"/>
                <w:color w:val="auto"/>
              </w:rPr>
            </w:pPr>
          </w:p>
        </w:tc>
      </w:tr>
      <w:tr>
        <w:trPr>
          <w:trHeight w:val="220"/>
        </w:trPr>
        <w:tc>
          <w:tcPr>
            <w:tcW w:w="5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Agency MSRs - interest rate sensitive (excluding NRZ and MAV)</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4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rPr>
              <w:t>1,439.9</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rPr>
              <w:t>(34.8)</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88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32.4</w:t>
            </w:r>
          </w:p>
        </w:tc>
        <w:tc>
          <w:tcPr>
            <w:tcW w:w="0" w:type="dxa"/>
            <w:vAlign w:val="bottom"/>
          </w:tcPr>
          <w:p>
            <w:pPr>
              <w:spacing w:after="0"/>
              <w:rPr>
                <w:sz w:val="1"/>
                <w:szCs w:val="1"/>
                <w:color w:val="auto"/>
              </w:rPr>
            </w:pPr>
          </w:p>
        </w:tc>
      </w:tr>
      <w:tr>
        <w:trPr>
          <w:trHeight w:val="135"/>
        </w:trPr>
        <w:tc>
          <w:tcPr>
            <w:tcW w:w="5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0"/>
        </w:trPr>
        <w:tc>
          <w:tcPr>
            <w:tcW w:w="5120" w:type="dxa"/>
            <w:vAlign w:val="bottom"/>
            <w:shd w:val="clear" w:color="auto" w:fill="CCEEFF"/>
          </w:tcPr>
          <w:p>
            <w:pPr>
              <w:ind w:left="20"/>
              <w:spacing w:after="0"/>
              <w:rPr>
                <w:sz w:val="20"/>
                <w:szCs w:val="20"/>
                <w:color w:val="auto"/>
              </w:rPr>
            </w:pPr>
            <w:r>
              <w:rPr>
                <w:rFonts w:ascii="Arial" w:cs="Arial" w:eastAsia="Arial" w:hAnsi="Arial"/>
                <w:sz w:val="17"/>
                <w:szCs w:val="17"/>
                <w:color w:val="auto"/>
                <w:w w:val="94"/>
              </w:rPr>
              <w:t>Asset value of securitized HECM loans, net of HMBS-related borrowing</w:t>
            </w:r>
          </w:p>
        </w:tc>
        <w:tc>
          <w:tcPr>
            <w:tcW w:w="180" w:type="dxa"/>
            <w:vAlign w:val="bottom"/>
            <w:shd w:val="clear" w:color="auto" w:fill="CCEEFF"/>
          </w:tcPr>
          <w:p>
            <w:pPr>
              <w:spacing w:after="0"/>
              <w:rPr>
                <w:sz w:val="19"/>
                <w:szCs w:val="19"/>
                <w:color w:val="auto"/>
              </w:rPr>
            </w:pPr>
          </w:p>
        </w:tc>
        <w:tc>
          <w:tcPr>
            <w:tcW w:w="184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rPr>
              <w:t>65.5</w:t>
            </w:r>
          </w:p>
        </w:tc>
        <w:tc>
          <w:tcPr>
            <w:tcW w:w="140" w:type="dxa"/>
            <w:vAlign w:val="bottom"/>
            <w:shd w:val="clear" w:color="auto" w:fill="CCEEFF"/>
          </w:tcPr>
          <w:p>
            <w:pPr>
              <w:spacing w:after="0"/>
              <w:rPr>
                <w:sz w:val="19"/>
                <w:szCs w:val="19"/>
                <w:color w:val="auto"/>
              </w:rPr>
            </w:pPr>
          </w:p>
        </w:tc>
        <w:tc>
          <w:tcPr>
            <w:tcW w:w="188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3.9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8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(4.0)</w:t>
            </w:r>
          </w:p>
        </w:tc>
        <w:tc>
          <w:tcPr>
            <w:tcW w:w="0" w:type="dxa"/>
            <w:vAlign w:val="bottom"/>
          </w:tcPr>
          <w:p>
            <w:pPr>
              <w:spacing w:after="0"/>
              <w:rPr>
                <w:sz w:val="1"/>
                <w:szCs w:val="1"/>
                <w:color w:val="auto"/>
              </w:rPr>
            </w:pPr>
          </w:p>
        </w:tc>
      </w:tr>
      <w:tr>
        <w:trPr>
          <w:trHeight w:val="220"/>
        </w:trPr>
        <w:tc>
          <w:tcPr>
            <w:tcW w:w="51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MSR hedging derivative instruments</w:t>
            </w:r>
          </w:p>
        </w:tc>
        <w:tc>
          <w:tcPr>
            <w:tcW w:w="18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w:t>
            </w:r>
          </w:p>
        </w:tc>
        <w:tc>
          <w:tcPr>
            <w:tcW w:w="1840" w:type="dxa"/>
            <w:vAlign w:val="bottom"/>
            <w:tcBorders>
              <w:bottom w:val="single" w:sz="8" w:color="CCEEFF"/>
            </w:tcBorders>
          </w:tcPr>
          <w:p>
            <w:pPr>
              <w:jc w:val="right"/>
              <w:ind w:right="234"/>
              <w:spacing w:after="0"/>
              <w:rPr>
                <w:sz w:val="20"/>
                <w:szCs w:val="20"/>
                <w:color w:val="auto"/>
              </w:rPr>
            </w:pPr>
            <w:r>
              <w:rPr>
                <w:rFonts w:ascii="Arial" w:cs="Arial" w:eastAsia="Arial" w:hAnsi="Arial"/>
                <w:sz w:val="17"/>
                <w:szCs w:val="17"/>
                <w:color w:val="auto"/>
              </w:rPr>
              <w:t>3.7</w:t>
            </w:r>
          </w:p>
        </w:tc>
        <w:tc>
          <w:tcPr>
            <w:tcW w:w="14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12.0</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rPr>
              <w:t>(8.9)</w:t>
            </w:r>
          </w:p>
        </w:tc>
        <w:tc>
          <w:tcPr>
            <w:tcW w:w="0" w:type="dxa"/>
            <w:vAlign w:val="bottom"/>
          </w:tcPr>
          <w:p>
            <w:pPr>
              <w:spacing w:after="0"/>
              <w:rPr>
                <w:sz w:val="1"/>
                <w:szCs w:val="1"/>
                <w:color w:val="auto"/>
              </w:rPr>
            </w:pPr>
          </w:p>
        </w:tc>
      </w:tr>
      <w:tr>
        <w:trPr>
          <w:trHeight w:val="213"/>
        </w:trPr>
        <w:tc>
          <w:tcPr>
            <w:tcW w:w="5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hedge position</w:t>
            </w:r>
          </w:p>
        </w:tc>
        <w:tc>
          <w:tcPr>
            <w:tcW w:w="18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8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15.9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88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(12.9)</w:t>
            </w:r>
          </w:p>
        </w:tc>
        <w:tc>
          <w:tcPr>
            <w:tcW w:w="0" w:type="dxa"/>
            <w:vAlign w:val="bottom"/>
          </w:tcPr>
          <w:p>
            <w:pPr>
              <w:spacing w:after="0"/>
              <w:rPr>
                <w:sz w:val="1"/>
                <w:szCs w:val="1"/>
                <w:color w:val="auto"/>
              </w:rPr>
            </w:pPr>
          </w:p>
        </w:tc>
      </w:tr>
      <w:tr>
        <w:trPr>
          <w:trHeight w:val="220"/>
        </w:trPr>
        <w:tc>
          <w:tcPr>
            <w:tcW w:w="5120" w:type="dxa"/>
            <w:vAlign w:val="bottom"/>
          </w:tcPr>
          <w:p>
            <w:pPr>
              <w:ind w:left="20"/>
              <w:spacing w:after="0"/>
              <w:rPr>
                <w:sz w:val="20"/>
                <w:szCs w:val="20"/>
                <w:color w:val="auto"/>
              </w:rPr>
            </w:pPr>
            <w:r>
              <w:rPr>
                <w:rFonts w:ascii="Arial" w:cs="Arial" w:eastAsia="Arial" w:hAnsi="Arial"/>
                <w:sz w:val="17"/>
                <w:szCs w:val="17"/>
                <w:color w:val="auto"/>
              </w:rPr>
              <w:t>Hypothetical hedge coverage ratio (2)</w:t>
            </w:r>
          </w:p>
        </w:tc>
        <w:tc>
          <w:tcPr>
            <w:tcW w:w="1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7"/>
                <w:szCs w:val="17"/>
                <w:color w:val="auto"/>
              </w:rPr>
              <w:t>46 %</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7"/>
                <w:szCs w:val="17"/>
                <w:color w:val="auto"/>
              </w:rPr>
              <w:t>40 %</w:t>
            </w:r>
          </w:p>
        </w:tc>
        <w:tc>
          <w:tcPr>
            <w:tcW w:w="0" w:type="dxa"/>
            <w:vAlign w:val="bottom"/>
          </w:tcPr>
          <w:p>
            <w:pPr>
              <w:spacing w:after="0"/>
              <w:rPr>
                <w:sz w:val="1"/>
                <w:szCs w:val="1"/>
                <w:color w:val="auto"/>
              </w:rPr>
            </w:pPr>
          </w:p>
        </w:tc>
      </w:tr>
      <w:tr>
        <w:trPr>
          <w:trHeight w:val="155"/>
        </w:trPr>
        <w:tc>
          <w:tcPr>
            <w:tcW w:w="5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84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188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1880" w:type="dxa"/>
            <w:vAlign w:val="bottom"/>
            <w:tcBorders>
              <w:bottom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5120" w:type="dxa"/>
            <w:vAlign w:val="bottom"/>
          </w:tcPr>
          <w:p>
            <w:pPr>
              <w:ind w:left="20"/>
              <w:spacing w:after="0"/>
              <w:rPr>
                <w:sz w:val="20"/>
                <w:szCs w:val="20"/>
                <w:color w:val="auto"/>
              </w:rPr>
            </w:pPr>
            <w:r>
              <w:rPr>
                <w:rFonts w:ascii="Arial" w:cs="Arial" w:eastAsia="Arial" w:hAnsi="Arial"/>
                <w:sz w:val="17"/>
                <w:szCs w:val="17"/>
                <w:color w:val="auto"/>
              </w:rPr>
              <w:t>Hypothetical residual exposure to changes in interest rates</w:t>
            </w:r>
          </w:p>
        </w:tc>
        <w:tc>
          <w:tcPr>
            <w:tcW w:w="1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88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rPr>
              <w:t>(19.0)</w:t>
            </w: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88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19.5</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3" w:lineRule="exact"/>
        <w:rPr>
          <w:sz w:val="20"/>
          <w:szCs w:val="20"/>
          <w:color w:val="auto"/>
        </w:rPr>
      </w:pPr>
    </w:p>
    <w:p>
      <w:pPr>
        <w:ind w:left="320" w:hanging="317"/>
        <w:spacing w:after="0"/>
        <w:tabs>
          <w:tab w:leader="none" w:pos="32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baseline for the hypothetical change in fair value is based on a 10-year Treasury Rate of 3.05% at June 30, 2022.</w:t>
      </w:r>
    </w:p>
    <w:p>
      <w:pPr>
        <w:spacing w:after="0" w:line="8" w:lineRule="exact"/>
        <w:rPr>
          <w:rFonts w:ascii="Arial" w:cs="Arial" w:eastAsia="Arial" w:hAnsi="Arial"/>
          <w:sz w:val="16"/>
          <w:szCs w:val="16"/>
          <w:color w:val="auto"/>
        </w:rPr>
      </w:pPr>
    </w:p>
    <w:p>
      <w:pPr>
        <w:ind w:left="320" w:hanging="317"/>
        <w:spacing w:after="0"/>
        <w:tabs>
          <w:tab w:leader="none" w:pos="320" w:val="left"/>
        </w:tabs>
        <w:numPr>
          <w:ilvl w:val="0"/>
          <w:numId w:val="63"/>
        </w:numPr>
        <w:rPr>
          <w:rFonts w:ascii="Arial" w:cs="Arial" w:eastAsia="Arial" w:hAnsi="Arial"/>
          <w:sz w:val="14"/>
          <w:szCs w:val="14"/>
          <w:color w:val="auto"/>
        </w:rPr>
      </w:pPr>
      <w:r>
        <w:rPr>
          <w:rFonts w:ascii="Arial" w:cs="Arial" w:eastAsia="Arial" w:hAnsi="Arial"/>
          <w:sz w:val="14"/>
          <w:szCs w:val="14"/>
          <w:color w:val="auto"/>
        </w:rPr>
        <w:t>The hypothetical hedge coverage ratio above is calculated as the change in fair value of the total hedge position divided by the change in value of the Agency MSR position.</w:t>
      </w:r>
    </w:p>
    <w:p>
      <w:pPr>
        <w:spacing w:after="0" w:line="107" w:lineRule="exact"/>
        <w:rPr>
          <w:sz w:val="20"/>
          <w:szCs w:val="20"/>
          <w:color w:val="auto"/>
        </w:rPr>
      </w:pPr>
    </w:p>
    <w:p>
      <w:pPr>
        <w:ind w:right="100"/>
        <w:spacing w:after="0" w:line="300" w:lineRule="auto"/>
        <w:rPr>
          <w:sz w:val="20"/>
          <w:szCs w:val="20"/>
          <w:color w:val="auto"/>
        </w:rPr>
      </w:pPr>
      <w:r>
        <w:rPr>
          <w:rFonts w:ascii="Arial" w:cs="Arial" w:eastAsia="Arial" w:hAnsi="Arial"/>
          <w:sz w:val="15"/>
          <w:szCs w:val="15"/>
          <w:color w:val="auto"/>
        </w:rPr>
        <w:t>Our derivative instruments include forward trades of MBS or Agency TBAs with different banking counterparties, exchange-traded interest rate swap futures and interest rate options. These derivative instruments are not designated as accounting hedges. TBAs, or To-Be-Announced securities are actively traded, forward contracts to purchase or sell Agency MBS on a specific future date. From time-to-time, we enter into exchange-traded options contracts with purchased put options financed by written call options. We report changes in fair value of these derivative instruments in MSR valuation adjustments, net in our consolidated statements of operations, within the Servicing segment. We may, from time to time, establish inter-segment derivative instruments between the MSR and pipeline hedging strategies to optimize the use of third party derivatives. Such inter-segment derivatives are eliminated in our consolidated financial statements.</w:t>
      </w:r>
    </w:p>
    <w:p>
      <w:pPr>
        <w:spacing w:after="0" w:line="50" w:lineRule="exact"/>
        <w:rPr>
          <w:sz w:val="20"/>
          <w:szCs w:val="20"/>
          <w:color w:val="auto"/>
        </w:rPr>
      </w:pPr>
    </w:p>
    <w:p>
      <w:pPr>
        <w:ind w:right="120"/>
        <w:spacing w:after="0" w:line="320" w:lineRule="auto"/>
        <w:rPr>
          <w:sz w:val="20"/>
          <w:szCs w:val="20"/>
          <w:color w:val="auto"/>
        </w:rPr>
      </w:pPr>
      <w:r>
        <w:rPr>
          <w:rFonts w:ascii="Arial" w:cs="Arial" w:eastAsia="Arial" w:hAnsi="Arial"/>
          <w:sz w:val="15"/>
          <w:szCs w:val="15"/>
          <w:color w:val="auto"/>
        </w:rPr>
        <w:t>The derivative instruments are subject to margin requirements, posted as either initial or variation margin. Ocwen may be required to post or may be entitled to receive cash collateral with its counterparties through margin calls, based on daily value changes of the instruments. Changes in market factors, including interest rates, and our credit rating may require us to post additional cash collateral and could have a material adverse impact on our financial condition and liquidity.</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Loans Held for Investment and HMBS-related Borrowings</w:t>
      </w:r>
    </w:p>
    <w:p>
      <w:pPr>
        <w:spacing w:after="0" w:line="121" w:lineRule="exact"/>
        <w:rPr>
          <w:sz w:val="20"/>
          <w:szCs w:val="20"/>
          <w:color w:val="auto"/>
        </w:rPr>
      </w:pPr>
    </w:p>
    <w:p>
      <w:pPr>
        <w:ind w:right="440"/>
        <w:spacing w:after="0" w:line="270" w:lineRule="auto"/>
        <w:rPr>
          <w:sz w:val="20"/>
          <w:szCs w:val="20"/>
          <w:color w:val="auto"/>
        </w:rPr>
      </w:pPr>
      <w:r>
        <w:rPr>
          <w:rFonts w:ascii="Arial" w:cs="Arial" w:eastAsia="Arial" w:hAnsi="Arial"/>
          <w:sz w:val="17"/>
          <w:szCs w:val="17"/>
          <w:color w:val="auto"/>
        </w:rPr>
        <w:t>The fair value of our HECM loan portfolio generally decreases as market interest rates rise and increases as market rates fall. As our HECM loan portfolio is predominantly comprised of ARMs, higher interest rates cause the loan balance to accrue and reach a 98% maximum claim amount liquidation event more quickly, with lower interest rates extending the timeline to liquidation</w:t>
      </w:r>
      <w:r>
        <w:rPr>
          <w:rFonts w:ascii="Arial" w:cs="Arial" w:eastAsia="Arial" w:hAnsi="Arial"/>
          <w:sz w:val="18"/>
          <w:szCs w:val="18"/>
          <w:color w:val="auto"/>
        </w:rPr>
        <w:t>.</w:t>
      </w:r>
    </w:p>
    <w:p>
      <w:pPr>
        <w:spacing w:after="0" w:line="64"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The fair value of our HECM loan portfolio net of the fair value of the HMBS-related borrowings comprise the fair value of reverse mortgage loans and tails that are unsecuritized at the balance sheet date (reverse pipeline) and the fair value of securitized HECM loans net of the corresponding HMBS-related borrowings that represent the reverse mortgage economic MSR (HMSR) for risk management purposes. The HMSR acts as a partial hedge for our forward MSR value sensitivity. This HMSR exposure is used as an offset to our forward MSR exposure and managed as part of our MSR hedging strategy described above.</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Pipeline Hedging Strategy - Loans Held for Sale and IRLCs</w:t>
      </w:r>
    </w:p>
    <w:p>
      <w:pPr>
        <w:spacing w:after="0" w:line="121" w:lineRule="exact"/>
        <w:rPr>
          <w:sz w:val="20"/>
          <w:szCs w:val="20"/>
          <w:color w:val="auto"/>
        </w:rPr>
      </w:pPr>
    </w:p>
    <w:p>
      <w:pPr>
        <w:spacing w:after="0"/>
        <w:rPr>
          <w:sz w:val="20"/>
          <w:szCs w:val="20"/>
          <w:color w:val="auto"/>
        </w:rPr>
      </w:pPr>
      <w:r>
        <w:rPr>
          <w:rFonts w:ascii="Arial" w:cs="Arial" w:eastAsia="Arial" w:hAnsi="Arial"/>
          <w:sz w:val="15"/>
          <w:szCs w:val="15"/>
          <w:color w:val="auto"/>
        </w:rPr>
        <w:t>In our Originations business, we are exposed to interest rate risk and related price risk during the period from the date of the interest rate lock commitment through</w:t>
      </w:r>
    </w:p>
    <w:p>
      <w:pPr>
        <w:spacing w:after="0" w:line="47" w:lineRule="exact"/>
        <w:rPr>
          <w:sz w:val="20"/>
          <w:szCs w:val="20"/>
          <w:color w:val="auto"/>
        </w:rPr>
      </w:pPr>
    </w:p>
    <w:p>
      <w:pPr>
        <w:ind w:right="60" w:firstLine="3"/>
        <w:spacing w:after="0" w:line="255" w:lineRule="auto"/>
        <w:tabs>
          <w:tab w:leader="none" w:pos="206"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lock commitment cancellation or expiration date or (ii) through the date of sale of the resulting loan into the secondary mortgage market. Loan commitments for forward loans generally range from 5 to 90 days, with the majority of our commitments to borrowers for 60 days and our commitments to correspondent sellers for 7 days. Loans held for sale are generally funded and sold within 3 to 20 days. The interest rate exposure of loans held for sale and IRLCs is economically hedged with derivative instruments, including forward sales of Agency TBAs. The objective of our pipeline hedging strategy is to provide hedge coverage of locks and loans within certain tolerance levels. The net daily market risk position of net pull-though adjusted locks and loans held for sale, less the offsetting hedges of the forward and reverse pipelines, is monitored daily and its daily limit is the greater of +/- 5% or +/- $15 million. We report changes in fair value of these derivative instruments in gain on loans held for sale in our consolidated statements of operations, within the Originations segment. We establish inter-segment derivative instruments between the MSR and pipeline hedging strategies to optimize the use of third party derivatives. Such inter-segment derivatives are eliminated in our consolidated financial statements. Reverse pipeline is hedged under the same principles as described below, for unsecuritized loans held for investment.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68" w:right="339" w:bottom="1440" w:gutter="0" w:footer="0" w:header="0"/>
        </w:sectPr>
      </w:pPr>
    </w:p>
    <w:bookmarkStart w:id="97" w:name="page98"/>
    <w:bookmarkEnd w:id="97"/>
    <w:p>
      <w:pPr>
        <w:ind w:right="60"/>
        <w:spacing w:after="0" w:line="251" w:lineRule="auto"/>
        <w:rPr>
          <w:sz w:val="20"/>
          <w:szCs w:val="20"/>
          <w:color w:val="auto"/>
        </w:rPr>
      </w:pPr>
      <w:r>
        <w:rPr>
          <w:rFonts w:ascii="Arial" w:cs="Arial" w:eastAsia="Arial" w:hAnsi="Arial"/>
          <w:sz w:val="17"/>
          <w:szCs w:val="17"/>
          <w:color w:val="auto"/>
        </w:rPr>
        <w:t>During the first six months of 2022, management hedged certain Ginnie Mae EBO loans purchased out of securitizations for modification and reperformance with TBAs to manage the market risk (price impact) due to increasing interest rates while these loans await redelivery.</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Advance Match Funded Liabilities</w:t>
      </w:r>
    </w:p>
    <w:p>
      <w:pPr>
        <w:spacing w:after="0" w:line="121" w:lineRule="exact"/>
        <w:rPr>
          <w:sz w:val="20"/>
          <w:szCs w:val="20"/>
          <w:color w:val="auto"/>
        </w:rPr>
      </w:pPr>
    </w:p>
    <w:p>
      <w:pPr>
        <w:ind w:right="460"/>
        <w:spacing w:after="0" w:line="268" w:lineRule="auto"/>
        <w:rPr>
          <w:sz w:val="20"/>
          <w:szCs w:val="20"/>
          <w:color w:val="auto"/>
        </w:rPr>
      </w:pPr>
      <w:r>
        <w:rPr>
          <w:rFonts w:ascii="Arial" w:cs="Arial" w:eastAsia="Arial" w:hAnsi="Arial"/>
          <w:sz w:val="17"/>
          <w:szCs w:val="17"/>
          <w:color w:val="auto"/>
        </w:rPr>
        <w:t>We monitor the effect of increases in interest rates on the interest paid on our variable-rate advance financing debt. Earnings on cash and float balances are a partial offset to our exposure to changes in interest expense. We purchase interest rate caps as economic hedges (not designated as a hedge for accounting purposes) when required by our advance financing arrangements.</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Interest Rate-Sensitive Financial Instruments</w:t>
      </w:r>
    </w:p>
    <w:p>
      <w:pPr>
        <w:spacing w:after="0" w:line="121" w:lineRule="exact"/>
        <w:rPr>
          <w:sz w:val="20"/>
          <w:szCs w:val="20"/>
          <w:color w:val="auto"/>
        </w:rPr>
      </w:pPr>
    </w:p>
    <w:p>
      <w:pPr>
        <w:ind w:right="680"/>
        <w:spacing w:after="0" w:line="283" w:lineRule="auto"/>
        <w:rPr>
          <w:sz w:val="20"/>
          <w:szCs w:val="20"/>
          <w:color w:val="auto"/>
        </w:rPr>
      </w:pPr>
      <w:r>
        <w:rPr>
          <w:rFonts w:ascii="Arial" w:cs="Arial" w:eastAsia="Arial" w:hAnsi="Arial"/>
          <w:sz w:val="17"/>
          <w:szCs w:val="17"/>
          <w:color w:val="auto"/>
        </w:rPr>
        <w:t>The tables below present the notional amounts of our financial instruments that are sensitive to changes in interest rates and the related fair value of these instruments at the dates indicated. We use certain assumptions to estimate the fair value of these instruments.</w:t>
      </w:r>
    </w:p>
    <w:p>
      <w:pPr>
        <w:spacing w:after="0" w:line="76" w:lineRule="exact"/>
        <w:rPr>
          <w:sz w:val="20"/>
          <w:szCs w:val="20"/>
          <w:color w:val="auto"/>
        </w:rPr>
      </w:pPr>
    </w:p>
    <w:tbl>
      <w:tblPr>
        <w:tblLayout w:type="fixed"/>
        <w:tblInd w:w="20" w:type="dxa"/>
        <w:tblCellMar>
          <w:top w:w="0" w:type="dxa"/>
          <w:left w:w="0" w:type="dxa"/>
          <w:bottom w:w="0" w:type="dxa"/>
          <w:right w:w="0" w:type="dxa"/>
        </w:tblCellMar>
      </w:tblPr>
      <w:tr>
        <w:trPr>
          <w:trHeight w:val="225"/>
        </w:trPr>
        <w:tc>
          <w:tcPr>
            <w:tcW w:w="4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940" w:type="dxa"/>
            <w:vAlign w:val="bottom"/>
            <w:gridSpan w:val="5"/>
          </w:tcPr>
          <w:p>
            <w:pPr>
              <w:ind w:left="780"/>
              <w:spacing w:after="0"/>
              <w:rPr>
                <w:sz w:val="20"/>
                <w:szCs w:val="20"/>
                <w:color w:val="auto"/>
              </w:rPr>
            </w:pPr>
            <w:r>
              <w:rPr>
                <w:rFonts w:ascii="Arial" w:cs="Arial" w:eastAsia="Arial" w:hAnsi="Arial"/>
                <w:sz w:val="17"/>
                <w:szCs w:val="17"/>
                <w:b w:val="1"/>
                <w:bCs w:val="1"/>
                <w:color w:val="auto"/>
              </w:rPr>
              <w:t>June 30, 2022</w:t>
            </w:r>
          </w:p>
        </w:tc>
        <w:tc>
          <w:tcPr>
            <w:tcW w:w="280" w:type="dxa"/>
            <w:vAlign w:val="bottom"/>
          </w:tcPr>
          <w:p>
            <w:pPr>
              <w:spacing w:after="0"/>
              <w:rPr>
                <w:sz w:val="19"/>
                <w:szCs w:val="19"/>
                <w:color w:val="auto"/>
              </w:rPr>
            </w:pPr>
          </w:p>
        </w:tc>
        <w:tc>
          <w:tcPr>
            <w:tcW w:w="2860" w:type="dxa"/>
            <w:vAlign w:val="bottom"/>
            <w:gridSpan w:val="4"/>
          </w:tcPr>
          <w:p>
            <w:pPr>
              <w:jc w:val="right"/>
              <w:ind w:right="794"/>
              <w:spacing w:after="0"/>
              <w:rPr>
                <w:sz w:val="20"/>
                <w:szCs w:val="20"/>
                <w:color w:val="auto"/>
              </w:rPr>
            </w:pPr>
            <w:r>
              <w:rPr>
                <w:rFonts w:ascii="Arial" w:cs="Arial" w:eastAsia="Arial" w:hAnsi="Arial"/>
                <w:sz w:val="17"/>
                <w:szCs w:val="17"/>
                <w:b w:val="1"/>
                <w:bCs w:val="1"/>
                <w:color w:val="auto"/>
              </w:rPr>
              <w:t>December 31, 2021</w:t>
            </w:r>
          </w:p>
        </w:tc>
        <w:tc>
          <w:tcPr>
            <w:tcW w:w="0" w:type="dxa"/>
            <w:vAlign w:val="bottom"/>
          </w:tcPr>
          <w:p>
            <w:pPr>
              <w:spacing w:after="0"/>
              <w:rPr>
                <w:sz w:val="1"/>
                <w:szCs w:val="1"/>
                <w:color w:val="auto"/>
              </w:rPr>
            </w:pPr>
          </w:p>
        </w:tc>
      </w:tr>
      <w:tr>
        <w:trPr>
          <w:trHeight w:val="213"/>
        </w:trPr>
        <w:tc>
          <w:tcPr>
            <w:tcW w:w="48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gridSpan w:val="2"/>
          </w:tcPr>
          <w:p>
            <w:pPr>
              <w:ind w:left="180"/>
              <w:spacing w:after="0"/>
              <w:rPr>
                <w:sz w:val="20"/>
                <w:szCs w:val="20"/>
                <w:color w:val="auto"/>
              </w:rPr>
            </w:pPr>
            <w:r>
              <w:rPr>
                <w:rFonts w:ascii="Arial" w:cs="Arial" w:eastAsia="Arial" w:hAnsi="Arial"/>
                <w:sz w:val="17"/>
                <w:szCs w:val="17"/>
                <w:b w:val="1"/>
                <w:bCs w:val="1"/>
                <w:color w:val="auto"/>
              </w:rPr>
              <w:t>Balance</w:t>
            </w:r>
          </w:p>
        </w:tc>
        <w:tc>
          <w:tcPr>
            <w:tcW w:w="18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174"/>
              <w:spacing w:after="0"/>
              <w:rPr>
                <w:sz w:val="20"/>
                <w:szCs w:val="20"/>
                <w:color w:val="auto"/>
              </w:rPr>
            </w:pPr>
            <w:r>
              <w:rPr>
                <w:rFonts w:ascii="Arial" w:cs="Arial" w:eastAsia="Arial" w:hAnsi="Arial"/>
                <w:sz w:val="17"/>
                <w:szCs w:val="17"/>
                <w:b w:val="1"/>
                <w:bCs w:val="1"/>
                <w:color w:val="auto"/>
                <w:w w:val="99"/>
              </w:rPr>
              <w:t>Fair Value (1)</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gridSpan w:val="2"/>
          </w:tcPr>
          <w:p>
            <w:pPr>
              <w:ind w:left="180"/>
              <w:spacing w:after="0"/>
              <w:rPr>
                <w:sz w:val="20"/>
                <w:szCs w:val="20"/>
                <w:color w:val="auto"/>
              </w:rPr>
            </w:pPr>
            <w:r>
              <w:rPr>
                <w:rFonts w:ascii="Arial" w:cs="Arial" w:eastAsia="Arial" w:hAnsi="Arial"/>
                <w:sz w:val="17"/>
                <w:szCs w:val="17"/>
                <w:b w:val="1"/>
                <w:bCs w:val="1"/>
                <w:color w:val="auto"/>
              </w:rPr>
              <w:t>Balance</w:t>
            </w:r>
          </w:p>
        </w:tc>
        <w:tc>
          <w:tcPr>
            <w:tcW w:w="16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174"/>
              <w:spacing w:after="0"/>
              <w:rPr>
                <w:sz w:val="20"/>
                <w:szCs w:val="20"/>
                <w:color w:val="auto"/>
              </w:rPr>
            </w:pPr>
            <w:r>
              <w:rPr>
                <w:rFonts w:ascii="Arial" w:cs="Arial" w:eastAsia="Arial" w:hAnsi="Arial"/>
                <w:sz w:val="17"/>
                <w:szCs w:val="17"/>
                <w:b w:val="1"/>
                <w:bCs w:val="1"/>
                <w:color w:val="auto"/>
              </w:rPr>
              <w:t>Fair Value (1)</w:t>
            </w:r>
          </w:p>
        </w:tc>
        <w:tc>
          <w:tcPr>
            <w:tcW w:w="0" w:type="dxa"/>
            <w:vAlign w:val="bottom"/>
          </w:tcPr>
          <w:p>
            <w:pPr>
              <w:spacing w:after="0"/>
              <w:rPr>
                <w:sz w:val="1"/>
                <w:szCs w:val="1"/>
                <w:color w:val="auto"/>
              </w:rPr>
            </w:pPr>
          </w:p>
        </w:tc>
      </w:tr>
      <w:tr>
        <w:trPr>
          <w:trHeight w:val="200"/>
        </w:trPr>
        <w:tc>
          <w:tcPr>
            <w:tcW w:w="4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Rate-Sensitive Assets:</w:t>
            </w:r>
          </w:p>
        </w:tc>
        <w:tc>
          <w:tcPr>
            <w:tcW w:w="28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860" w:type="dxa"/>
            <w:vAlign w:val="bottom"/>
          </w:tcPr>
          <w:p>
            <w:pPr>
              <w:ind w:left="140"/>
              <w:spacing w:after="0"/>
              <w:rPr>
                <w:sz w:val="20"/>
                <w:szCs w:val="20"/>
                <w:color w:val="auto"/>
              </w:rPr>
            </w:pPr>
            <w:r>
              <w:rPr>
                <w:rFonts w:ascii="Arial" w:cs="Arial" w:eastAsia="Arial" w:hAnsi="Arial"/>
                <w:sz w:val="17"/>
                <w:szCs w:val="17"/>
                <w:color w:val="auto"/>
              </w:rPr>
              <w:t>Interest-earning cash</w:t>
            </w: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ind w:right="134"/>
              <w:spacing w:after="0"/>
              <w:rPr>
                <w:sz w:val="20"/>
                <w:szCs w:val="20"/>
                <w:color w:val="auto"/>
              </w:rPr>
            </w:pPr>
            <w:r>
              <w:rPr>
                <w:rFonts w:ascii="Arial" w:cs="Arial" w:eastAsia="Arial" w:hAnsi="Arial"/>
                <w:sz w:val="17"/>
                <w:szCs w:val="17"/>
                <w:color w:val="auto"/>
              </w:rPr>
              <w:t>191.8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tcPr>
          <w:p>
            <w:pPr>
              <w:jc w:val="right"/>
              <w:ind w:right="134"/>
              <w:spacing w:after="0"/>
              <w:rPr>
                <w:sz w:val="20"/>
                <w:szCs w:val="20"/>
                <w:color w:val="auto"/>
              </w:rPr>
            </w:pPr>
            <w:r>
              <w:rPr>
                <w:rFonts w:ascii="Arial" w:cs="Arial" w:eastAsia="Arial" w:hAnsi="Arial"/>
                <w:sz w:val="17"/>
                <w:szCs w:val="17"/>
                <w:color w:val="auto"/>
              </w:rPr>
              <w:t>191.8</w:t>
            </w:r>
          </w:p>
        </w:tc>
        <w:tc>
          <w:tcPr>
            <w:tcW w:w="100" w:type="dxa"/>
            <w:vAlign w:val="bottom"/>
          </w:tcPr>
          <w:p>
            <w:pPr>
              <w:spacing w:after="0"/>
              <w:rPr>
                <w:sz w:val="19"/>
                <w:szCs w:val="19"/>
                <w:color w:val="auto"/>
              </w:rPr>
            </w:pP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ind w:right="154"/>
              <w:spacing w:after="0"/>
              <w:rPr>
                <w:sz w:val="20"/>
                <w:szCs w:val="20"/>
                <w:color w:val="auto"/>
              </w:rPr>
            </w:pPr>
            <w:r>
              <w:rPr>
                <w:rFonts w:ascii="Arial" w:cs="Arial" w:eastAsia="Arial" w:hAnsi="Arial"/>
                <w:sz w:val="17"/>
                <w:szCs w:val="17"/>
                <w:color w:val="auto"/>
              </w:rPr>
              <w:t>136.7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60" w:type="dxa"/>
            <w:vAlign w:val="bottom"/>
          </w:tcPr>
          <w:p>
            <w:pPr>
              <w:jc w:val="right"/>
              <w:ind w:right="154"/>
              <w:spacing w:after="0"/>
              <w:rPr>
                <w:sz w:val="20"/>
                <w:szCs w:val="20"/>
                <w:color w:val="auto"/>
              </w:rPr>
            </w:pPr>
            <w:r>
              <w:rPr>
                <w:rFonts w:ascii="Arial" w:cs="Arial" w:eastAsia="Arial" w:hAnsi="Arial"/>
                <w:sz w:val="17"/>
                <w:szCs w:val="17"/>
                <w:color w:val="auto"/>
              </w:rPr>
              <w:t>136.7</w:t>
            </w:r>
          </w:p>
        </w:tc>
        <w:tc>
          <w:tcPr>
            <w:tcW w:w="0" w:type="dxa"/>
            <w:vAlign w:val="bottom"/>
          </w:tcPr>
          <w:p>
            <w:pPr>
              <w:spacing w:after="0"/>
              <w:rPr>
                <w:sz w:val="1"/>
                <w:szCs w:val="1"/>
                <w:color w:val="auto"/>
              </w:rPr>
            </w:pPr>
          </w:p>
        </w:tc>
      </w:tr>
      <w:tr>
        <w:trPr>
          <w:trHeight w:val="220"/>
        </w:trPr>
        <w:tc>
          <w:tcPr>
            <w:tcW w:w="48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Loans held for sale, at fair value</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683.1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683.1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917.5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917.5</w:t>
            </w:r>
          </w:p>
        </w:tc>
        <w:tc>
          <w:tcPr>
            <w:tcW w:w="0" w:type="dxa"/>
            <w:vAlign w:val="bottom"/>
          </w:tcPr>
          <w:p>
            <w:pPr>
              <w:spacing w:after="0"/>
              <w:rPr>
                <w:sz w:val="1"/>
                <w:szCs w:val="1"/>
                <w:color w:val="auto"/>
              </w:rPr>
            </w:pPr>
          </w:p>
        </w:tc>
      </w:tr>
      <w:tr>
        <w:trPr>
          <w:trHeight w:val="220"/>
        </w:trPr>
        <w:tc>
          <w:tcPr>
            <w:tcW w:w="4860" w:type="dxa"/>
            <w:vAlign w:val="bottom"/>
          </w:tcPr>
          <w:p>
            <w:pPr>
              <w:ind w:left="140"/>
              <w:spacing w:after="0"/>
              <w:rPr>
                <w:sz w:val="20"/>
                <w:szCs w:val="20"/>
                <w:color w:val="auto"/>
              </w:rPr>
            </w:pPr>
            <w:r>
              <w:rPr>
                <w:rFonts w:ascii="Arial" w:cs="Arial" w:eastAsia="Arial" w:hAnsi="Arial"/>
                <w:sz w:val="17"/>
                <w:szCs w:val="17"/>
                <w:color w:val="auto"/>
              </w:rPr>
              <w:t>Loans held for sale, at lower of cost or fair value (2)</w:t>
            </w:r>
          </w:p>
        </w:tc>
        <w:tc>
          <w:tcPr>
            <w:tcW w:w="280" w:type="dxa"/>
            <w:vAlign w:val="bottom"/>
          </w:tcPr>
          <w:p>
            <w:pPr>
              <w:spacing w:after="0"/>
              <w:rPr>
                <w:sz w:val="19"/>
                <w:szCs w:val="19"/>
                <w:color w:val="auto"/>
              </w:rPr>
            </w:pPr>
          </w:p>
        </w:tc>
        <w:tc>
          <w:tcPr>
            <w:tcW w:w="1220" w:type="dxa"/>
            <w:vAlign w:val="bottom"/>
          </w:tcPr>
          <w:p>
            <w:pPr>
              <w:jc w:val="right"/>
              <w:ind w:right="134"/>
              <w:spacing w:after="0"/>
              <w:rPr>
                <w:sz w:val="20"/>
                <w:szCs w:val="20"/>
                <w:color w:val="auto"/>
              </w:rPr>
            </w:pPr>
            <w:r>
              <w:rPr>
                <w:rFonts w:ascii="Arial" w:cs="Arial" w:eastAsia="Arial" w:hAnsi="Arial"/>
                <w:sz w:val="17"/>
                <w:szCs w:val="17"/>
                <w:color w:val="auto"/>
              </w:rPr>
              <w:t>4.3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ind w:right="134"/>
              <w:spacing w:after="0"/>
              <w:rPr>
                <w:sz w:val="20"/>
                <w:szCs w:val="20"/>
                <w:color w:val="auto"/>
              </w:rPr>
            </w:pPr>
            <w:r>
              <w:rPr>
                <w:rFonts w:ascii="Arial" w:cs="Arial" w:eastAsia="Arial" w:hAnsi="Arial"/>
                <w:sz w:val="17"/>
                <w:szCs w:val="17"/>
                <w:color w:val="auto"/>
              </w:rPr>
              <w:t>4.3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ind w:right="154"/>
              <w:spacing w:after="0"/>
              <w:rPr>
                <w:sz w:val="20"/>
                <w:szCs w:val="20"/>
                <w:color w:val="auto"/>
              </w:rPr>
            </w:pPr>
            <w:r>
              <w:rPr>
                <w:rFonts w:ascii="Arial" w:cs="Arial" w:eastAsia="Arial" w:hAnsi="Arial"/>
                <w:sz w:val="17"/>
                <w:szCs w:val="17"/>
                <w:color w:val="auto"/>
              </w:rPr>
              <w:t>11.0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ind w:right="154"/>
              <w:spacing w:after="0"/>
              <w:rPr>
                <w:sz w:val="20"/>
                <w:szCs w:val="20"/>
                <w:color w:val="auto"/>
              </w:rPr>
            </w:pPr>
            <w:r>
              <w:rPr>
                <w:rFonts w:ascii="Arial" w:cs="Arial" w:eastAsia="Arial" w:hAnsi="Arial"/>
                <w:sz w:val="17"/>
                <w:szCs w:val="17"/>
                <w:color w:val="auto"/>
              </w:rPr>
              <w:t>11.0</w:t>
            </w:r>
          </w:p>
        </w:tc>
        <w:tc>
          <w:tcPr>
            <w:tcW w:w="0" w:type="dxa"/>
            <w:vAlign w:val="bottom"/>
          </w:tcPr>
          <w:p>
            <w:pPr>
              <w:spacing w:after="0"/>
              <w:rPr>
                <w:sz w:val="1"/>
                <w:szCs w:val="1"/>
                <w:color w:val="auto"/>
              </w:rPr>
            </w:pPr>
          </w:p>
        </w:tc>
      </w:tr>
      <w:tr>
        <w:trPr>
          <w:trHeight w:val="220"/>
        </w:trPr>
        <w:tc>
          <w:tcPr>
            <w:tcW w:w="48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Loans held for investment, at fair value</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7,376.5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7,376.5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7,199.8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7,199.8</w:t>
            </w:r>
          </w:p>
        </w:tc>
        <w:tc>
          <w:tcPr>
            <w:tcW w:w="0" w:type="dxa"/>
            <w:vAlign w:val="bottom"/>
          </w:tcPr>
          <w:p>
            <w:pPr>
              <w:spacing w:after="0"/>
              <w:rPr>
                <w:sz w:val="1"/>
                <w:szCs w:val="1"/>
                <w:color w:val="auto"/>
              </w:rPr>
            </w:pPr>
          </w:p>
        </w:tc>
      </w:tr>
      <w:tr>
        <w:trPr>
          <w:trHeight w:val="220"/>
        </w:trPr>
        <w:tc>
          <w:tcPr>
            <w:tcW w:w="486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Debt service accounts and time deposits</w:t>
            </w: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14.2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14.2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rPr>
              <w:t>10.6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rPr>
              <w:t>10.6</w:t>
            </w:r>
          </w:p>
        </w:tc>
        <w:tc>
          <w:tcPr>
            <w:tcW w:w="0" w:type="dxa"/>
            <w:vAlign w:val="bottom"/>
          </w:tcPr>
          <w:p>
            <w:pPr>
              <w:spacing w:after="0"/>
              <w:rPr>
                <w:sz w:val="1"/>
                <w:szCs w:val="1"/>
                <w:color w:val="auto"/>
              </w:rPr>
            </w:pPr>
          </w:p>
        </w:tc>
      </w:tr>
      <w:tr>
        <w:trPr>
          <w:trHeight w:val="238"/>
        </w:trPr>
        <w:tc>
          <w:tcPr>
            <w:tcW w:w="48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Total rate-sensitive assets</w:t>
            </w: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8,270.0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8,270.0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rPr>
              <w:t>8,275.5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6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rPr>
              <w:t>8,275.5</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48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48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Rate-Sensitive Liabilities (3):</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860" w:type="dxa"/>
            <w:vAlign w:val="bottom"/>
          </w:tcPr>
          <w:p>
            <w:pPr>
              <w:ind w:left="140"/>
              <w:spacing w:after="0"/>
              <w:rPr>
                <w:sz w:val="20"/>
                <w:szCs w:val="20"/>
                <w:color w:val="auto"/>
              </w:rPr>
            </w:pPr>
            <w:r>
              <w:rPr>
                <w:rFonts w:ascii="Arial" w:cs="Arial" w:eastAsia="Arial" w:hAnsi="Arial"/>
                <w:sz w:val="17"/>
                <w:szCs w:val="17"/>
                <w:color w:val="auto"/>
              </w:rPr>
              <w:t>Advance match funded liabilities</w:t>
            </w: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ind w:right="134"/>
              <w:spacing w:after="0"/>
              <w:rPr>
                <w:sz w:val="20"/>
                <w:szCs w:val="20"/>
                <w:color w:val="auto"/>
              </w:rPr>
            </w:pPr>
            <w:r>
              <w:rPr>
                <w:rFonts w:ascii="Arial" w:cs="Arial" w:eastAsia="Arial" w:hAnsi="Arial"/>
                <w:sz w:val="17"/>
                <w:szCs w:val="17"/>
                <w:color w:val="auto"/>
              </w:rPr>
              <w:t>477.0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tcPr>
          <w:p>
            <w:pPr>
              <w:jc w:val="right"/>
              <w:ind w:right="134"/>
              <w:spacing w:after="0"/>
              <w:rPr>
                <w:sz w:val="20"/>
                <w:szCs w:val="20"/>
                <w:color w:val="auto"/>
              </w:rPr>
            </w:pPr>
            <w:r>
              <w:rPr>
                <w:rFonts w:ascii="Arial" w:cs="Arial" w:eastAsia="Arial" w:hAnsi="Arial"/>
                <w:sz w:val="17"/>
                <w:szCs w:val="17"/>
                <w:color w:val="auto"/>
              </w:rPr>
              <w:t>471.4</w:t>
            </w:r>
          </w:p>
        </w:tc>
        <w:tc>
          <w:tcPr>
            <w:tcW w:w="100" w:type="dxa"/>
            <w:vAlign w:val="bottom"/>
          </w:tcPr>
          <w:p>
            <w:pPr>
              <w:spacing w:after="0"/>
              <w:rPr>
                <w:sz w:val="19"/>
                <w:szCs w:val="19"/>
                <w:color w:val="auto"/>
              </w:rPr>
            </w:pP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ind w:right="154"/>
              <w:spacing w:after="0"/>
              <w:rPr>
                <w:sz w:val="20"/>
                <w:szCs w:val="20"/>
                <w:color w:val="auto"/>
              </w:rPr>
            </w:pPr>
            <w:r>
              <w:rPr>
                <w:rFonts w:ascii="Arial" w:cs="Arial" w:eastAsia="Arial" w:hAnsi="Arial"/>
                <w:sz w:val="17"/>
                <w:szCs w:val="17"/>
                <w:color w:val="auto"/>
              </w:rPr>
              <w:t>512.3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60" w:type="dxa"/>
            <w:vAlign w:val="bottom"/>
          </w:tcPr>
          <w:p>
            <w:pPr>
              <w:jc w:val="right"/>
              <w:ind w:right="154"/>
              <w:spacing w:after="0"/>
              <w:rPr>
                <w:sz w:val="20"/>
                <w:szCs w:val="20"/>
                <w:color w:val="auto"/>
              </w:rPr>
            </w:pPr>
            <w:r>
              <w:rPr>
                <w:rFonts w:ascii="Arial" w:cs="Arial" w:eastAsia="Arial" w:hAnsi="Arial"/>
                <w:sz w:val="17"/>
                <w:szCs w:val="17"/>
                <w:color w:val="auto"/>
              </w:rPr>
              <w:t>512.0</w:t>
            </w:r>
          </w:p>
        </w:tc>
        <w:tc>
          <w:tcPr>
            <w:tcW w:w="0" w:type="dxa"/>
            <w:vAlign w:val="bottom"/>
          </w:tcPr>
          <w:p>
            <w:pPr>
              <w:spacing w:after="0"/>
              <w:rPr>
                <w:sz w:val="1"/>
                <w:szCs w:val="1"/>
                <w:color w:val="auto"/>
              </w:rPr>
            </w:pPr>
          </w:p>
        </w:tc>
      </w:tr>
      <w:tr>
        <w:trPr>
          <w:trHeight w:val="220"/>
        </w:trPr>
        <w:tc>
          <w:tcPr>
            <w:tcW w:w="48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HMBS-related borrowings, at fair value</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7,155.3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7,155.3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6,885.0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6,885.0</w:t>
            </w:r>
          </w:p>
        </w:tc>
        <w:tc>
          <w:tcPr>
            <w:tcW w:w="0" w:type="dxa"/>
            <w:vAlign w:val="bottom"/>
          </w:tcPr>
          <w:p>
            <w:pPr>
              <w:spacing w:after="0"/>
              <w:rPr>
                <w:sz w:val="1"/>
                <w:szCs w:val="1"/>
                <w:color w:val="auto"/>
              </w:rPr>
            </w:pPr>
          </w:p>
        </w:tc>
      </w:tr>
      <w:tr>
        <w:trPr>
          <w:trHeight w:val="220"/>
        </w:trPr>
        <w:tc>
          <w:tcPr>
            <w:tcW w:w="4860" w:type="dxa"/>
            <w:vAlign w:val="bottom"/>
          </w:tcPr>
          <w:p>
            <w:pPr>
              <w:ind w:left="140"/>
              <w:spacing w:after="0"/>
              <w:rPr>
                <w:sz w:val="20"/>
                <w:szCs w:val="20"/>
                <w:color w:val="auto"/>
              </w:rPr>
            </w:pPr>
            <w:r>
              <w:rPr>
                <w:rFonts w:ascii="Arial" w:cs="Arial" w:eastAsia="Arial" w:hAnsi="Arial"/>
                <w:sz w:val="17"/>
                <w:szCs w:val="17"/>
                <w:color w:val="auto"/>
              </w:rPr>
              <w:t>Mortgage loan warehouse facilities</w:t>
            </w:r>
          </w:p>
        </w:tc>
        <w:tc>
          <w:tcPr>
            <w:tcW w:w="280" w:type="dxa"/>
            <w:vAlign w:val="bottom"/>
          </w:tcPr>
          <w:p>
            <w:pPr>
              <w:spacing w:after="0"/>
              <w:rPr>
                <w:sz w:val="19"/>
                <w:szCs w:val="19"/>
                <w:color w:val="auto"/>
              </w:rPr>
            </w:pPr>
          </w:p>
        </w:tc>
        <w:tc>
          <w:tcPr>
            <w:tcW w:w="1220" w:type="dxa"/>
            <w:vAlign w:val="bottom"/>
          </w:tcPr>
          <w:p>
            <w:pPr>
              <w:jc w:val="right"/>
              <w:ind w:right="134"/>
              <w:spacing w:after="0"/>
              <w:rPr>
                <w:sz w:val="20"/>
                <w:szCs w:val="20"/>
                <w:color w:val="auto"/>
              </w:rPr>
            </w:pPr>
            <w:r>
              <w:rPr>
                <w:rFonts w:ascii="Arial" w:cs="Arial" w:eastAsia="Arial" w:hAnsi="Arial"/>
                <w:sz w:val="17"/>
                <w:szCs w:val="17"/>
                <w:color w:val="auto"/>
              </w:rPr>
              <w:t>779.3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ind w:right="134"/>
              <w:spacing w:after="0"/>
              <w:rPr>
                <w:sz w:val="20"/>
                <w:szCs w:val="20"/>
                <w:color w:val="auto"/>
              </w:rPr>
            </w:pPr>
            <w:r>
              <w:rPr>
                <w:rFonts w:ascii="Arial" w:cs="Arial" w:eastAsia="Arial" w:hAnsi="Arial"/>
                <w:sz w:val="17"/>
                <w:szCs w:val="17"/>
                <w:color w:val="auto"/>
              </w:rPr>
              <w:t>779.3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ind w:right="154"/>
              <w:spacing w:after="0"/>
              <w:rPr>
                <w:sz w:val="20"/>
                <w:szCs w:val="20"/>
                <w:color w:val="auto"/>
              </w:rPr>
            </w:pPr>
            <w:r>
              <w:rPr>
                <w:rFonts w:ascii="Arial" w:cs="Arial" w:eastAsia="Arial" w:hAnsi="Arial"/>
                <w:sz w:val="17"/>
                <w:szCs w:val="17"/>
                <w:color w:val="auto"/>
              </w:rPr>
              <w:t>1,085.1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ind w:right="154"/>
              <w:spacing w:after="0"/>
              <w:rPr>
                <w:sz w:val="20"/>
                <w:szCs w:val="20"/>
                <w:color w:val="auto"/>
              </w:rPr>
            </w:pPr>
            <w:r>
              <w:rPr>
                <w:rFonts w:ascii="Arial" w:cs="Arial" w:eastAsia="Arial" w:hAnsi="Arial"/>
                <w:sz w:val="17"/>
                <w:szCs w:val="17"/>
                <w:color w:val="auto"/>
              </w:rPr>
              <w:t>1,085.1</w:t>
            </w:r>
          </w:p>
        </w:tc>
        <w:tc>
          <w:tcPr>
            <w:tcW w:w="0" w:type="dxa"/>
            <w:vAlign w:val="bottom"/>
          </w:tcPr>
          <w:p>
            <w:pPr>
              <w:spacing w:after="0"/>
              <w:rPr>
                <w:sz w:val="1"/>
                <w:szCs w:val="1"/>
                <w:color w:val="auto"/>
              </w:rPr>
            </w:pPr>
          </w:p>
        </w:tc>
      </w:tr>
      <w:tr>
        <w:trPr>
          <w:trHeight w:val="220"/>
        </w:trPr>
        <w:tc>
          <w:tcPr>
            <w:tcW w:w="48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MSR financing facilities, net (4)</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988.9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965.1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901.7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873.8</w:t>
            </w:r>
          </w:p>
        </w:tc>
        <w:tc>
          <w:tcPr>
            <w:tcW w:w="0" w:type="dxa"/>
            <w:vAlign w:val="bottom"/>
          </w:tcPr>
          <w:p>
            <w:pPr>
              <w:spacing w:after="0"/>
              <w:rPr>
                <w:sz w:val="1"/>
                <w:szCs w:val="1"/>
                <w:color w:val="auto"/>
              </w:rPr>
            </w:pPr>
          </w:p>
        </w:tc>
      </w:tr>
      <w:tr>
        <w:trPr>
          <w:trHeight w:val="220"/>
        </w:trPr>
        <w:tc>
          <w:tcPr>
            <w:tcW w:w="486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Senior notes (4)</w:t>
            </w: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660.0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556.9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rPr>
              <w:t>685.0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rPr>
              <w:t>674.9</w:t>
            </w:r>
          </w:p>
        </w:tc>
        <w:tc>
          <w:tcPr>
            <w:tcW w:w="0" w:type="dxa"/>
            <w:vAlign w:val="bottom"/>
          </w:tcPr>
          <w:p>
            <w:pPr>
              <w:spacing w:after="0"/>
              <w:rPr>
                <w:sz w:val="1"/>
                <w:szCs w:val="1"/>
                <w:color w:val="auto"/>
              </w:rPr>
            </w:pPr>
          </w:p>
        </w:tc>
      </w:tr>
      <w:tr>
        <w:trPr>
          <w:trHeight w:val="200"/>
        </w:trPr>
        <w:tc>
          <w:tcPr>
            <w:tcW w:w="48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Total rate-sensitive liabilities</w:t>
            </w:r>
          </w:p>
        </w:tc>
        <w:tc>
          <w:tcPr>
            <w:tcW w:w="280" w:type="dxa"/>
            <w:vAlign w:val="bottom"/>
            <w:vMerge w:val="restart"/>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220" w:type="dxa"/>
            <w:vAlign w:val="bottom"/>
            <w:vMerge w:val="restart"/>
            <w:shd w:val="clear" w:color="auto" w:fill="CCEEFF"/>
          </w:tcPr>
          <w:p>
            <w:pPr>
              <w:jc w:val="right"/>
              <w:ind w:right="134"/>
              <w:spacing w:after="0"/>
              <w:rPr>
                <w:sz w:val="20"/>
                <w:szCs w:val="20"/>
                <w:color w:val="auto"/>
              </w:rPr>
            </w:pPr>
            <w:r>
              <w:rPr>
                <w:rFonts w:ascii="Arial" w:cs="Arial" w:eastAsia="Arial" w:hAnsi="Arial"/>
                <w:sz w:val="17"/>
                <w:szCs w:val="17"/>
                <w:color w:val="auto"/>
              </w:rPr>
              <w:t>10,060.4</w:t>
            </w:r>
          </w:p>
        </w:tc>
        <w:tc>
          <w:tcPr>
            <w:tcW w:w="10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vMerge w:val="restart"/>
            <w:shd w:val="clear" w:color="auto" w:fill="CCEEFF"/>
          </w:tcPr>
          <w:p>
            <w:pPr>
              <w:jc w:val="right"/>
              <w:ind w:right="134"/>
              <w:spacing w:after="0"/>
              <w:rPr>
                <w:sz w:val="20"/>
                <w:szCs w:val="20"/>
                <w:color w:val="auto"/>
              </w:rPr>
            </w:pPr>
            <w:r>
              <w:rPr>
                <w:rFonts w:ascii="Arial" w:cs="Arial" w:eastAsia="Arial" w:hAnsi="Arial"/>
                <w:sz w:val="17"/>
                <w:szCs w:val="17"/>
                <w:color w:val="auto"/>
              </w:rPr>
              <w:t>9,927.9</w:t>
            </w:r>
          </w:p>
        </w:tc>
        <w:tc>
          <w:tcPr>
            <w:tcW w:w="100" w:type="dxa"/>
            <w:vAlign w:val="bottom"/>
            <w:shd w:val="clear" w:color="auto" w:fill="CCEEFF"/>
          </w:tcPr>
          <w:p>
            <w:pPr>
              <w:spacing w:after="0"/>
              <w:rPr>
                <w:sz w:val="17"/>
                <w:szCs w:val="17"/>
                <w:color w:val="auto"/>
              </w:rPr>
            </w:pPr>
          </w:p>
        </w:tc>
        <w:tc>
          <w:tcPr>
            <w:tcW w:w="280" w:type="dxa"/>
            <w:vAlign w:val="bottom"/>
            <w:vMerge w:val="restart"/>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240" w:type="dxa"/>
            <w:vAlign w:val="bottom"/>
            <w:vMerge w:val="restart"/>
            <w:shd w:val="clear" w:color="auto" w:fill="CCEEFF"/>
          </w:tcPr>
          <w:p>
            <w:pPr>
              <w:jc w:val="right"/>
              <w:ind w:right="154"/>
              <w:spacing w:after="0"/>
              <w:rPr>
                <w:sz w:val="20"/>
                <w:szCs w:val="20"/>
                <w:color w:val="auto"/>
              </w:rPr>
            </w:pPr>
            <w:r>
              <w:rPr>
                <w:rFonts w:ascii="Arial" w:cs="Arial" w:eastAsia="Arial" w:hAnsi="Arial"/>
                <w:sz w:val="17"/>
                <w:szCs w:val="17"/>
                <w:color w:val="auto"/>
              </w:rPr>
              <w:t>10,069.1</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60" w:type="dxa"/>
            <w:vAlign w:val="bottom"/>
            <w:vMerge w:val="restart"/>
            <w:shd w:val="clear" w:color="auto" w:fill="CCEEFF"/>
          </w:tcPr>
          <w:p>
            <w:pPr>
              <w:jc w:val="right"/>
              <w:ind w:right="154"/>
              <w:spacing w:after="0"/>
              <w:rPr>
                <w:sz w:val="20"/>
                <w:szCs w:val="20"/>
                <w:color w:val="auto"/>
              </w:rPr>
            </w:pPr>
            <w:r>
              <w:rPr>
                <w:rFonts w:ascii="Arial" w:cs="Arial" w:eastAsia="Arial" w:hAnsi="Arial"/>
                <w:sz w:val="17"/>
                <w:szCs w:val="17"/>
                <w:color w:val="auto"/>
              </w:rPr>
              <w:t>10,030.8</w:t>
            </w:r>
          </w:p>
        </w:tc>
        <w:tc>
          <w:tcPr>
            <w:tcW w:w="0" w:type="dxa"/>
            <w:vAlign w:val="bottom"/>
          </w:tcPr>
          <w:p>
            <w:pPr>
              <w:spacing w:after="0"/>
              <w:rPr>
                <w:sz w:val="1"/>
                <w:szCs w:val="1"/>
                <w:color w:val="auto"/>
              </w:rPr>
            </w:pPr>
          </w:p>
        </w:tc>
      </w:tr>
      <w:tr>
        <w:trPr>
          <w:trHeight w:val="97"/>
        </w:trPr>
        <w:tc>
          <w:tcPr>
            <w:tcW w:w="4860" w:type="dxa"/>
            <w:vAlign w:val="bottom"/>
            <w:tcBorders>
              <w:bottom w:val="single" w:sz="8" w:color="CCEEFF"/>
            </w:tcBorders>
            <w:shd w:val="clear" w:color="auto" w:fill="CCEEFF"/>
          </w:tcPr>
          <w:p>
            <w:pPr>
              <w:spacing w:after="0"/>
              <w:rPr>
                <w:sz w:val="8"/>
                <w:szCs w:val="8"/>
                <w:color w:val="auto"/>
              </w:rPr>
            </w:pPr>
          </w:p>
        </w:tc>
        <w:tc>
          <w:tcPr>
            <w:tcW w:w="280" w:type="dxa"/>
            <w:vAlign w:val="bottom"/>
            <w:tcBorders>
              <w:bottom w:val="single" w:sz="8" w:color="auto"/>
            </w:tcBorders>
            <w:vMerge w:val="continue"/>
            <w:shd w:val="clear" w:color="auto" w:fill="CCEEFF"/>
          </w:tcPr>
          <w:p>
            <w:pPr>
              <w:spacing w:after="0"/>
              <w:rPr>
                <w:sz w:val="8"/>
                <w:szCs w:val="8"/>
                <w:color w:val="auto"/>
              </w:rPr>
            </w:pPr>
          </w:p>
        </w:tc>
        <w:tc>
          <w:tcPr>
            <w:tcW w:w="1220" w:type="dxa"/>
            <w:vAlign w:val="bottom"/>
            <w:tcBorders>
              <w:bottom w:val="single" w:sz="8" w:color="auto"/>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180" w:type="dxa"/>
            <w:vAlign w:val="bottom"/>
            <w:tcBorders>
              <w:bottom w:val="single" w:sz="8" w:color="auto"/>
            </w:tcBorders>
            <w:vMerge w:val="continue"/>
            <w:shd w:val="clear" w:color="auto" w:fill="CCEEFF"/>
          </w:tcPr>
          <w:p>
            <w:pPr>
              <w:spacing w:after="0"/>
              <w:rPr>
                <w:sz w:val="8"/>
                <w:szCs w:val="8"/>
                <w:color w:val="auto"/>
              </w:rPr>
            </w:pPr>
          </w:p>
        </w:tc>
        <w:tc>
          <w:tcPr>
            <w:tcW w:w="1340" w:type="dxa"/>
            <w:vAlign w:val="bottom"/>
            <w:tcBorders>
              <w:bottom w:val="single" w:sz="8" w:color="auto"/>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280" w:type="dxa"/>
            <w:vAlign w:val="bottom"/>
            <w:tcBorders>
              <w:bottom w:val="single" w:sz="8" w:color="auto"/>
            </w:tcBorders>
            <w:vMerge w:val="continue"/>
            <w:shd w:val="clear" w:color="auto" w:fill="CCEEFF"/>
          </w:tcPr>
          <w:p>
            <w:pPr>
              <w:spacing w:after="0"/>
              <w:rPr>
                <w:sz w:val="8"/>
                <w:szCs w:val="8"/>
                <w:color w:val="auto"/>
              </w:rPr>
            </w:pPr>
          </w:p>
        </w:tc>
        <w:tc>
          <w:tcPr>
            <w:tcW w:w="1240" w:type="dxa"/>
            <w:vAlign w:val="bottom"/>
            <w:tcBorders>
              <w:bottom w:val="single" w:sz="8" w:color="auto"/>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160" w:type="dxa"/>
            <w:vAlign w:val="bottom"/>
            <w:tcBorders>
              <w:bottom w:val="single" w:sz="8" w:color="auto"/>
            </w:tcBorders>
            <w:vMerge w:val="continue"/>
            <w:shd w:val="clear" w:color="auto" w:fill="CCEEFF"/>
          </w:tcPr>
          <w:p>
            <w:pPr>
              <w:spacing w:after="0"/>
              <w:rPr>
                <w:sz w:val="8"/>
                <w:szCs w:val="8"/>
                <w:color w:val="auto"/>
              </w:rPr>
            </w:pPr>
          </w:p>
        </w:tc>
        <w:tc>
          <w:tcPr>
            <w:tcW w:w="1360" w:type="dxa"/>
            <w:vAlign w:val="bottom"/>
            <w:tcBorders>
              <w:bottom w:val="single" w:sz="8" w:color="auto"/>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tbl>
      <w:tblPr>
        <w:tblLayout w:type="fixed"/>
        <w:tblInd w:w="20" w:type="dxa"/>
        <w:tblCellMar>
          <w:top w:w="0" w:type="dxa"/>
          <w:left w:w="0" w:type="dxa"/>
          <w:bottom w:w="0" w:type="dxa"/>
          <w:right w:w="0" w:type="dxa"/>
        </w:tblCellMar>
      </w:tblPr>
      <w:tr>
        <w:trPr>
          <w:trHeight w:val="225"/>
        </w:trPr>
        <w:tc>
          <w:tcPr>
            <w:tcW w:w="4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960" w:type="dxa"/>
            <w:vAlign w:val="bottom"/>
            <w:gridSpan w:val="5"/>
          </w:tcPr>
          <w:p>
            <w:pPr>
              <w:ind w:left="800"/>
              <w:spacing w:after="0"/>
              <w:rPr>
                <w:sz w:val="20"/>
                <w:szCs w:val="20"/>
                <w:color w:val="auto"/>
              </w:rPr>
            </w:pPr>
            <w:r>
              <w:rPr>
                <w:rFonts w:ascii="Arial" w:cs="Arial" w:eastAsia="Arial" w:hAnsi="Arial"/>
                <w:sz w:val="17"/>
                <w:szCs w:val="17"/>
                <w:b w:val="1"/>
                <w:bCs w:val="1"/>
                <w:color w:val="auto"/>
              </w:rPr>
              <w:t>June 30, 2022</w:t>
            </w:r>
          </w:p>
        </w:tc>
        <w:tc>
          <w:tcPr>
            <w:tcW w:w="280" w:type="dxa"/>
            <w:vAlign w:val="bottom"/>
          </w:tcPr>
          <w:p>
            <w:pPr>
              <w:spacing w:after="0"/>
              <w:rPr>
                <w:sz w:val="19"/>
                <w:szCs w:val="19"/>
                <w:color w:val="auto"/>
              </w:rPr>
            </w:pPr>
          </w:p>
        </w:tc>
        <w:tc>
          <w:tcPr>
            <w:tcW w:w="2860" w:type="dxa"/>
            <w:vAlign w:val="bottom"/>
            <w:gridSpan w:val="4"/>
          </w:tcPr>
          <w:p>
            <w:pPr>
              <w:jc w:val="right"/>
              <w:ind w:right="794"/>
              <w:spacing w:after="0"/>
              <w:rPr>
                <w:sz w:val="20"/>
                <w:szCs w:val="20"/>
                <w:color w:val="auto"/>
              </w:rPr>
            </w:pPr>
            <w:r>
              <w:rPr>
                <w:rFonts w:ascii="Arial" w:cs="Arial" w:eastAsia="Arial" w:hAnsi="Arial"/>
                <w:sz w:val="17"/>
                <w:szCs w:val="17"/>
                <w:b w:val="1"/>
                <w:bCs w:val="1"/>
                <w:color w:val="auto"/>
              </w:rPr>
              <w:t>December 31, 2021</w:t>
            </w:r>
          </w:p>
        </w:tc>
      </w:tr>
      <w:tr>
        <w:trPr>
          <w:trHeight w:val="161"/>
        </w:trPr>
        <w:tc>
          <w:tcPr>
            <w:tcW w:w="486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gridSpan w:val="2"/>
          </w:tcPr>
          <w:p>
            <w:pPr>
              <w:jc w:val="center"/>
              <w:ind w:right="380"/>
              <w:spacing w:after="0" w:line="161" w:lineRule="exact"/>
              <w:rPr>
                <w:sz w:val="20"/>
                <w:szCs w:val="20"/>
                <w:color w:val="auto"/>
              </w:rPr>
            </w:pPr>
            <w:r>
              <w:rPr>
                <w:rFonts w:ascii="Arial" w:cs="Arial" w:eastAsia="Arial" w:hAnsi="Arial"/>
                <w:sz w:val="17"/>
                <w:szCs w:val="17"/>
                <w:b w:val="1"/>
                <w:bCs w:val="1"/>
                <w:color w:val="auto"/>
                <w:w w:val="94"/>
              </w:rPr>
              <w:t>Notional</w:t>
            </w:r>
          </w:p>
        </w:tc>
        <w:tc>
          <w:tcPr>
            <w:tcW w:w="26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jc w:val="center"/>
              <w:ind w:right="174"/>
              <w:spacing w:after="0" w:line="161" w:lineRule="exact"/>
              <w:rPr>
                <w:sz w:val="20"/>
                <w:szCs w:val="20"/>
                <w:color w:val="auto"/>
              </w:rPr>
            </w:pPr>
            <w:r>
              <w:rPr>
                <w:rFonts w:ascii="Arial" w:cs="Arial" w:eastAsia="Arial" w:hAnsi="Arial"/>
                <w:sz w:val="17"/>
                <w:szCs w:val="17"/>
                <w:b w:val="1"/>
                <w:bCs w:val="1"/>
                <w:color w:val="auto"/>
              </w:rPr>
              <w:t>Fair</w:t>
            </w:r>
          </w:p>
        </w:tc>
        <w:tc>
          <w:tcPr>
            <w:tcW w:w="1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gridSpan w:val="2"/>
          </w:tcPr>
          <w:p>
            <w:pPr>
              <w:jc w:val="center"/>
              <w:ind w:right="380"/>
              <w:spacing w:after="0" w:line="161" w:lineRule="exact"/>
              <w:rPr>
                <w:sz w:val="20"/>
                <w:szCs w:val="20"/>
                <w:color w:val="auto"/>
              </w:rPr>
            </w:pPr>
            <w:r>
              <w:rPr>
                <w:rFonts w:ascii="Arial" w:cs="Arial" w:eastAsia="Arial" w:hAnsi="Arial"/>
                <w:sz w:val="17"/>
                <w:szCs w:val="17"/>
                <w:b w:val="1"/>
                <w:bCs w:val="1"/>
                <w:color w:val="auto"/>
                <w:w w:val="94"/>
              </w:rPr>
              <w:t>Notional</w:t>
            </w:r>
          </w:p>
        </w:tc>
        <w:tc>
          <w:tcPr>
            <w:tcW w:w="26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jc w:val="right"/>
              <w:ind w:right="534"/>
              <w:spacing w:after="0" w:line="161" w:lineRule="exact"/>
              <w:rPr>
                <w:sz w:val="20"/>
                <w:szCs w:val="20"/>
                <w:color w:val="auto"/>
              </w:rPr>
            </w:pPr>
            <w:r>
              <w:rPr>
                <w:rFonts w:ascii="Arial" w:cs="Arial" w:eastAsia="Arial" w:hAnsi="Arial"/>
                <w:sz w:val="17"/>
                <w:szCs w:val="17"/>
                <w:b w:val="1"/>
                <w:bCs w:val="1"/>
                <w:color w:val="auto"/>
              </w:rPr>
              <w:t>Fair</w:t>
            </w:r>
          </w:p>
        </w:tc>
      </w:tr>
      <w:tr>
        <w:trPr>
          <w:trHeight w:val="220"/>
        </w:trPr>
        <w:tc>
          <w:tcPr>
            <w:tcW w:w="4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w w:val="88"/>
              </w:rPr>
              <w:t>Balance</w:t>
            </w:r>
          </w:p>
        </w:tc>
        <w:tc>
          <w:tcPr>
            <w:tcW w:w="260" w:type="dxa"/>
            <w:vAlign w:val="bottom"/>
          </w:tcPr>
          <w:p>
            <w:pPr>
              <w:spacing w:after="0"/>
              <w:rPr>
                <w:sz w:val="19"/>
                <w:szCs w:val="19"/>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7"/>
                <w:szCs w:val="17"/>
                <w:b w:val="1"/>
                <w:bCs w:val="1"/>
                <w:color w:val="auto"/>
                <w:w w:val="93"/>
              </w:rPr>
              <w:t>Value (1)</w:t>
            </w:r>
          </w:p>
        </w:tc>
        <w:tc>
          <w:tcPr>
            <w:tcW w:w="280" w:type="dxa"/>
            <w:vAlign w:val="bottom"/>
          </w:tcPr>
          <w:p>
            <w:pPr>
              <w:spacing w:after="0"/>
              <w:rPr>
                <w:sz w:val="19"/>
                <w:szCs w:val="19"/>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7"/>
                <w:szCs w:val="17"/>
                <w:b w:val="1"/>
                <w:bCs w:val="1"/>
                <w:color w:val="auto"/>
                <w:w w:val="88"/>
              </w:rPr>
              <w:t>Balance</w:t>
            </w:r>
          </w:p>
        </w:tc>
        <w:tc>
          <w:tcPr>
            <w:tcW w:w="260" w:type="dxa"/>
            <w:vAlign w:val="bottom"/>
          </w:tcPr>
          <w:p>
            <w:pPr>
              <w:spacing w:after="0"/>
              <w:rPr>
                <w:sz w:val="19"/>
                <w:szCs w:val="19"/>
                <w:color w:val="auto"/>
              </w:rPr>
            </w:pPr>
          </w:p>
        </w:tc>
        <w:tc>
          <w:tcPr>
            <w:tcW w:w="1260" w:type="dxa"/>
            <w:vAlign w:val="bottom"/>
          </w:tcPr>
          <w:p>
            <w:pPr>
              <w:jc w:val="right"/>
              <w:ind w:right="354"/>
              <w:spacing w:after="0"/>
              <w:rPr>
                <w:sz w:val="20"/>
                <w:szCs w:val="20"/>
                <w:color w:val="auto"/>
              </w:rPr>
            </w:pPr>
            <w:r>
              <w:rPr>
                <w:rFonts w:ascii="Arial" w:cs="Arial" w:eastAsia="Arial" w:hAnsi="Arial"/>
                <w:sz w:val="17"/>
                <w:szCs w:val="17"/>
                <w:b w:val="1"/>
                <w:bCs w:val="1"/>
                <w:color w:val="auto"/>
              </w:rPr>
              <w:t>Value (1)</w:t>
            </w:r>
          </w:p>
        </w:tc>
      </w:tr>
      <w:tr>
        <w:trPr>
          <w:trHeight w:val="200"/>
        </w:trPr>
        <w:tc>
          <w:tcPr>
            <w:tcW w:w="4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Rate-Sensitive Derivative Financial Instruments:</w:t>
            </w:r>
          </w:p>
        </w:tc>
        <w:tc>
          <w:tcPr>
            <w:tcW w:w="26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r>
      <w:tr>
        <w:trPr>
          <w:trHeight w:val="220"/>
        </w:trPr>
        <w:tc>
          <w:tcPr>
            <w:tcW w:w="4860" w:type="dxa"/>
            <w:vAlign w:val="bottom"/>
          </w:tcPr>
          <w:p>
            <w:pPr>
              <w:ind w:left="140"/>
              <w:spacing w:after="0"/>
              <w:rPr>
                <w:sz w:val="20"/>
                <w:szCs w:val="20"/>
                <w:color w:val="auto"/>
              </w:rPr>
            </w:pPr>
            <w:r>
              <w:rPr>
                <w:rFonts w:ascii="Arial" w:cs="Arial" w:eastAsia="Arial" w:hAnsi="Arial"/>
                <w:sz w:val="17"/>
                <w:szCs w:val="17"/>
                <w:color w:val="auto"/>
              </w:rPr>
              <w:t>Derivative assets (liabilities):</w:t>
            </w: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0"/>
        </w:trPr>
        <w:tc>
          <w:tcPr>
            <w:tcW w:w="48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IRLCs</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557.4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5.7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1,085.3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18.1</w:t>
            </w:r>
          </w:p>
        </w:tc>
      </w:tr>
      <w:tr>
        <w:trPr>
          <w:trHeight w:val="220"/>
        </w:trPr>
        <w:tc>
          <w:tcPr>
            <w:tcW w:w="4860" w:type="dxa"/>
            <w:vAlign w:val="bottom"/>
          </w:tcPr>
          <w:p>
            <w:pPr>
              <w:ind w:left="220"/>
              <w:spacing w:after="0"/>
              <w:rPr>
                <w:sz w:val="20"/>
                <w:szCs w:val="20"/>
                <w:color w:val="auto"/>
              </w:rPr>
            </w:pPr>
            <w:r>
              <w:rPr>
                <w:rFonts w:ascii="Arial" w:cs="Arial" w:eastAsia="Arial" w:hAnsi="Arial"/>
                <w:sz w:val="17"/>
                <w:szCs w:val="17"/>
                <w:color w:val="auto"/>
              </w:rPr>
              <w:t>Forward sales of reverse loans</w:t>
            </w:r>
          </w:p>
        </w:tc>
        <w:tc>
          <w:tcPr>
            <w:tcW w:w="260" w:type="dxa"/>
            <w:vAlign w:val="bottom"/>
          </w:tcPr>
          <w:p>
            <w:pPr>
              <w:spacing w:after="0"/>
              <w:rPr>
                <w:sz w:val="19"/>
                <w:szCs w:val="19"/>
                <w:color w:val="auto"/>
              </w:rPr>
            </w:pPr>
          </w:p>
        </w:tc>
        <w:tc>
          <w:tcPr>
            <w:tcW w:w="1240" w:type="dxa"/>
            <w:vAlign w:val="bottom"/>
          </w:tcPr>
          <w:p>
            <w:pPr>
              <w:jc w:val="right"/>
              <w:ind w:right="134"/>
              <w:spacing w:after="0"/>
              <w:rPr>
                <w:sz w:val="20"/>
                <w:szCs w:val="20"/>
                <w:color w:val="auto"/>
              </w:rPr>
            </w:pPr>
            <w:r>
              <w:rPr>
                <w:rFonts w:ascii="Arial" w:cs="Arial" w:eastAsia="Arial" w:hAnsi="Arial"/>
                <w:sz w:val="17"/>
                <w:szCs w:val="17"/>
                <w:color w:val="auto"/>
              </w:rPr>
              <w:t>93.0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ind w:right="134"/>
              <w:spacing w:after="0"/>
              <w:rPr>
                <w:sz w:val="20"/>
                <w:szCs w:val="20"/>
                <w:color w:val="auto"/>
              </w:rPr>
            </w:pPr>
            <w:r>
              <w:rPr>
                <w:rFonts w:ascii="Arial" w:cs="Arial" w:eastAsia="Arial" w:hAnsi="Arial"/>
                <w:sz w:val="17"/>
                <w:szCs w:val="17"/>
                <w:color w:val="auto"/>
              </w:rPr>
              <w:t>0.6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ind w:right="154"/>
              <w:spacing w:after="0"/>
              <w:rPr>
                <w:sz w:val="20"/>
                <w:szCs w:val="20"/>
                <w:color w:val="auto"/>
              </w:rPr>
            </w:pPr>
            <w:r>
              <w:rPr>
                <w:rFonts w:ascii="Arial" w:cs="Arial" w:eastAsia="Arial" w:hAnsi="Arial"/>
                <w:sz w:val="17"/>
                <w:szCs w:val="17"/>
                <w:color w:val="auto"/>
              </w:rPr>
              <w:t>175.0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ind w:right="154"/>
              <w:spacing w:after="0"/>
              <w:rPr>
                <w:sz w:val="20"/>
                <w:szCs w:val="20"/>
                <w:color w:val="auto"/>
              </w:rPr>
            </w:pPr>
            <w:r>
              <w:rPr>
                <w:rFonts w:ascii="Arial" w:cs="Arial" w:eastAsia="Arial" w:hAnsi="Arial"/>
                <w:sz w:val="17"/>
                <w:szCs w:val="17"/>
                <w:color w:val="auto"/>
              </w:rPr>
              <w:t>0.4</w:t>
            </w:r>
          </w:p>
        </w:tc>
      </w:tr>
      <w:tr>
        <w:trPr>
          <w:trHeight w:val="220"/>
        </w:trPr>
        <w:tc>
          <w:tcPr>
            <w:tcW w:w="48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Interest rate swap futures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250.0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0.7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792.5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1.7</w:t>
            </w:r>
          </w:p>
        </w:tc>
      </w:tr>
      <w:tr>
        <w:trPr>
          <w:trHeight w:val="220"/>
        </w:trPr>
        <w:tc>
          <w:tcPr>
            <w:tcW w:w="4860" w:type="dxa"/>
            <w:vAlign w:val="bottom"/>
          </w:tcPr>
          <w:p>
            <w:pPr>
              <w:ind w:left="220"/>
              <w:spacing w:after="0"/>
              <w:rPr>
                <w:sz w:val="20"/>
                <w:szCs w:val="20"/>
                <w:color w:val="auto"/>
              </w:rPr>
            </w:pPr>
            <w:r>
              <w:rPr>
                <w:rFonts w:ascii="Arial" w:cs="Arial" w:eastAsia="Arial" w:hAnsi="Arial"/>
                <w:sz w:val="17"/>
                <w:szCs w:val="17"/>
                <w:color w:val="auto"/>
              </w:rPr>
              <w:t>TBA forward MBS trades</w:t>
            </w:r>
          </w:p>
        </w:tc>
        <w:tc>
          <w:tcPr>
            <w:tcW w:w="260" w:type="dxa"/>
            <w:vAlign w:val="bottom"/>
          </w:tcPr>
          <w:p>
            <w:pPr>
              <w:spacing w:after="0"/>
              <w:rPr>
                <w:sz w:val="19"/>
                <w:szCs w:val="19"/>
                <w:color w:val="auto"/>
              </w:rPr>
            </w:pPr>
          </w:p>
        </w:tc>
        <w:tc>
          <w:tcPr>
            <w:tcW w:w="1240" w:type="dxa"/>
            <w:vAlign w:val="bottom"/>
          </w:tcPr>
          <w:p>
            <w:pPr>
              <w:jc w:val="right"/>
              <w:ind w:right="134"/>
              <w:spacing w:after="0"/>
              <w:rPr>
                <w:sz w:val="20"/>
                <w:szCs w:val="20"/>
                <w:color w:val="auto"/>
              </w:rPr>
            </w:pPr>
            <w:r>
              <w:rPr>
                <w:rFonts w:ascii="Arial" w:cs="Arial" w:eastAsia="Arial" w:hAnsi="Arial"/>
                <w:sz w:val="17"/>
                <w:szCs w:val="17"/>
                <w:color w:val="auto"/>
              </w:rPr>
              <w:t>1,183.0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ind w:right="134"/>
              <w:spacing w:after="0"/>
              <w:rPr>
                <w:sz w:val="20"/>
                <w:szCs w:val="20"/>
                <w:color w:val="auto"/>
              </w:rPr>
            </w:pPr>
            <w:r>
              <w:rPr>
                <w:rFonts w:ascii="Arial" w:cs="Arial" w:eastAsia="Arial" w:hAnsi="Arial"/>
                <w:sz w:val="17"/>
                <w:szCs w:val="17"/>
                <w:color w:val="auto"/>
              </w:rPr>
              <w:t>(4.1)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ind w:right="154"/>
              <w:spacing w:after="0"/>
              <w:rPr>
                <w:sz w:val="20"/>
                <w:szCs w:val="20"/>
                <w:color w:val="auto"/>
              </w:rPr>
            </w:pPr>
            <w:r>
              <w:rPr>
                <w:rFonts w:ascii="Arial" w:cs="Arial" w:eastAsia="Arial" w:hAnsi="Arial"/>
                <w:sz w:val="17"/>
                <w:szCs w:val="17"/>
                <w:color w:val="auto"/>
              </w:rPr>
              <w:t>1,782.0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ind w:right="154"/>
              <w:spacing w:after="0"/>
              <w:rPr>
                <w:sz w:val="20"/>
                <w:szCs w:val="20"/>
                <w:color w:val="auto"/>
              </w:rPr>
            </w:pPr>
            <w:r>
              <w:rPr>
                <w:rFonts w:ascii="Arial" w:cs="Arial" w:eastAsia="Arial" w:hAnsi="Arial"/>
                <w:sz w:val="17"/>
                <w:szCs w:val="17"/>
                <w:color w:val="auto"/>
              </w:rPr>
              <w:t>(0.2)</w:t>
            </w:r>
          </w:p>
        </w:tc>
      </w:tr>
      <w:tr>
        <w:trPr>
          <w:trHeight w:val="220"/>
        </w:trPr>
        <w:tc>
          <w:tcPr>
            <w:tcW w:w="48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Interest rate option contracts</w:t>
            </w: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1,250.0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1.2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rPr>
              <w:t>575.0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rPr>
              <w:t>(0.3)</w:t>
            </w:r>
          </w:p>
        </w:tc>
      </w:tr>
      <w:tr>
        <w:trPr>
          <w:trHeight w:val="213"/>
        </w:trPr>
        <w:tc>
          <w:tcPr>
            <w:tcW w:w="4860" w:type="dxa"/>
            <w:vAlign w:val="bottom"/>
          </w:tcPr>
          <w:p>
            <w:pPr>
              <w:ind w:left="340"/>
              <w:spacing w:after="0"/>
              <w:rPr>
                <w:sz w:val="20"/>
                <w:szCs w:val="20"/>
                <w:color w:val="auto"/>
              </w:rPr>
            </w:pPr>
            <w:r>
              <w:rPr>
                <w:rFonts w:ascii="Arial" w:cs="Arial" w:eastAsia="Arial" w:hAnsi="Arial"/>
                <w:sz w:val="17"/>
                <w:szCs w:val="17"/>
                <w:color w:val="auto"/>
              </w:rPr>
              <w:t>Derivatives, net</w:t>
            </w:r>
          </w:p>
        </w:tc>
        <w:tc>
          <w:tcPr>
            <w:tcW w:w="2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3,333.4</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4.2</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rPr>
              <w:t>4,409.8</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rPr>
              <w:t>19.7</w:t>
            </w:r>
          </w:p>
        </w:tc>
      </w:tr>
      <w:tr>
        <w:trPr>
          <w:trHeight w:val="20"/>
        </w:trPr>
        <w:tc>
          <w:tcPr>
            <w:tcW w:w="4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left="320" w:hanging="317"/>
        <w:spacing w:after="0"/>
        <w:tabs>
          <w:tab w:leader="none" w:pos="320" w:val="left"/>
        </w:tabs>
        <w:numPr>
          <w:ilvl w:val="0"/>
          <w:numId w:val="65"/>
        </w:numPr>
        <w:rPr>
          <w:rFonts w:ascii="Arial" w:cs="Arial" w:eastAsia="Arial" w:hAnsi="Arial"/>
          <w:sz w:val="16"/>
          <w:szCs w:val="16"/>
          <w:color w:val="auto"/>
        </w:rPr>
      </w:pPr>
      <w:r>
        <w:rPr>
          <w:rFonts w:ascii="Arial" w:cs="Arial" w:eastAsia="Arial" w:hAnsi="Arial"/>
          <w:sz w:val="16"/>
          <w:szCs w:val="16"/>
          <w:color w:val="auto"/>
        </w:rPr>
        <w:t>See Note 3 – Fair Value to the Unaudited Consolidated Financial Statements for additional fair value information on financial instruments.</w:t>
      </w:r>
    </w:p>
    <w:p>
      <w:pPr>
        <w:spacing w:after="0" w:line="8" w:lineRule="exact"/>
        <w:rPr>
          <w:rFonts w:ascii="Arial" w:cs="Arial" w:eastAsia="Arial" w:hAnsi="Arial"/>
          <w:sz w:val="16"/>
          <w:szCs w:val="16"/>
          <w:color w:val="auto"/>
        </w:rPr>
      </w:pPr>
    </w:p>
    <w:p>
      <w:pPr>
        <w:ind w:left="320" w:hanging="317"/>
        <w:spacing w:after="0" w:line="235" w:lineRule="auto"/>
        <w:tabs>
          <w:tab w:leader="none" w:pos="320" w:val="left"/>
        </w:tabs>
        <w:numPr>
          <w:ilvl w:val="0"/>
          <w:numId w:val="65"/>
        </w:numPr>
        <w:rPr>
          <w:rFonts w:ascii="Arial" w:cs="Arial" w:eastAsia="Arial" w:hAnsi="Arial"/>
          <w:sz w:val="16"/>
          <w:szCs w:val="16"/>
          <w:color w:val="auto"/>
        </w:rPr>
      </w:pPr>
      <w:r>
        <w:rPr>
          <w:rFonts w:ascii="Arial" w:cs="Arial" w:eastAsia="Arial" w:hAnsi="Arial"/>
          <w:sz w:val="16"/>
          <w:szCs w:val="16"/>
          <w:color w:val="auto"/>
        </w:rPr>
        <w:t>Net of valuation allowances and including non-performing loans.</w:t>
      </w:r>
    </w:p>
    <w:p>
      <w:pPr>
        <w:ind w:left="320" w:right="120" w:hanging="317"/>
        <w:spacing w:after="0" w:line="235" w:lineRule="auto"/>
        <w:tabs>
          <w:tab w:leader="none" w:pos="320" w:val="left"/>
        </w:tabs>
        <w:numPr>
          <w:ilvl w:val="0"/>
          <w:numId w:val="65"/>
        </w:numPr>
        <w:rPr>
          <w:rFonts w:ascii="Arial" w:cs="Arial" w:eastAsia="Arial" w:hAnsi="Arial"/>
          <w:sz w:val="16"/>
          <w:szCs w:val="16"/>
          <w:color w:val="auto"/>
        </w:rPr>
      </w:pPr>
      <w:r>
        <w:rPr>
          <w:rFonts w:ascii="Arial" w:cs="Arial" w:eastAsia="Arial" w:hAnsi="Arial"/>
          <w:sz w:val="16"/>
          <w:szCs w:val="16"/>
          <w:color w:val="auto"/>
        </w:rPr>
        <w:t>Excludes financing liabilities that result from sales of assets that do not qualify as sales for accounting purposes and, therefore, are accounted for as secured financings, which have no contractual maturity and are amortized over the life of the related assets.</w:t>
      </w:r>
    </w:p>
    <w:p>
      <w:pPr>
        <w:spacing w:after="0" w:line="1" w:lineRule="exact"/>
        <w:rPr>
          <w:rFonts w:ascii="Arial" w:cs="Arial" w:eastAsia="Arial" w:hAnsi="Arial"/>
          <w:sz w:val="16"/>
          <w:szCs w:val="16"/>
          <w:color w:val="auto"/>
        </w:rPr>
      </w:pPr>
    </w:p>
    <w:p>
      <w:pPr>
        <w:ind w:left="320" w:hanging="317"/>
        <w:spacing w:after="0"/>
        <w:tabs>
          <w:tab w:leader="none" w:pos="320" w:val="left"/>
        </w:tabs>
        <w:numPr>
          <w:ilvl w:val="0"/>
          <w:numId w:val="65"/>
        </w:numPr>
        <w:rPr>
          <w:rFonts w:ascii="Arial" w:cs="Arial" w:eastAsia="Arial" w:hAnsi="Arial"/>
          <w:sz w:val="16"/>
          <w:szCs w:val="16"/>
          <w:color w:val="auto"/>
        </w:rPr>
      </w:pPr>
      <w:r>
        <w:rPr>
          <w:rFonts w:ascii="Arial" w:cs="Arial" w:eastAsia="Arial" w:hAnsi="Arial"/>
          <w:sz w:val="16"/>
          <w:szCs w:val="16"/>
          <w:color w:val="auto"/>
        </w:rPr>
        <w:t>Amounts are exclusive of any related discount or unamortized debt issuance costs.</w:t>
      </w:r>
    </w:p>
    <w:p>
      <w:pPr>
        <w:spacing w:after="0" w:line="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Sensitivity Analysis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Fair Value MSRs, Loans Held for Sale, Loans Held for Investment and Related Derivatives</w:t>
      </w:r>
    </w:p>
    <w:p>
      <w:pPr>
        <w:spacing w:after="0" w:line="115" w:lineRule="exact"/>
        <w:rPr>
          <w:sz w:val="20"/>
          <w:szCs w:val="20"/>
          <w:color w:val="auto"/>
        </w:rPr>
      </w:pPr>
    </w:p>
    <w:p>
      <w:pPr>
        <w:ind w:right="60"/>
        <w:spacing w:after="0" w:line="283" w:lineRule="auto"/>
        <w:rPr>
          <w:sz w:val="20"/>
          <w:szCs w:val="20"/>
          <w:color w:val="auto"/>
        </w:rPr>
      </w:pPr>
      <w:r>
        <w:rPr>
          <w:rFonts w:ascii="Arial" w:cs="Arial" w:eastAsia="Arial" w:hAnsi="Arial"/>
          <w:sz w:val="17"/>
          <w:szCs w:val="17"/>
          <w:color w:val="auto"/>
        </w:rPr>
        <w:t>The following table summarizes the estimated change in the fair value of our MSRs, HECM loans held for investment and loans held for sale that we have elected to carry at fair value as well as any related derivatives at June 30, 2022, given</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51" w:right="339" w:bottom="1440" w:gutter="0" w:footer="0" w:header="0"/>
        </w:sectPr>
      </w:pPr>
    </w:p>
    <w:bookmarkStart w:id="98" w:name="page99"/>
    <w:bookmarkEnd w:id="98"/>
    <w:p>
      <w:pPr>
        <w:jc w:val="both"/>
        <w:spacing w:after="0" w:line="263" w:lineRule="auto"/>
        <w:rPr>
          <w:sz w:val="20"/>
          <w:szCs w:val="20"/>
          <w:color w:val="auto"/>
        </w:rPr>
      </w:pPr>
      <w:r>
        <w:rPr>
          <w:rFonts w:ascii="Arial" w:cs="Arial" w:eastAsia="Arial" w:hAnsi="Arial"/>
          <w:sz w:val="17"/>
          <w:szCs w:val="17"/>
          <w:color w:val="auto"/>
        </w:rPr>
        <w:t>hypothetical instantaneous parallel shifts in the yield curve. We used June 30, 2022 market rates to perform the sensitivity analysis. The estimates are based on the interest rate risk sensitive portfolios described in the preceding paragraphs and assume instantaneous, parallel shifts in interest rate yield curves. These sensitivities are hypothetical and presented for illustrative purposes only. Changes in fair value based on variations in assumptions generally cannot be extrapolated because the relationship to the change in fair value may not be linear.</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0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960" w:type="dxa"/>
            <w:vAlign w:val="bottom"/>
            <w:tcBorders>
              <w:bottom w:val="single" w:sz="8" w:color="auto"/>
            </w:tcBorders>
            <w:gridSpan w:val="4"/>
          </w:tcPr>
          <w:p>
            <w:pPr>
              <w:jc w:val="right"/>
              <w:ind w:right="694"/>
              <w:spacing w:after="0"/>
              <w:rPr>
                <w:sz w:val="20"/>
                <w:szCs w:val="20"/>
                <w:color w:val="auto"/>
              </w:rPr>
            </w:pPr>
            <w:r>
              <w:rPr>
                <w:rFonts w:ascii="Arial" w:cs="Arial" w:eastAsia="Arial" w:hAnsi="Arial"/>
                <w:sz w:val="17"/>
                <w:szCs w:val="17"/>
                <w:b w:val="1"/>
                <w:bCs w:val="1"/>
                <w:color w:val="auto"/>
              </w:rPr>
              <w:t>Change in Fair Value</w:t>
            </w:r>
          </w:p>
        </w:tc>
      </w:tr>
      <w:tr>
        <w:trPr>
          <w:trHeight w:val="213"/>
        </w:trPr>
        <w:tc>
          <w:tcPr>
            <w:tcW w:w="8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ind w:left="100"/>
              <w:spacing w:after="0"/>
              <w:rPr>
                <w:sz w:val="20"/>
                <w:szCs w:val="20"/>
                <w:color w:val="auto"/>
              </w:rPr>
            </w:pPr>
            <w:r>
              <w:rPr>
                <w:rFonts w:ascii="Arial" w:cs="Arial" w:eastAsia="Arial" w:hAnsi="Arial"/>
                <w:sz w:val="17"/>
                <w:szCs w:val="17"/>
                <w:b w:val="1"/>
                <w:bCs w:val="1"/>
                <w:color w:val="auto"/>
              </w:rPr>
              <w:t>Down 25 bps</w:t>
            </w:r>
          </w:p>
        </w:tc>
        <w:tc>
          <w:tcPr>
            <w:tcW w:w="240" w:type="dxa"/>
            <w:vAlign w:val="bottom"/>
          </w:tcPr>
          <w:p>
            <w:pPr>
              <w:spacing w:after="0"/>
              <w:rPr>
                <w:sz w:val="18"/>
                <w:szCs w:val="18"/>
                <w:color w:val="auto"/>
              </w:rPr>
            </w:pPr>
          </w:p>
        </w:tc>
        <w:tc>
          <w:tcPr>
            <w:tcW w:w="1280" w:type="dxa"/>
            <w:vAlign w:val="bottom"/>
          </w:tcPr>
          <w:p>
            <w:pPr>
              <w:jc w:val="right"/>
              <w:ind w:right="294"/>
              <w:spacing w:after="0"/>
              <w:rPr>
                <w:sz w:val="20"/>
                <w:szCs w:val="20"/>
                <w:color w:val="auto"/>
              </w:rPr>
            </w:pPr>
            <w:r>
              <w:rPr>
                <w:rFonts w:ascii="Arial" w:cs="Arial" w:eastAsia="Arial" w:hAnsi="Arial"/>
                <w:sz w:val="17"/>
                <w:szCs w:val="17"/>
                <w:b w:val="1"/>
                <w:bCs w:val="1"/>
                <w:color w:val="auto"/>
              </w:rPr>
              <w:t>Up 25 bps</w:t>
            </w:r>
          </w:p>
        </w:tc>
      </w:tr>
      <w:tr>
        <w:trPr>
          <w:trHeight w:val="213"/>
        </w:trPr>
        <w:tc>
          <w:tcPr>
            <w:tcW w:w="8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Asset value of securitized HECM loans, net of HMBS-related borrowing</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w:t>
            </w:r>
          </w:p>
        </w:tc>
      </w:tr>
      <w:tr>
        <w:trPr>
          <w:trHeight w:val="220"/>
        </w:trPr>
        <w:tc>
          <w:tcPr>
            <w:tcW w:w="8060" w:type="dxa"/>
            <w:vAlign w:val="bottom"/>
          </w:tcPr>
          <w:p>
            <w:pPr>
              <w:ind w:left="20"/>
              <w:spacing w:after="0"/>
              <w:rPr>
                <w:sz w:val="20"/>
                <w:szCs w:val="20"/>
                <w:color w:val="auto"/>
              </w:rPr>
            </w:pPr>
            <w:r>
              <w:rPr>
                <w:rFonts w:ascii="Arial" w:cs="Arial" w:eastAsia="Arial" w:hAnsi="Arial"/>
                <w:sz w:val="17"/>
                <w:szCs w:val="17"/>
                <w:color w:val="auto"/>
              </w:rPr>
              <w:t>Loans held for investment - Unsecuritized HECM loans and tails</w:t>
            </w:r>
          </w:p>
        </w:tc>
        <w:tc>
          <w:tcPr>
            <w:tcW w:w="18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8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Loans held for sale</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w:t>
            </w:r>
          </w:p>
        </w:tc>
      </w:tr>
      <w:tr>
        <w:trPr>
          <w:trHeight w:val="220"/>
        </w:trPr>
        <w:tc>
          <w:tcPr>
            <w:tcW w:w="8060" w:type="dxa"/>
            <w:vAlign w:val="bottom"/>
          </w:tcPr>
          <w:p>
            <w:pPr>
              <w:ind w:left="20"/>
              <w:spacing w:after="0"/>
              <w:rPr>
                <w:sz w:val="20"/>
                <w:szCs w:val="20"/>
                <w:color w:val="auto"/>
              </w:rPr>
            </w:pPr>
            <w:r>
              <w:rPr>
                <w:rFonts w:ascii="Arial" w:cs="Arial" w:eastAsia="Arial" w:hAnsi="Arial"/>
                <w:sz w:val="17"/>
                <w:szCs w:val="17"/>
                <w:color w:val="auto"/>
              </w:rPr>
              <w:t>Derivative instruments</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2.3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1.6</w:t>
            </w:r>
          </w:p>
        </w:tc>
      </w:tr>
      <w:tr>
        <w:trPr>
          <w:trHeight w:val="220"/>
        </w:trPr>
        <w:tc>
          <w:tcPr>
            <w:tcW w:w="8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MSRs - Agency and non-Agency (1)</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32.4</w:t>
            </w:r>
          </w:p>
        </w:tc>
      </w:tr>
      <w:tr>
        <w:trPr>
          <w:trHeight w:val="220"/>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Interest rate lock commitments (2)</w:t>
            </w: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0.7</w:t>
            </w:r>
          </w:p>
        </w:tc>
      </w:tr>
      <w:tr>
        <w:trPr>
          <w:trHeight w:val="238"/>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20.1</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left="320" w:right="40" w:hanging="317"/>
        <w:spacing w:after="0" w:line="243" w:lineRule="auto"/>
        <w:tabs>
          <w:tab w:leader="none" w:pos="320" w:val="left"/>
        </w:tabs>
        <w:numPr>
          <w:ilvl w:val="0"/>
          <w:numId w:val="66"/>
        </w:numPr>
        <w:rPr>
          <w:rFonts w:ascii="Arial" w:cs="Arial" w:eastAsia="Arial" w:hAnsi="Arial"/>
          <w:sz w:val="16"/>
          <w:szCs w:val="16"/>
          <w:color w:val="auto"/>
        </w:rPr>
      </w:pPr>
      <w:r>
        <w:rPr>
          <w:rFonts w:ascii="Arial" w:cs="Arial" w:eastAsia="Arial" w:hAnsi="Arial"/>
          <w:sz w:val="16"/>
          <w:szCs w:val="16"/>
          <w:color w:val="auto"/>
        </w:rPr>
        <w:t>Primarily reflects the impact of market interest rate changes on projected prepayments on the Agency MSR portfolio. Fair value adjustments to our MSRs are offset, in part, by fair value adjustments related to the NRZ and MAV financing liabilities, which are recorded in Pledged MSR liability expense.</w:t>
      </w:r>
    </w:p>
    <w:p>
      <w:pPr>
        <w:spacing w:after="0" w:line="1" w:lineRule="exact"/>
        <w:rPr>
          <w:rFonts w:ascii="Arial" w:cs="Arial" w:eastAsia="Arial" w:hAnsi="Arial"/>
          <w:sz w:val="16"/>
          <w:szCs w:val="16"/>
          <w:color w:val="auto"/>
        </w:rPr>
      </w:pPr>
    </w:p>
    <w:p>
      <w:pPr>
        <w:ind w:left="320" w:hanging="317"/>
        <w:spacing w:after="0"/>
        <w:tabs>
          <w:tab w:leader="none" w:pos="320" w:val="left"/>
        </w:tabs>
        <w:numPr>
          <w:ilvl w:val="0"/>
          <w:numId w:val="66"/>
        </w:numPr>
        <w:rPr>
          <w:rFonts w:ascii="Arial" w:cs="Arial" w:eastAsia="Arial" w:hAnsi="Arial"/>
          <w:sz w:val="16"/>
          <w:szCs w:val="16"/>
          <w:color w:val="auto"/>
        </w:rPr>
      </w:pPr>
      <w:r>
        <w:rPr>
          <w:rFonts w:ascii="Arial" w:cs="Arial" w:eastAsia="Arial" w:hAnsi="Arial"/>
          <w:sz w:val="16"/>
          <w:szCs w:val="16"/>
          <w:color w:val="auto"/>
        </w:rPr>
        <w:t>Forward mortgage loans only.</w:t>
      </w:r>
    </w:p>
    <w:p>
      <w:pPr>
        <w:spacing w:after="0" w:line="84" w:lineRule="exact"/>
        <w:rPr>
          <w:sz w:val="20"/>
          <w:szCs w:val="20"/>
          <w:color w:val="auto"/>
        </w:rPr>
      </w:pPr>
    </w:p>
    <w:p>
      <w:pPr>
        <w:ind w:right="360"/>
        <w:spacing w:after="0" w:line="268" w:lineRule="auto"/>
        <w:rPr>
          <w:sz w:val="20"/>
          <w:szCs w:val="20"/>
          <w:color w:val="auto"/>
        </w:rPr>
      </w:pPr>
      <w:r>
        <w:rPr>
          <w:rFonts w:ascii="Arial" w:cs="Arial" w:eastAsia="Arial" w:hAnsi="Arial"/>
          <w:sz w:val="17"/>
          <w:szCs w:val="17"/>
          <w:color w:val="auto"/>
        </w:rPr>
        <w:t>The decrease in our net sensitivity from December 31, 2021 to June 30, 2022 (from approximately $35 - $39 million) to $20 - $21 million for a 25 basis point parallel shift in the yield curve) is primarily driven by the effect of the increase in interest rates on the MSR portfolio (due to convexity), the sale of an MSR portfolio and the change in our hedging instruments in the first six months of 2022.</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Borrowings</w:t>
      </w:r>
    </w:p>
    <w:p>
      <w:pPr>
        <w:spacing w:after="0" w:line="115" w:lineRule="exact"/>
        <w:rPr>
          <w:sz w:val="20"/>
          <w:szCs w:val="20"/>
          <w:color w:val="auto"/>
        </w:rPr>
      </w:pPr>
    </w:p>
    <w:p>
      <w:pPr>
        <w:ind w:right="60"/>
        <w:spacing w:after="0" w:line="283" w:lineRule="auto"/>
        <w:rPr>
          <w:sz w:val="20"/>
          <w:szCs w:val="20"/>
          <w:color w:val="auto"/>
        </w:rPr>
      </w:pPr>
      <w:r>
        <w:rPr>
          <w:rFonts w:ascii="Arial" w:cs="Arial" w:eastAsia="Arial" w:hAnsi="Arial"/>
          <w:sz w:val="17"/>
          <w:szCs w:val="17"/>
          <w:color w:val="auto"/>
        </w:rPr>
        <w:t>The majority of the debt used to finance much of our operations is exposed to interest rate fluctuations. We may purchase interest rate swaps and interest rate caps to minimize future interest rate exposure from increases in interest rates, or when required by the financing agreements.</w:t>
      </w:r>
    </w:p>
    <w:p>
      <w:pPr>
        <w:spacing w:after="0" w:line="56"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Based on June 30, 2022 balances, if interest rates were to increase by 100 bps on our variable-rate debt and interest earning cash and float balances, we estimate a net positive impact of approximately $3.9 million resulting from an increase of $20.8 million in annual interest income and other credits on deposits, and an increase of $16.8 million in annual interest expense.</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Foreign Currency Exchange Rate Risk</w:t>
      </w:r>
    </w:p>
    <w:p>
      <w:pPr>
        <w:spacing w:after="0" w:line="121" w:lineRule="exact"/>
        <w:rPr>
          <w:sz w:val="20"/>
          <w:szCs w:val="20"/>
          <w:color w:val="auto"/>
        </w:rPr>
      </w:pPr>
    </w:p>
    <w:p>
      <w:pPr>
        <w:ind w:right="260"/>
        <w:spacing w:after="0" w:line="302" w:lineRule="auto"/>
        <w:rPr>
          <w:sz w:val="20"/>
          <w:szCs w:val="20"/>
          <w:color w:val="auto"/>
        </w:rPr>
      </w:pPr>
      <w:r>
        <w:rPr>
          <w:rFonts w:ascii="Arial" w:cs="Arial" w:eastAsia="Arial" w:hAnsi="Arial"/>
          <w:sz w:val="15"/>
          <w:szCs w:val="15"/>
          <w:color w:val="auto"/>
        </w:rPr>
        <w:t>Our operations in India and the Philippines expose us to foreign currency exchange rate risk to the extent that our foreign exchange positions remain unhedged. Depending on the magnitude and risk of our positions we may enter into forward exchange contracts to hedge against the effect of changes in the value of the India Rupee or Philippine Peso. We have not entered into any foreign currency hedging derivative instruments during the first six months of 2022.</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Home Prices</w:t>
      </w:r>
    </w:p>
    <w:p>
      <w:pPr>
        <w:spacing w:after="0" w:line="121" w:lineRule="exact"/>
        <w:rPr>
          <w:sz w:val="20"/>
          <w:szCs w:val="20"/>
          <w:color w:val="auto"/>
        </w:rPr>
      </w:pPr>
    </w:p>
    <w:p>
      <w:pPr>
        <w:ind w:right="60"/>
        <w:spacing w:after="0" w:line="259" w:lineRule="auto"/>
        <w:rPr>
          <w:sz w:val="20"/>
          <w:szCs w:val="20"/>
          <w:color w:val="auto"/>
        </w:rPr>
      </w:pPr>
      <w:r>
        <w:rPr>
          <w:rFonts w:ascii="Arial" w:cs="Arial" w:eastAsia="Arial" w:hAnsi="Arial"/>
          <w:sz w:val="17"/>
          <w:szCs w:val="17"/>
          <w:color w:val="auto"/>
        </w:rPr>
        <w:t>Inactive reverse mortgage loans for which the maximum claim amount has not been met are generally foreclosed upon on behalf of Ginnie Mae with the REO remaining in the related HMBS until liquidation. Inactive MCA repurchased loans are generally foreclosed upon and liquidated by the HMBS issuer. Although active and inactive reverse mortgage loans are insured by FHA, we may incur expenses and losses in the process of repurchasing and liquidating these loans that are not reimbursable by FHA in accordance with program guidelines. In addition, in certain circumstances, we may be subject to real estate price risk to the extent we are unable to liquidate REO within the FHA program guidelines. As our reverse mortgage portfolio seasons, and the volume of MCA repurchases increases, our exposure to this risk will increase.</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CONTROLS AND PROCEDURES</w:t>
      </w:r>
    </w:p>
    <w:p>
      <w:pPr>
        <w:spacing w:after="0" w:line="121" w:lineRule="exact"/>
        <w:rPr>
          <w:sz w:val="20"/>
          <w:szCs w:val="20"/>
          <w:color w:val="auto"/>
        </w:rPr>
      </w:pPr>
    </w:p>
    <w:p>
      <w:pPr>
        <w:ind w:right="220"/>
        <w:spacing w:after="0" w:line="268" w:lineRule="auto"/>
        <w:rPr>
          <w:sz w:val="20"/>
          <w:szCs w:val="20"/>
          <w:color w:val="auto"/>
        </w:rPr>
      </w:pPr>
      <w:r>
        <w:rPr>
          <w:rFonts w:ascii="Arial" w:cs="Arial" w:eastAsia="Arial" w:hAnsi="Arial"/>
          <w:sz w:val="17"/>
          <w:szCs w:val="17"/>
          <w:color w:val="auto"/>
        </w:rPr>
        <w:t>Our management, under the supervision of and with the participation of our principal executive officer and principal financial officer, has evaluated the effectiveness of our disclosure controls and procedures, as such term is defined in Rules 13a-15(e) and 15d-15(e) under the Securities Exchange Act of 1934, as amended (Exchange Act), as of June 30, 2022.</w:t>
      </w:r>
    </w:p>
    <w:p>
      <w:pPr>
        <w:spacing w:after="0" w:line="69"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Based on such evaluation, management concluded that our disclosure controls and procedures as of June 30, 2022 were (1) designed and functioning effectively to ensure that material information relating to Ocwen, including its consolidated subsidiaries, is made known to our principal executive officer and principal financial officer by others within those entities, particularly during the period in which this report was being prepared and (2) operating effectively in that they provided reasonable assurance that information required to be disclosed by Ocwen in the reports that it files or submits under the</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7" w:right="339" w:bottom="1440" w:gutter="0" w:footer="0" w:header="0"/>
        </w:sectPr>
      </w:pPr>
    </w:p>
    <w:bookmarkStart w:id="99" w:name="page100"/>
    <w:bookmarkEnd w:id="99"/>
    <w:p>
      <w:pPr>
        <w:ind w:right="80"/>
        <w:spacing w:after="0" w:line="268" w:lineRule="auto"/>
        <w:rPr>
          <w:sz w:val="20"/>
          <w:szCs w:val="20"/>
          <w:color w:val="auto"/>
        </w:rPr>
      </w:pPr>
      <w:r>
        <w:rPr>
          <w:rFonts w:ascii="Arial" w:cs="Arial" w:eastAsia="Arial" w:hAnsi="Arial"/>
          <w:sz w:val="17"/>
          <w:szCs w:val="17"/>
          <w:color w:val="auto"/>
        </w:rPr>
        <w:t>Exchange Act (i) is recorded, processed, summarized and reported within the time periods specified in the SEC’s rules and forms and (ii) accumulated and communicated to management, including our principal executive officer or principal financial officer, as appropriate, to allow timely decisions regarding required disclosure.</w:t>
      </w:r>
    </w:p>
    <w:p>
      <w:pPr>
        <w:spacing w:after="0" w:line="69" w:lineRule="exact"/>
        <w:rPr>
          <w:sz w:val="20"/>
          <w:szCs w:val="20"/>
          <w:color w:val="auto"/>
        </w:rPr>
      </w:pPr>
    </w:p>
    <w:p>
      <w:pPr>
        <w:ind w:right="220"/>
        <w:spacing w:after="0" w:line="283" w:lineRule="auto"/>
        <w:rPr>
          <w:sz w:val="20"/>
          <w:szCs w:val="20"/>
          <w:color w:val="auto"/>
        </w:rPr>
      </w:pPr>
      <w:r>
        <w:rPr>
          <w:rFonts w:ascii="Arial" w:cs="Arial" w:eastAsia="Arial" w:hAnsi="Arial"/>
          <w:sz w:val="17"/>
          <w:szCs w:val="17"/>
          <w:color w:val="auto"/>
        </w:rPr>
        <w:t>There have not been any changes in our internal control over financial reporting that occurred during the fiscal quarter ended June 30, 2022 that have materially affected, or are reasonably likely to materially affect, our internal control over financial reporting.</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II – OTHER INFORMATION</w:t>
      </w:r>
    </w:p>
    <w:p>
      <w:pPr>
        <w:spacing w:after="0" w:line="166" w:lineRule="exact"/>
        <w:rPr>
          <w:sz w:val="20"/>
          <w:szCs w:val="20"/>
          <w:color w:val="auto"/>
        </w:rPr>
      </w:pPr>
    </w:p>
    <w:p>
      <w:pPr>
        <w:spacing w:after="0"/>
        <w:tabs>
          <w:tab w:leader="none" w:pos="780" w:val="left"/>
        </w:tabs>
        <w:rPr>
          <w:sz w:val="20"/>
          <w:szCs w:val="20"/>
          <w:color w:val="auto"/>
        </w:rPr>
      </w:pPr>
      <w:r>
        <w:rPr>
          <w:rFonts w:ascii="Arial" w:cs="Arial" w:eastAsia="Arial" w:hAnsi="Arial"/>
          <w:sz w:val="17"/>
          <w:szCs w:val="17"/>
          <w:b w:val="1"/>
          <w:bCs w:val="1"/>
          <w:color w:val="auto"/>
        </w:rPr>
        <w:t>ITEM 1.</w:t>
        <w:tab/>
        <w:t>LEGAL PROCEEDINGS</w:t>
      </w:r>
    </w:p>
    <w:p>
      <w:pPr>
        <w:spacing w:after="0" w:line="121" w:lineRule="exact"/>
        <w:rPr>
          <w:sz w:val="20"/>
          <w:szCs w:val="20"/>
          <w:color w:val="auto"/>
        </w:rPr>
      </w:pPr>
    </w:p>
    <w:p>
      <w:pPr>
        <w:ind w:right="160"/>
        <w:spacing w:after="0" w:line="283" w:lineRule="auto"/>
        <w:rPr>
          <w:rFonts w:ascii="Arial" w:cs="Arial" w:eastAsia="Arial" w:hAnsi="Arial"/>
          <w:sz w:val="17"/>
          <w:szCs w:val="17"/>
          <w:color w:val="auto"/>
        </w:rPr>
      </w:pPr>
      <w:r>
        <w:rPr>
          <w:rFonts w:ascii="Arial" w:cs="Arial" w:eastAsia="Arial" w:hAnsi="Arial"/>
          <w:sz w:val="17"/>
          <w:szCs w:val="17"/>
          <w:color w:val="auto"/>
        </w:rPr>
        <w:t xml:space="preserve">See </w:t>
      </w:r>
      <w:hyperlink w:anchor="page51">
        <w:r>
          <w:rPr>
            <w:rFonts w:ascii="Arial" w:cs="Arial" w:eastAsia="Arial" w:hAnsi="Arial"/>
            <w:sz w:val="17"/>
            <w:szCs w:val="17"/>
            <w:color w:val="auto"/>
          </w:rPr>
          <w:t xml:space="preserve">Note 20 – Regulatory Requirements </w:t>
        </w:r>
      </w:hyperlink>
      <w:r>
        <w:rPr>
          <w:rFonts w:ascii="Arial" w:cs="Arial" w:eastAsia="Arial" w:hAnsi="Arial"/>
          <w:sz w:val="17"/>
          <w:szCs w:val="17"/>
          <w:color w:val="auto"/>
        </w:rPr>
        <w:t xml:space="preserve">and </w:t>
      </w:r>
      <w:hyperlink w:anchor="page53">
        <w:r>
          <w:rPr>
            <w:rFonts w:ascii="Arial" w:cs="Arial" w:eastAsia="Arial" w:hAnsi="Arial"/>
            <w:sz w:val="17"/>
            <w:szCs w:val="17"/>
            <w:color w:val="auto"/>
          </w:rPr>
          <w:t xml:space="preserve">Note 22 – Contingencies </w:t>
        </w:r>
      </w:hyperlink>
      <w:r>
        <w:rPr>
          <w:rFonts w:ascii="Arial" w:cs="Arial" w:eastAsia="Arial" w:hAnsi="Arial"/>
          <w:sz w:val="17"/>
          <w:szCs w:val="17"/>
          <w:color w:val="auto"/>
        </w:rPr>
        <w:t>to the Unaudited Consolidated Financial Statements. That information is incorporated into this item by reference.</w:t>
      </w:r>
    </w:p>
    <w:p>
      <w:pPr>
        <w:spacing w:after="0" w:line="102" w:lineRule="exact"/>
        <w:rPr>
          <w:sz w:val="20"/>
          <w:szCs w:val="20"/>
          <w:color w:val="auto"/>
        </w:rPr>
      </w:pPr>
    </w:p>
    <w:p>
      <w:pPr>
        <w:spacing w:after="0"/>
        <w:tabs>
          <w:tab w:leader="none" w:pos="920" w:val="left"/>
        </w:tabs>
        <w:rPr>
          <w:sz w:val="20"/>
          <w:szCs w:val="20"/>
          <w:color w:val="auto"/>
        </w:rPr>
      </w:pPr>
      <w:r>
        <w:rPr>
          <w:rFonts w:ascii="Arial" w:cs="Arial" w:eastAsia="Arial" w:hAnsi="Arial"/>
          <w:sz w:val="17"/>
          <w:szCs w:val="17"/>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ind w:right="60"/>
        <w:spacing w:after="0" w:line="298" w:lineRule="auto"/>
        <w:rPr>
          <w:sz w:val="20"/>
          <w:szCs w:val="20"/>
          <w:color w:val="auto"/>
        </w:rPr>
      </w:pPr>
      <w:r>
        <w:rPr>
          <w:rFonts w:ascii="Arial" w:cs="Arial" w:eastAsia="Arial" w:hAnsi="Arial"/>
          <w:sz w:val="15"/>
          <w:szCs w:val="15"/>
          <w:color w:val="auto"/>
        </w:rPr>
        <w:t>An investment in our common stock involves significant risk. We describe the most significant risks that management believes affect or could affect us under Part I, Item 1.A. of our Annual Report on Form 10-K for the year ended December 31, 2021. Understanding these risks is important to understanding any statement in such reports and in our subsequent SEC filings (including this Form 10-Q) and to evaluating an investment in our common stock. You should carefully read and consider the risks and uncertainties described therein together with all the other information included or incorporated by reference in such Annual Report and in our subsequent SEC filings before you make any decision regarding an investment in our common stock. You should also consider the information set forth under “Forward-Looking Statements.” If any of the risks actually occur, our business, financial condition, liquidity and results of operations could be materially and adversely affected. If this were to happen, the value of our common stock could significantly decline, and you could lose some or all of your investment.</w:t>
      </w:r>
    </w:p>
    <w:p>
      <w:pPr>
        <w:spacing w:after="0" w:line="200" w:lineRule="exact"/>
        <w:rPr>
          <w:sz w:val="20"/>
          <w:szCs w:val="20"/>
          <w:color w:val="auto"/>
        </w:rPr>
      </w:pPr>
    </w:p>
    <w:p>
      <w:pPr>
        <w:spacing w:after="0" w:line="233" w:lineRule="exact"/>
        <w:rPr>
          <w:sz w:val="20"/>
          <w:szCs w:val="20"/>
          <w:color w:val="auto"/>
        </w:rPr>
      </w:pPr>
    </w:p>
    <w:p>
      <w:pPr>
        <w:ind w:right="4320"/>
        <w:spacing w:after="0" w:line="384" w:lineRule="auto"/>
        <w:rPr>
          <w:sz w:val="20"/>
          <w:szCs w:val="20"/>
          <w:color w:val="auto"/>
        </w:rPr>
      </w:pPr>
      <w:r>
        <w:rPr>
          <w:rFonts w:ascii="Arial" w:cs="Arial" w:eastAsia="Arial" w:hAnsi="Arial"/>
          <w:sz w:val="17"/>
          <w:szCs w:val="17"/>
          <w:b w:val="1"/>
          <w:bCs w:val="1"/>
          <w:color w:val="auto"/>
        </w:rPr>
        <w:t>ITEM 2. UNREGISTERED SALES OF EQUITY SECURITIES AND USE OF PROCEEDS Purchases of Equity Securities by the Issuer and Affiliates</w:t>
      </w:r>
    </w:p>
    <w:p>
      <w:pPr>
        <w:spacing w:after="0" w:line="1" w:lineRule="exact"/>
        <w:rPr>
          <w:sz w:val="20"/>
          <w:szCs w:val="20"/>
          <w:color w:val="auto"/>
        </w:rPr>
      </w:pPr>
    </w:p>
    <w:p>
      <w:pPr>
        <w:ind w:right="60"/>
        <w:spacing w:after="0" w:line="259" w:lineRule="auto"/>
        <w:rPr>
          <w:sz w:val="20"/>
          <w:szCs w:val="20"/>
          <w:color w:val="auto"/>
        </w:rPr>
      </w:pPr>
      <w:r>
        <w:rPr>
          <w:rFonts w:ascii="Arial" w:cs="Arial" w:eastAsia="Arial" w:hAnsi="Arial"/>
          <w:sz w:val="17"/>
          <w:szCs w:val="17"/>
          <w:color w:val="auto"/>
        </w:rPr>
        <w:t>On May 20, 2022, Ocwen’s Board of Directors authorized a share repurchase program for an aggregate amount of up to $50.0 million of Ocwen’s issued and outstanding shares of common stock. Repurchases may be made through open market purchases. The timing and execution of any share repurchases are subject to market conditions, among other factors, and Ocwen may modify, discontinue or suspend the repurchase program at any time. Any shares repurchased will be retired and canceled. Unless Ocwen amends the share repurchase program or repurchases the full $50.0 million amount by an earlier date, the share repurchase program will continue through November 20, 2022. No assurances can be given as to the amount of shares, if any, that Ocwen may repurchase in any given period.</w:t>
      </w:r>
    </w:p>
    <w:p>
      <w:pPr>
        <w:spacing w:after="0" w:line="78" w:lineRule="exact"/>
        <w:rPr>
          <w:sz w:val="20"/>
          <w:szCs w:val="20"/>
          <w:color w:val="auto"/>
        </w:rPr>
      </w:pPr>
    </w:p>
    <w:p>
      <w:pPr>
        <w:spacing w:after="0"/>
        <w:rPr>
          <w:sz w:val="20"/>
          <w:szCs w:val="20"/>
          <w:color w:val="auto"/>
        </w:rPr>
      </w:pPr>
      <w:r>
        <w:rPr>
          <w:rFonts w:ascii="Arial" w:cs="Arial" w:eastAsia="Arial" w:hAnsi="Arial"/>
          <w:sz w:val="17"/>
          <w:szCs w:val="17"/>
          <w:color w:val="auto"/>
        </w:rPr>
        <w:t>Information regarding repurchases of our common stock during the second quarter of 2022 is as follows:</w:t>
      </w:r>
    </w:p>
    <w:p>
      <w:pPr>
        <w:spacing w:after="0" w:line="112"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48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80" w:type="dxa"/>
            <w:vAlign w:val="bottom"/>
          </w:tcPr>
          <w:p>
            <w:pPr>
              <w:jc w:val="center"/>
              <w:spacing w:after="0"/>
              <w:rPr>
                <w:sz w:val="20"/>
                <w:szCs w:val="20"/>
                <w:color w:val="auto"/>
              </w:rPr>
            </w:pPr>
            <w:r>
              <w:rPr>
                <w:rFonts w:ascii="Arial" w:cs="Arial" w:eastAsia="Arial" w:hAnsi="Arial"/>
                <w:sz w:val="17"/>
                <w:szCs w:val="17"/>
                <w:b w:val="1"/>
                <w:bCs w:val="1"/>
                <w:color w:val="auto"/>
                <w:w w:val="90"/>
              </w:rPr>
              <w:t>Total number of shares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80" w:type="dxa"/>
            <w:vAlign w:val="bottom"/>
            <w:gridSpan w:val="2"/>
            <w:vMerge w:val="restart"/>
          </w:tcPr>
          <w:p>
            <w:pPr>
              <w:jc w:val="center"/>
              <w:ind w:right="74"/>
              <w:spacing w:after="0"/>
              <w:rPr>
                <w:sz w:val="20"/>
                <w:szCs w:val="20"/>
                <w:color w:val="auto"/>
              </w:rPr>
            </w:pPr>
            <w:r>
              <w:rPr>
                <w:rFonts w:ascii="Arial" w:cs="Arial" w:eastAsia="Arial" w:hAnsi="Arial"/>
                <w:sz w:val="17"/>
                <w:szCs w:val="17"/>
                <w:b w:val="1"/>
                <w:bCs w:val="1"/>
                <w:color w:val="auto"/>
                <w:w w:val="92"/>
              </w:rPr>
              <w:t>Approximate dollar value of</w:t>
            </w:r>
          </w:p>
        </w:tc>
        <w:tc>
          <w:tcPr>
            <w:tcW w:w="0" w:type="dxa"/>
            <w:vAlign w:val="bottom"/>
          </w:tcPr>
          <w:p>
            <w:pPr>
              <w:spacing w:after="0"/>
              <w:rPr>
                <w:sz w:val="1"/>
                <w:szCs w:val="1"/>
                <w:color w:val="auto"/>
              </w:rPr>
            </w:pPr>
          </w:p>
        </w:tc>
      </w:tr>
      <w:tr>
        <w:trPr>
          <w:trHeight w:val="168"/>
        </w:trPr>
        <w:tc>
          <w:tcPr>
            <w:tcW w:w="48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400" w:type="dxa"/>
            <w:vAlign w:val="bottom"/>
            <w:vMerge w:val="restart"/>
          </w:tcPr>
          <w:p>
            <w:pPr>
              <w:jc w:val="right"/>
              <w:ind w:right="14"/>
              <w:spacing w:after="0"/>
              <w:rPr>
                <w:sz w:val="20"/>
                <w:szCs w:val="20"/>
                <w:color w:val="auto"/>
              </w:rPr>
            </w:pPr>
            <w:r>
              <w:rPr>
                <w:rFonts w:ascii="Arial" w:cs="Arial" w:eastAsia="Arial" w:hAnsi="Arial"/>
                <w:sz w:val="17"/>
                <w:szCs w:val="17"/>
                <w:b w:val="1"/>
                <w:bCs w:val="1"/>
                <w:color w:val="auto"/>
                <w:w w:val="99"/>
              </w:rPr>
              <w:t>Total number of</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vMerge w:val="restart"/>
          </w:tcPr>
          <w:p>
            <w:pPr>
              <w:ind w:left="40"/>
              <w:spacing w:after="0"/>
              <w:rPr>
                <w:sz w:val="20"/>
                <w:szCs w:val="20"/>
                <w:color w:val="auto"/>
              </w:rPr>
            </w:pPr>
            <w:r>
              <w:rPr>
                <w:rFonts w:ascii="Arial" w:cs="Arial" w:eastAsia="Arial" w:hAnsi="Arial"/>
                <w:sz w:val="17"/>
                <w:szCs w:val="17"/>
                <w:b w:val="1"/>
                <w:bCs w:val="1"/>
                <w:color w:val="auto"/>
              </w:rPr>
              <w:t>Average price</w:t>
            </w:r>
          </w:p>
        </w:tc>
        <w:tc>
          <w:tcPr>
            <w:tcW w:w="2080" w:type="dxa"/>
            <w:vAlign w:val="bottom"/>
          </w:tcPr>
          <w:p>
            <w:pPr>
              <w:jc w:val="center"/>
              <w:spacing w:after="0" w:line="168" w:lineRule="exact"/>
              <w:rPr>
                <w:sz w:val="20"/>
                <w:szCs w:val="20"/>
                <w:color w:val="auto"/>
              </w:rPr>
            </w:pPr>
            <w:r>
              <w:rPr>
                <w:rFonts w:ascii="Arial" w:cs="Arial" w:eastAsia="Arial" w:hAnsi="Arial"/>
                <w:sz w:val="17"/>
                <w:szCs w:val="17"/>
                <w:b w:val="1"/>
                <w:bCs w:val="1"/>
                <w:color w:val="auto"/>
                <w:w w:val="90"/>
              </w:rPr>
              <w:t>purchased as part of a</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80" w:type="dxa"/>
            <w:vAlign w:val="bottom"/>
          </w:tcPr>
          <w:p>
            <w:pPr>
              <w:spacing w:after="0"/>
              <w:rPr>
                <w:sz w:val="14"/>
                <w:szCs w:val="14"/>
                <w:color w:val="auto"/>
              </w:rPr>
            </w:pPr>
          </w:p>
        </w:tc>
        <w:tc>
          <w:tcPr>
            <w:tcW w:w="2960" w:type="dxa"/>
            <w:vAlign w:val="bottom"/>
            <w:vMerge w:val="restart"/>
          </w:tcPr>
          <w:p>
            <w:pPr>
              <w:ind w:left="1000"/>
              <w:spacing w:after="0"/>
              <w:rPr>
                <w:sz w:val="20"/>
                <w:szCs w:val="20"/>
                <w:color w:val="auto"/>
              </w:rPr>
            </w:pPr>
            <w:r>
              <w:rPr>
                <w:rFonts w:ascii="Arial" w:cs="Arial" w:eastAsia="Arial" w:hAnsi="Arial"/>
                <w:sz w:val="17"/>
                <w:szCs w:val="17"/>
                <w:b w:val="1"/>
                <w:bCs w:val="1"/>
                <w:color w:val="auto"/>
              </w:rPr>
              <w:t>Period</w:t>
            </w:r>
          </w:p>
        </w:tc>
        <w:tc>
          <w:tcPr>
            <w:tcW w:w="14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2080" w:type="dxa"/>
            <w:vAlign w:val="bottom"/>
          </w:tcPr>
          <w:p>
            <w:pPr>
              <w:jc w:val="center"/>
              <w:spacing w:after="0" w:line="168" w:lineRule="exact"/>
              <w:rPr>
                <w:sz w:val="20"/>
                <w:szCs w:val="20"/>
                <w:color w:val="auto"/>
              </w:rPr>
            </w:pPr>
            <w:r>
              <w:rPr>
                <w:rFonts w:ascii="Arial" w:cs="Arial" w:eastAsia="Arial" w:hAnsi="Arial"/>
                <w:sz w:val="17"/>
                <w:szCs w:val="17"/>
                <w:b w:val="1"/>
                <w:bCs w:val="1"/>
                <w:color w:val="auto"/>
                <w:w w:val="90"/>
              </w:rPr>
              <w:t>publicly announced</w:t>
            </w:r>
          </w:p>
        </w:tc>
        <w:tc>
          <w:tcPr>
            <w:tcW w:w="100" w:type="dxa"/>
            <w:vAlign w:val="bottom"/>
          </w:tcPr>
          <w:p>
            <w:pPr>
              <w:spacing w:after="0"/>
              <w:rPr>
                <w:sz w:val="14"/>
                <w:szCs w:val="14"/>
                <w:color w:val="auto"/>
              </w:rPr>
            </w:pPr>
          </w:p>
        </w:tc>
        <w:tc>
          <w:tcPr>
            <w:tcW w:w="2600" w:type="dxa"/>
            <w:vAlign w:val="bottom"/>
            <w:gridSpan w:val="3"/>
          </w:tcPr>
          <w:p>
            <w:pPr>
              <w:jc w:val="center"/>
              <w:spacing w:after="0" w:line="168" w:lineRule="exact"/>
              <w:rPr>
                <w:sz w:val="20"/>
                <w:szCs w:val="20"/>
                <w:color w:val="auto"/>
              </w:rPr>
            </w:pPr>
            <w:r>
              <w:rPr>
                <w:rFonts w:ascii="Arial" w:cs="Arial" w:eastAsia="Arial" w:hAnsi="Arial"/>
                <w:sz w:val="17"/>
                <w:szCs w:val="17"/>
                <w:b w:val="1"/>
                <w:bCs w:val="1"/>
                <w:color w:val="auto"/>
                <w:w w:val="89"/>
              </w:rPr>
              <w:t>shares that may yet be purchased</w:t>
            </w:r>
          </w:p>
        </w:tc>
        <w:tc>
          <w:tcPr>
            <w:tcW w:w="0" w:type="dxa"/>
            <w:vAlign w:val="bottom"/>
          </w:tcPr>
          <w:p>
            <w:pPr>
              <w:spacing w:after="0"/>
              <w:rPr>
                <w:sz w:val="1"/>
                <w:szCs w:val="1"/>
                <w:color w:val="auto"/>
              </w:rPr>
            </w:pPr>
          </w:p>
        </w:tc>
      </w:tr>
      <w:tr>
        <w:trPr>
          <w:trHeight w:val="220"/>
        </w:trPr>
        <w:tc>
          <w:tcPr>
            <w:tcW w:w="480" w:type="dxa"/>
            <w:vAlign w:val="bottom"/>
            <w:tcBorders>
              <w:bottom w:val="single" w:sz="8" w:color="auto"/>
            </w:tcBorders>
          </w:tcPr>
          <w:p>
            <w:pPr>
              <w:spacing w:after="0"/>
              <w:rPr>
                <w:sz w:val="19"/>
                <w:szCs w:val="19"/>
                <w:color w:val="auto"/>
              </w:rPr>
            </w:pPr>
          </w:p>
        </w:tc>
        <w:tc>
          <w:tcPr>
            <w:tcW w:w="2960" w:type="dxa"/>
            <w:vAlign w:val="bottom"/>
            <w:tcBorders>
              <w:bottom w:val="single" w:sz="8" w:color="auto"/>
            </w:tcBorders>
            <w:vMerge w:val="continue"/>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90"/>
              </w:rPr>
              <w:t>shares purchased</w:t>
            </w: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gridSpan w:val="2"/>
          </w:tcPr>
          <w:p>
            <w:pPr>
              <w:ind w:left="40"/>
              <w:spacing w:after="0"/>
              <w:rPr>
                <w:sz w:val="20"/>
                <w:szCs w:val="20"/>
                <w:color w:val="auto"/>
              </w:rPr>
            </w:pPr>
            <w:r>
              <w:rPr>
                <w:rFonts w:ascii="Arial" w:cs="Arial" w:eastAsia="Arial" w:hAnsi="Arial"/>
                <w:sz w:val="17"/>
                <w:szCs w:val="17"/>
                <w:b w:val="1"/>
                <w:bCs w:val="1"/>
                <w:color w:val="auto"/>
                <w:w w:val="93"/>
              </w:rPr>
              <w:t>paid per share (1)</w:t>
            </w:r>
          </w:p>
        </w:tc>
        <w:tc>
          <w:tcPr>
            <w:tcW w:w="120" w:type="dxa"/>
            <w:vAlign w:val="bottom"/>
            <w:tcBorders>
              <w:bottom w:val="single" w:sz="8" w:color="CCEEFF"/>
            </w:tcBorders>
          </w:tcPr>
          <w:p>
            <w:pPr>
              <w:spacing w:after="0"/>
              <w:rPr>
                <w:sz w:val="19"/>
                <w:szCs w:val="19"/>
                <w:color w:val="auto"/>
              </w:rPr>
            </w:pP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0"/>
              </w:rPr>
              <w:t>repurchase program</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80" w:type="dxa"/>
            <w:vAlign w:val="bottom"/>
            <w:tcBorders>
              <w:bottom w:val="single" w:sz="8" w:color="auto"/>
            </w:tcBorders>
            <w:gridSpan w:val="2"/>
          </w:tcPr>
          <w:p>
            <w:pPr>
              <w:jc w:val="center"/>
              <w:ind w:right="54"/>
              <w:spacing w:after="0"/>
              <w:rPr>
                <w:sz w:val="20"/>
                <w:szCs w:val="20"/>
                <w:color w:val="auto"/>
              </w:rPr>
            </w:pPr>
            <w:r>
              <w:rPr>
                <w:rFonts w:ascii="Arial" w:cs="Arial" w:eastAsia="Arial" w:hAnsi="Arial"/>
                <w:sz w:val="17"/>
                <w:szCs w:val="17"/>
                <w:b w:val="1"/>
                <w:bCs w:val="1"/>
                <w:color w:val="auto"/>
                <w:w w:val="91"/>
              </w:rPr>
              <w:t>under the repurchase program</w:t>
            </w:r>
          </w:p>
        </w:tc>
        <w:tc>
          <w:tcPr>
            <w:tcW w:w="0" w:type="dxa"/>
            <w:vAlign w:val="bottom"/>
          </w:tcPr>
          <w:p>
            <w:pPr>
              <w:spacing w:after="0"/>
              <w:rPr>
                <w:sz w:val="1"/>
                <w:szCs w:val="1"/>
                <w:color w:val="auto"/>
              </w:rPr>
            </w:pPr>
          </w:p>
        </w:tc>
      </w:tr>
      <w:tr>
        <w:trPr>
          <w:trHeight w:val="213"/>
        </w:trPr>
        <w:tc>
          <w:tcPr>
            <w:tcW w:w="34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April 1 - April 30</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w:t>
            </w:r>
          </w:p>
        </w:tc>
        <w:tc>
          <w:tcPr>
            <w:tcW w:w="580" w:type="dxa"/>
            <w:vAlign w:val="bottom"/>
            <w:shd w:val="clear" w:color="auto" w:fill="CCEEFF"/>
          </w:tcPr>
          <w:p>
            <w:pPr>
              <w:ind w:left="60"/>
              <w:spacing w:after="0"/>
              <w:rPr>
                <w:sz w:val="20"/>
                <w:szCs w:val="20"/>
                <w:color w:val="auto"/>
              </w:rPr>
            </w:pPr>
            <w:r>
              <w:rPr>
                <w:rFonts w:ascii="Arial" w:cs="Arial" w:eastAsia="Arial" w:hAnsi="Arial"/>
                <w:sz w:val="17"/>
                <w:szCs w:val="17"/>
                <w:color w:val="auto"/>
              </w:rPr>
              <w:t>million</w:t>
            </w:r>
          </w:p>
        </w:tc>
        <w:tc>
          <w:tcPr>
            <w:tcW w:w="0" w:type="dxa"/>
            <w:vAlign w:val="bottom"/>
          </w:tcPr>
          <w:p>
            <w:pPr>
              <w:spacing w:after="0"/>
              <w:rPr>
                <w:sz w:val="1"/>
                <w:szCs w:val="1"/>
                <w:color w:val="auto"/>
              </w:rPr>
            </w:pPr>
          </w:p>
        </w:tc>
      </w:tr>
      <w:tr>
        <w:trPr>
          <w:trHeight w:val="220"/>
        </w:trPr>
        <w:tc>
          <w:tcPr>
            <w:tcW w:w="480" w:type="dxa"/>
            <w:vAlign w:val="bottom"/>
          </w:tcPr>
          <w:p>
            <w:pPr>
              <w:jc w:val="right"/>
              <w:spacing w:after="0"/>
              <w:rPr>
                <w:sz w:val="20"/>
                <w:szCs w:val="20"/>
                <w:color w:val="auto"/>
              </w:rPr>
            </w:pPr>
            <w:r>
              <w:rPr>
                <w:rFonts w:ascii="Arial" w:cs="Arial" w:eastAsia="Arial" w:hAnsi="Arial"/>
                <w:sz w:val="17"/>
                <w:szCs w:val="17"/>
                <w:color w:val="auto"/>
                <w:w w:val="94"/>
              </w:rPr>
              <w:t>May 1</w:t>
            </w:r>
          </w:p>
        </w:tc>
        <w:tc>
          <w:tcPr>
            <w:tcW w:w="2960" w:type="dxa"/>
            <w:vAlign w:val="bottom"/>
          </w:tcPr>
          <w:p>
            <w:pPr>
              <w:ind w:left="20"/>
              <w:spacing w:after="0"/>
              <w:rPr>
                <w:sz w:val="20"/>
                <w:szCs w:val="20"/>
                <w:color w:val="auto"/>
              </w:rPr>
            </w:pPr>
            <w:r>
              <w:rPr>
                <w:rFonts w:ascii="Arial" w:cs="Arial" w:eastAsia="Arial" w:hAnsi="Arial"/>
                <w:sz w:val="17"/>
                <w:szCs w:val="17"/>
                <w:color w:val="auto"/>
              </w:rPr>
              <w:t>- May 31</w:t>
            </w:r>
          </w:p>
        </w:tc>
        <w:tc>
          <w:tcPr>
            <w:tcW w:w="140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gridSpan w:val="2"/>
          </w:tcPr>
          <w:p>
            <w:pPr>
              <w:ind w:left="120"/>
              <w:spacing w:after="0"/>
              <w:rPr>
                <w:sz w:val="20"/>
                <w:szCs w:val="20"/>
                <w:color w:val="auto"/>
              </w:rPr>
            </w:pPr>
            <w:r>
              <w:rPr>
                <w:rFonts w:ascii="Arial" w:cs="Arial" w:eastAsia="Arial" w:hAnsi="Arial"/>
                <w:sz w:val="17"/>
                <w:szCs w:val="17"/>
                <w:color w:val="auto"/>
              </w:rPr>
              <w:t>$</w:t>
            </w:r>
          </w:p>
        </w:tc>
        <w:tc>
          <w:tcPr>
            <w:tcW w:w="13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8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900" w:type="dxa"/>
            <w:vAlign w:val="bottom"/>
          </w:tcPr>
          <w:p>
            <w:pPr>
              <w:jc w:val="right"/>
              <w:spacing w:after="0"/>
              <w:rPr>
                <w:sz w:val="20"/>
                <w:szCs w:val="20"/>
                <w:color w:val="auto"/>
              </w:rPr>
            </w:pPr>
            <w:r>
              <w:rPr>
                <w:rFonts w:ascii="Arial" w:cs="Arial" w:eastAsia="Arial" w:hAnsi="Arial"/>
                <w:sz w:val="17"/>
                <w:szCs w:val="17"/>
                <w:color w:val="auto"/>
              </w:rPr>
              <w:t>50.0</w:t>
            </w:r>
          </w:p>
        </w:tc>
        <w:tc>
          <w:tcPr>
            <w:tcW w:w="580" w:type="dxa"/>
            <w:vAlign w:val="bottom"/>
          </w:tcPr>
          <w:p>
            <w:pPr>
              <w:ind w:left="60"/>
              <w:spacing w:after="0"/>
              <w:rPr>
                <w:sz w:val="20"/>
                <w:szCs w:val="20"/>
                <w:color w:val="auto"/>
              </w:rPr>
            </w:pPr>
            <w:r>
              <w:rPr>
                <w:rFonts w:ascii="Arial" w:cs="Arial" w:eastAsia="Arial" w:hAnsi="Arial"/>
                <w:sz w:val="17"/>
                <w:szCs w:val="17"/>
                <w:color w:val="auto"/>
              </w:rPr>
              <w:t>million</w:t>
            </w:r>
          </w:p>
        </w:tc>
        <w:tc>
          <w:tcPr>
            <w:tcW w:w="0" w:type="dxa"/>
            <w:vAlign w:val="bottom"/>
          </w:tcPr>
          <w:p>
            <w:pPr>
              <w:spacing w:after="0"/>
              <w:rPr>
                <w:sz w:val="1"/>
                <w:szCs w:val="1"/>
                <w:color w:val="auto"/>
              </w:rPr>
            </w:pPr>
          </w:p>
        </w:tc>
      </w:tr>
      <w:tr>
        <w:trPr>
          <w:trHeight w:val="220"/>
        </w:trPr>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6"/>
              </w:rPr>
              <w:t>June 1</w:t>
            </w:r>
          </w:p>
        </w:tc>
        <w:tc>
          <w:tcPr>
            <w:tcW w:w="2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 June 30</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84,087</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26.8742</w:t>
            </w:r>
          </w:p>
        </w:tc>
        <w:tc>
          <w:tcPr>
            <w:tcW w:w="120" w:type="dxa"/>
            <w:vAlign w:val="bottom"/>
            <w:shd w:val="clear" w:color="auto" w:fill="CCEEFF"/>
          </w:tcPr>
          <w:p>
            <w:pPr>
              <w:spacing w:after="0"/>
              <w:rPr>
                <w:sz w:val="19"/>
                <w:szCs w:val="19"/>
                <w:color w:val="auto"/>
              </w:rPr>
            </w:pP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84,087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47.7</w:t>
            </w:r>
          </w:p>
        </w:tc>
        <w:tc>
          <w:tcPr>
            <w:tcW w:w="580" w:type="dxa"/>
            <w:vAlign w:val="bottom"/>
            <w:shd w:val="clear" w:color="auto" w:fill="CCEEFF"/>
          </w:tcPr>
          <w:p>
            <w:pPr>
              <w:ind w:left="60"/>
              <w:spacing w:after="0"/>
              <w:rPr>
                <w:sz w:val="20"/>
                <w:szCs w:val="20"/>
                <w:color w:val="auto"/>
              </w:rPr>
            </w:pPr>
            <w:r>
              <w:rPr>
                <w:rFonts w:ascii="Arial" w:cs="Arial" w:eastAsia="Arial" w:hAnsi="Arial"/>
                <w:sz w:val="17"/>
                <w:szCs w:val="17"/>
                <w:color w:val="auto"/>
              </w:rPr>
              <w:t>million</w:t>
            </w:r>
          </w:p>
        </w:tc>
        <w:tc>
          <w:tcPr>
            <w:tcW w:w="0" w:type="dxa"/>
            <w:vAlign w:val="bottom"/>
          </w:tcPr>
          <w:p>
            <w:pPr>
              <w:spacing w:after="0"/>
              <w:rPr>
                <w:sz w:val="1"/>
                <w:szCs w:val="1"/>
                <w:color w:val="auto"/>
              </w:rPr>
            </w:pPr>
          </w:p>
        </w:tc>
      </w:tr>
      <w:tr>
        <w:trPr>
          <w:trHeight w:val="213"/>
        </w:trPr>
        <w:tc>
          <w:tcPr>
            <w:tcW w:w="480" w:type="dxa"/>
            <w:vAlign w:val="bottom"/>
          </w:tcPr>
          <w:p>
            <w:pPr>
              <w:jc w:val="right"/>
              <w:spacing w:after="0"/>
              <w:rPr>
                <w:sz w:val="20"/>
                <w:szCs w:val="20"/>
                <w:color w:val="auto"/>
              </w:rPr>
            </w:pPr>
            <w:r>
              <w:rPr>
                <w:rFonts w:ascii="Arial" w:cs="Arial" w:eastAsia="Arial" w:hAnsi="Arial"/>
                <w:sz w:val="17"/>
                <w:szCs w:val="17"/>
                <w:color w:val="auto"/>
              </w:rPr>
              <w:t>Total</w:t>
            </w:r>
          </w:p>
        </w:tc>
        <w:tc>
          <w:tcPr>
            <w:tcW w:w="2960" w:type="dxa"/>
            <w:vAlign w:val="bottom"/>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84,087</w:t>
            </w:r>
          </w:p>
        </w:tc>
        <w:tc>
          <w:tcPr>
            <w:tcW w:w="240" w:type="dxa"/>
            <w:vAlign w:val="bottom"/>
            <w:gridSpan w:val="2"/>
          </w:tcPr>
          <w:p>
            <w:pPr>
              <w:ind w:left="120"/>
              <w:spacing w:after="0"/>
              <w:rPr>
                <w:sz w:val="20"/>
                <w:szCs w:val="20"/>
                <w:color w:val="auto"/>
              </w:rPr>
            </w:pPr>
            <w:r>
              <w:rPr>
                <w:rFonts w:ascii="Arial" w:cs="Arial" w:eastAsia="Arial" w:hAnsi="Arial"/>
                <w:sz w:val="17"/>
                <w:szCs w:val="17"/>
                <w:color w:val="auto"/>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26.8742</w:t>
            </w:r>
          </w:p>
        </w:tc>
        <w:tc>
          <w:tcPr>
            <w:tcW w:w="120" w:type="dxa"/>
            <w:vAlign w:val="bottom"/>
          </w:tcPr>
          <w:p>
            <w:pPr>
              <w:spacing w:after="0"/>
              <w:rPr>
                <w:sz w:val="18"/>
                <w:szCs w:val="18"/>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84,087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spacing w:after="0"/>
        <w:tabs>
          <w:tab w:leader="none" w:pos="300"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4"/>
          <w:szCs w:val="14"/>
          <w:color w:val="auto"/>
        </w:rPr>
        <w:t>Average price paid per share does not reflect payment of commissions totaling $2,522 (two thousand five hundred twenty-two dollars).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840" w:type="dxa"/>
            <w:vAlign w:val="bottom"/>
          </w:tcPr>
          <w:p>
            <w:pPr>
              <w:spacing w:after="0"/>
              <w:rPr>
                <w:sz w:val="20"/>
                <w:szCs w:val="20"/>
                <w:color w:val="auto"/>
              </w:rPr>
            </w:pPr>
            <w:r>
              <w:rPr>
                <w:rFonts w:ascii="Arial" w:cs="Arial" w:eastAsia="Arial" w:hAnsi="Arial"/>
                <w:sz w:val="17"/>
                <w:szCs w:val="17"/>
                <w:b w:val="1"/>
                <w:bCs w:val="1"/>
                <w:color w:val="auto"/>
              </w:rPr>
              <w:t>ITEM 6.   EXHIBITS</w:t>
            </w:r>
          </w:p>
        </w:tc>
        <w:tc>
          <w:tcPr>
            <w:tcW w:w="9400" w:type="dxa"/>
            <w:vAlign w:val="bottom"/>
          </w:tcPr>
          <w:p>
            <w:pPr>
              <w:spacing w:after="0"/>
              <w:rPr>
                <w:sz w:val="19"/>
                <w:szCs w:val="19"/>
                <w:color w:val="auto"/>
              </w:rPr>
            </w:pPr>
          </w:p>
        </w:tc>
      </w:tr>
      <w:tr>
        <w:trPr>
          <w:trHeight w:val="349"/>
        </w:trPr>
        <w:tc>
          <w:tcPr>
            <w:tcW w:w="1840" w:type="dxa"/>
            <w:vAlign w:val="bottom"/>
          </w:tcPr>
          <w:p>
            <w:pPr>
              <w:ind w:left="1060"/>
              <w:spacing w:after="0"/>
              <w:rPr>
                <w:rFonts w:ascii="Arial" w:cs="Arial" w:eastAsia="Arial" w:hAnsi="Arial"/>
                <w:sz w:val="17"/>
                <w:szCs w:val="17"/>
                <w:color w:val="auto"/>
              </w:rPr>
            </w:pPr>
            <w:hyperlink r:id="rId150">
              <w:r>
                <w:rPr>
                  <w:rFonts w:ascii="Arial" w:cs="Arial" w:eastAsia="Arial" w:hAnsi="Arial"/>
                  <w:sz w:val="17"/>
                  <w:szCs w:val="17"/>
                  <w:color w:val="auto"/>
                </w:rPr>
                <w:t>3.1</w:t>
              </w:r>
            </w:hyperlink>
          </w:p>
        </w:tc>
        <w:tc>
          <w:tcPr>
            <w:tcW w:w="9400" w:type="dxa"/>
            <w:vAlign w:val="bottom"/>
          </w:tcPr>
          <w:p>
            <w:pPr>
              <w:ind w:left="140"/>
              <w:spacing w:after="0"/>
              <w:rPr>
                <w:rFonts w:ascii="Arial" w:cs="Arial" w:eastAsia="Arial" w:hAnsi="Arial"/>
                <w:sz w:val="17"/>
                <w:szCs w:val="17"/>
                <w:color w:val="auto"/>
              </w:rPr>
            </w:pPr>
            <w:hyperlink r:id="rId150">
              <w:r>
                <w:rPr>
                  <w:rFonts w:ascii="Arial" w:cs="Arial" w:eastAsia="Arial" w:hAnsi="Arial"/>
                  <w:sz w:val="17"/>
                  <w:szCs w:val="17"/>
                  <w:color w:val="auto"/>
                </w:rPr>
                <w:t>Amended and Restated Articles of Incorporation, as amended (1)</w:t>
              </w:r>
            </w:hyperlink>
          </w:p>
        </w:tc>
      </w:tr>
      <w:tr>
        <w:trPr>
          <w:trHeight w:val="220"/>
        </w:trPr>
        <w:tc>
          <w:tcPr>
            <w:tcW w:w="1840" w:type="dxa"/>
            <w:vAlign w:val="bottom"/>
          </w:tcPr>
          <w:p>
            <w:pPr>
              <w:ind w:left="1060"/>
              <w:spacing w:after="0"/>
              <w:rPr>
                <w:rFonts w:ascii="Arial" w:cs="Arial" w:eastAsia="Arial" w:hAnsi="Arial"/>
                <w:sz w:val="17"/>
                <w:szCs w:val="17"/>
                <w:color w:val="auto"/>
              </w:rPr>
            </w:pPr>
            <w:hyperlink r:id="rId151">
              <w:r>
                <w:rPr>
                  <w:rFonts w:ascii="Arial" w:cs="Arial" w:eastAsia="Arial" w:hAnsi="Arial"/>
                  <w:sz w:val="17"/>
                  <w:szCs w:val="17"/>
                  <w:color w:val="auto"/>
                </w:rPr>
                <w:t>3.2</w:t>
              </w:r>
            </w:hyperlink>
          </w:p>
        </w:tc>
        <w:tc>
          <w:tcPr>
            <w:tcW w:w="9400" w:type="dxa"/>
            <w:vAlign w:val="bottom"/>
          </w:tcPr>
          <w:p>
            <w:pPr>
              <w:ind w:left="140"/>
              <w:spacing w:after="0"/>
              <w:rPr>
                <w:rFonts w:ascii="Arial" w:cs="Arial" w:eastAsia="Arial" w:hAnsi="Arial"/>
                <w:sz w:val="17"/>
                <w:szCs w:val="17"/>
                <w:color w:val="auto"/>
              </w:rPr>
            </w:pPr>
            <w:hyperlink r:id="rId151">
              <w:r>
                <w:rPr>
                  <w:rFonts w:ascii="Arial" w:cs="Arial" w:eastAsia="Arial" w:hAnsi="Arial"/>
                  <w:sz w:val="17"/>
                  <w:szCs w:val="17"/>
                  <w:color w:val="auto"/>
                </w:rPr>
                <w:t>Amended and Restated Bylaws of Ocwen Financial Corporation (2)</w:t>
              </w:r>
            </w:hyperlink>
          </w:p>
        </w:tc>
      </w:tr>
      <w:tr>
        <w:trPr>
          <w:trHeight w:val="168"/>
        </w:trPr>
        <w:tc>
          <w:tcPr>
            <w:tcW w:w="1840" w:type="dxa"/>
            <w:vAlign w:val="bottom"/>
          </w:tcPr>
          <w:p>
            <w:pPr>
              <w:ind w:left="1060"/>
              <w:spacing w:after="0" w:line="168" w:lineRule="exact"/>
              <w:rPr>
                <w:sz w:val="20"/>
                <w:szCs w:val="20"/>
                <w:color w:val="auto"/>
              </w:rPr>
            </w:pPr>
            <w:r>
              <w:rPr>
                <w:rFonts w:ascii="Arial" w:cs="Arial" w:eastAsia="Arial" w:hAnsi="Arial"/>
                <w:sz w:val="17"/>
                <w:szCs w:val="17"/>
                <w:color w:val="auto"/>
              </w:rPr>
              <w:t>4.1</w:t>
            </w:r>
          </w:p>
        </w:tc>
        <w:tc>
          <w:tcPr>
            <w:tcW w:w="9400" w:type="dxa"/>
            <w:vAlign w:val="bottom"/>
          </w:tcPr>
          <w:p>
            <w:pPr>
              <w:ind w:left="140"/>
              <w:spacing w:after="0" w:line="168" w:lineRule="exact"/>
              <w:rPr>
                <w:sz w:val="20"/>
                <w:szCs w:val="20"/>
                <w:color w:val="auto"/>
              </w:rPr>
            </w:pPr>
            <w:r>
              <w:rPr>
                <w:rFonts w:ascii="Arial" w:cs="Arial" w:eastAsia="Arial" w:hAnsi="Arial"/>
                <w:sz w:val="17"/>
                <w:szCs w:val="17"/>
                <w:color w:val="auto"/>
                <w:w w:val="92"/>
              </w:rPr>
              <w:t>The Company agrees to furnish to the Securities and Exchange Commission upon request a copy of each instrument with respect to</w:t>
            </w:r>
          </w:p>
        </w:tc>
      </w:tr>
      <w:tr>
        <w:trPr>
          <w:trHeight w:val="168"/>
        </w:trPr>
        <w:tc>
          <w:tcPr>
            <w:tcW w:w="1840" w:type="dxa"/>
            <w:vAlign w:val="bottom"/>
          </w:tcPr>
          <w:p>
            <w:pPr>
              <w:spacing w:after="0"/>
              <w:rPr>
                <w:sz w:val="14"/>
                <w:szCs w:val="14"/>
                <w:color w:val="auto"/>
              </w:rPr>
            </w:pPr>
          </w:p>
        </w:tc>
        <w:tc>
          <w:tcPr>
            <w:tcW w:w="9400" w:type="dxa"/>
            <w:vAlign w:val="bottom"/>
          </w:tcPr>
          <w:p>
            <w:pPr>
              <w:ind w:left="140"/>
              <w:spacing w:after="0" w:line="168" w:lineRule="exact"/>
              <w:rPr>
                <w:sz w:val="20"/>
                <w:szCs w:val="20"/>
                <w:color w:val="auto"/>
              </w:rPr>
            </w:pPr>
            <w:r>
              <w:rPr>
                <w:rFonts w:ascii="Arial" w:cs="Arial" w:eastAsia="Arial" w:hAnsi="Arial"/>
                <w:sz w:val="17"/>
                <w:szCs w:val="17"/>
                <w:color w:val="auto"/>
                <w:w w:val="93"/>
              </w:rPr>
              <w:t>the issuance of long-term debt of the Company and its subsidiaries, the authorized principal amount of which does not exceed 10%</w:t>
            </w:r>
          </w:p>
        </w:tc>
      </w:tr>
      <w:tr>
        <w:trPr>
          <w:trHeight w:val="219"/>
        </w:trPr>
        <w:tc>
          <w:tcPr>
            <w:tcW w:w="1840" w:type="dxa"/>
            <w:vAlign w:val="bottom"/>
          </w:tcPr>
          <w:p>
            <w:pPr>
              <w:spacing w:after="0"/>
              <w:rPr>
                <w:sz w:val="19"/>
                <w:szCs w:val="19"/>
                <w:color w:val="auto"/>
              </w:rPr>
            </w:pPr>
          </w:p>
        </w:tc>
        <w:tc>
          <w:tcPr>
            <w:tcW w:w="9400" w:type="dxa"/>
            <w:vAlign w:val="bottom"/>
          </w:tcPr>
          <w:p>
            <w:pPr>
              <w:ind w:left="140"/>
              <w:spacing w:after="0"/>
              <w:rPr>
                <w:sz w:val="20"/>
                <w:szCs w:val="20"/>
                <w:color w:val="auto"/>
              </w:rPr>
            </w:pPr>
            <w:r>
              <w:rPr>
                <w:rFonts w:ascii="Arial" w:cs="Arial" w:eastAsia="Arial" w:hAnsi="Arial"/>
                <w:sz w:val="17"/>
                <w:szCs w:val="17"/>
                <w:color w:val="auto"/>
              </w:rPr>
              <w:t>of the consolidated assets of the Company and its subsidiaries.</w:t>
            </w:r>
          </w:p>
        </w:tc>
      </w:tr>
      <w:tr>
        <w:trPr>
          <w:trHeight w:val="879"/>
        </w:trPr>
        <w:tc>
          <w:tcPr>
            <w:tcW w:w="1840" w:type="dxa"/>
            <w:vAlign w:val="bottom"/>
          </w:tcPr>
          <w:p>
            <w:pPr>
              <w:spacing w:after="0"/>
              <w:rPr>
                <w:sz w:val="24"/>
                <w:szCs w:val="24"/>
                <w:color w:val="auto"/>
              </w:rPr>
            </w:pPr>
          </w:p>
        </w:tc>
        <w:tc>
          <w:tcPr>
            <w:tcW w:w="9400" w:type="dxa"/>
            <w:vAlign w:val="bottom"/>
          </w:tcPr>
          <w:p>
            <w:pPr>
              <w:ind w:left="3700"/>
              <w:spacing w:after="0"/>
              <w:rPr>
                <w:sz w:val="20"/>
                <w:szCs w:val="20"/>
                <w:color w:val="auto"/>
              </w:rPr>
            </w:pPr>
            <w:r>
              <w:rPr>
                <w:rFonts w:ascii="Arial" w:cs="Arial" w:eastAsia="Arial" w:hAnsi="Arial"/>
                <w:sz w:val="17"/>
                <w:szCs w:val="17"/>
                <w:color w:val="auto"/>
              </w:rPr>
              <w:t>98</w:t>
            </w:r>
          </w:p>
        </w:tc>
      </w:tr>
      <w:tr>
        <w:trPr>
          <w:trHeight w:val="109"/>
        </w:trPr>
        <w:tc>
          <w:tcPr>
            <w:tcW w:w="1840" w:type="dxa"/>
            <w:vAlign w:val="bottom"/>
            <w:tcBorders>
              <w:bottom w:val="single" w:sz="8" w:color="9A9A9A"/>
            </w:tcBorders>
          </w:tcPr>
          <w:p>
            <w:pPr>
              <w:spacing w:after="0"/>
              <w:rPr>
                <w:sz w:val="9"/>
                <w:szCs w:val="9"/>
                <w:color w:val="auto"/>
              </w:rPr>
            </w:pPr>
          </w:p>
        </w:tc>
        <w:tc>
          <w:tcPr>
            <w:tcW w:w="94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67" w:right="339" w:bottom="1440" w:gutter="0" w:footer="0" w:header="0"/>
        </w:sectPr>
      </w:pPr>
    </w:p>
    <w:bookmarkStart w:id="100" w:name="page101"/>
    <w:bookmarkEnd w:id="100"/>
    <w:tbl>
      <w:tblPr>
        <w:tblLayout w:type="fixed"/>
        <w:tblInd w:w="1060" w:type="dxa"/>
        <w:tblCellMar>
          <w:top w:w="0" w:type="dxa"/>
          <w:left w:w="0" w:type="dxa"/>
          <w:bottom w:w="0" w:type="dxa"/>
          <w:right w:w="0" w:type="dxa"/>
        </w:tblCellMar>
      </w:tblPr>
      <w:tr>
        <w:trPr>
          <w:trHeight w:val="195"/>
        </w:trPr>
        <w:tc>
          <w:tcPr>
            <w:tcW w:w="660" w:type="dxa"/>
            <w:vAlign w:val="bottom"/>
          </w:tcPr>
          <w:p>
            <w:pPr>
              <w:spacing w:after="0"/>
              <w:rPr>
                <w:rFonts w:ascii="Arial" w:cs="Arial" w:eastAsia="Arial" w:hAnsi="Arial"/>
                <w:sz w:val="17"/>
                <w:szCs w:val="17"/>
                <w:color w:val="auto"/>
              </w:rPr>
            </w:pPr>
            <w:hyperlink w:anchor="page103">
              <w:r>
                <w:rPr>
                  <w:rFonts w:ascii="Arial" w:cs="Arial" w:eastAsia="Arial" w:hAnsi="Arial"/>
                  <w:sz w:val="17"/>
                  <w:szCs w:val="17"/>
                  <w:color w:val="auto"/>
                </w:rPr>
                <w:t>10.1†</w:t>
              </w:r>
            </w:hyperlink>
          </w:p>
        </w:tc>
        <w:tc>
          <w:tcPr>
            <w:tcW w:w="9340" w:type="dxa"/>
            <w:vAlign w:val="bottom"/>
          </w:tcPr>
          <w:p>
            <w:pPr>
              <w:ind w:left="260"/>
              <w:spacing w:after="0"/>
              <w:rPr>
                <w:rFonts w:ascii="Arial" w:cs="Arial" w:eastAsia="Arial" w:hAnsi="Arial"/>
                <w:sz w:val="17"/>
                <w:szCs w:val="17"/>
                <w:color w:val="auto"/>
                <w:w w:val="91"/>
              </w:rPr>
            </w:pPr>
            <w:hyperlink w:anchor="page103">
              <w:r>
                <w:rPr>
                  <w:rFonts w:ascii="Arial" w:cs="Arial" w:eastAsia="Arial" w:hAnsi="Arial"/>
                  <w:sz w:val="17"/>
                  <w:szCs w:val="17"/>
                  <w:color w:val="auto"/>
                  <w:w w:val="91"/>
                </w:rPr>
                <w:t>Amendment No. 3, dated as of May 2, 2022, to New RMSR Agreement dated as of January 18, 2018 by and among PHH Mortgage</w:t>
              </w:r>
            </w:hyperlink>
          </w:p>
        </w:tc>
      </w:tr>
      <w:tr>
        <w:trPr>
          <w:trHeight w:val="219"/>
        </w:trPr>
        <w:tc>
          <w:tcPr>
            <w:tcW w:w="660" w:type="dxa"/>
            <w:vAlign w:val="bottom"/>
          </w:tcPr>
          <w:p>
            <w:pPr>
              <w:spacing w:after="0"/>
              <w:rPr>
                <w:sz w:val="19"/>
                <w:szCs w:val="19"/>
                <w:color w:val="auto"/>
              </w:rPr>
            </w:pPr>
          </w:p>
        </w:tc>
        <w:tc>
          <w:tcPr>
            <w:tcW w:w="9340" w:type="dxa"/>
            <w:vAlign w:val="bottom"/>
          </w:tcPr>
          <w:p>
            <w:pPr>
              <w:ind w:left="260"/>
              <w:spacing w:after="0"/>
              <w:rPr>
                <w:rFonts w:ascii="Arial" w:cs="Arial" w:eastAsia="Arial" w:hAnsi="Arial"/>
                <w:sz w:val="17"/>
                <w:szCs w:val="17"/>
                <w:color w:val="auto"/>
                <w:w w:val="98"/>
              </w:rPr>
            </w:pPr>
            <w:hyperlink w:anchor="page103">
              <w:r>
                <w:rPr>
                  <w:rFonts w:ascii="Arial" w:cs="Arial" w:eastAsia="Arial" w:hAnsi="Arial"/>
                  <w:sz w:val="17"/>
                  <w:szCs w:val="17"/>
                  <w:color w:val="auto"/>
                  <w:w w:val="98"/>
                </w:rPr>
                <w:t>Corporation, HLSS Holdings, LLC, HLSS MSR - EBO Acquisition LLC, and New Residential Mortgage LLC (filed herewith)</w:t>
              </w:r>
            </w:hyperlink>
          </w:p>
        </w:tc>
      </w:tr>
      <w:tr>
        <w:trPr>
          <w:trHeight w:val="194"/>
        </w:trPr>
        <w:tc>
          <w:tcPr>
            <w:tcW w:w="660" w:type="dxa"/>
            <w:vAlign w:val="bottom"/>
          </w:tcPr>
          <w:p>
            <w:pPr>
              <w:spacing w:after="0" w:line="194" w:lineRule="exact"/>
              <w:rPr>
                <w:rFonts w:ascii="Arial" w:cs="Arial" w:eastAsia="Arial" w:hAnsi="Arial"/>
                <w:sz w:val="17"/>
                <w:szCs w:val="17"/>
                <w:color w:val="auto"/>
              </w:rPr>
            </w:pPr>
            <w:hyperlink w:anchor="page113">
              <w:r>
                <w:rPr>
                  <w:rFonts w:ascii="Arial" w:cs="Arial" w:eastAsia="Arial" w:hAnsi="Arial"/>
                  <w:sz w:val="17"/>
                  <w:szCs w:val="17"/>
                  <w:color w:val="auto"/>
                </w:rPr>
                <w:t>10.2†</w:t>
              </w:r>
            </w:hyperlink>
          </w:p>
        </w:tc>
        <w:tc>
          <w:tcPr>
            <w:tcW w:w="9340" w:type="dxa"/>
            <w:vAlign w:val="bottom"/>
          </w:tcPr>
          <w:p>
            <w:pPr>
              <w:ind w:left="260"/>
              <w:spacing w:after="0" w:line="194" w:lineRule="exact"/>
              <w:rPr>
                <w:rFonts w:ascii="Arial" w:cs="Arial" w:eastAsia="Arial" w:hAnsi="Arial"/>
                <w:sz w:val="17"/>
                <w:szCs w:val="17"/>
                <w:color w:val="auto"/>
                <w:w w:val="97"/>
              </w:rPr>
            </w:pPr>
            <w:hyperlink w:anchor="page113">
              <w:r>
                <w:rPr>
                  <w:rFonts w:ascii="Arial" w:cs="Arial" w:eastAsia="Arial" w:hAnsi="Arial"/>
                  <w:sz w:val="17"/>
                  <w:szCs w:val="17"/>
                  <w:color w:val="auto"/>
                  <w:w w:val="97"/>
                </w:rPr>
                <w:t>Amendment No. 3, dated as of May 2, 2022, to Subservicing Agreement dated as of July 23, 2017 between New Residential</w:t>
              </w:r>
            </w:hyperlink>
          </w:p>
        </w:tc>
      </w:tr>
      <w:tr>
        <w:trPr>
          <w:trHeight w:val="219"/>
        </w:trPr>
        <w:tc>
          <w:tcPr>
            <w:tcW w:w="660" w:type="dxa"/>
            <w:vAlign w:val="bottom"/>
          </w:tcPr>
          <w:p>
            <w:pPr>
              <w:spacing w:after="0"/>
              <w:rPr>
                <w:sz w:val="19"/>
                <w:szCs w:val="19"/>
                <w:color w:val="auto"/>
              </w:rPr>
            </w:pPr>
          </w:p>
        </w:tc>
        <w:tc>
          <w:tcPr>
            <w:tcW w:w="9340" w:type="dxa"/>
            <w:vAlign w:val="bottom"/>
          </w:tcPr>
          <w:p>
            <w:pPr>
              <w:ind w:left="260"/>
              <w:spacing w:after="0"/>
              <w:rPr>
                <w:rFonts w:ascii="Arial" w:cs="Arial" w:eastAsia="Arial" w:hAnsi="Arial"/>
                <w:sz w:val="17"/>
                <w:szCs w:val="17"/>
                <w:color w:val="auto"/>
              </w:rPr>
            </w:pPr>
            <w:hyperlink w:anchor="page113">
              <w:r>
                <w:rPr>
                  <w:rFonts w:ascii="Arial" w:cs="Arial" w:eastAsia="Arial" w:hAnsi="Arial"/>
                  <w:sz w:val="17"/>
                  <w:szCs w:val="17"/>
                  <w:color w:val="auto"/>
                </w:rPr>
                <w:t>Mortgage LLC and PHH Mortgage Corporation (filed herewith)</w:t>
              </w:r>
            </w:hyperlink>
          </w:p>
        </w:tc>
      </w:tr>
      <w:tr>
        <w:trPr>
          <w:trHeight w:val="194"/>
        </w:trPr>
        <w:tc>
          <w:tcPr>
            <w:tcW w:w="660" w:type="dxa"/>
            <w:vAlign w:val="bottom"/>
          </w:tcPr>
          <w:p>
            <w:pPr>
              <w:spacing w:after="0" w:line="194" w:lineRule="exact"/>
              <w:rPr>
                <w:rFonts w:ascii="Arial" w:cs="Arial" w:eastAsia="Arial" w:hAnsi="Arial"/>
                <w:sz w:val="17"/>
                <w:szCs w:val="17"/>
                <w:color w:val="auto"/>
              </w:rPr>
            </w:pPr>
            <w:hyperlink w:anchor="page121">
              <w:r>
                <w:rPr>
                  <w:rFonts w:ascii="Arial" w:cs="Arial" w:eastAsia="Arial" w:hAnsi="Arial"/>
                  <w:sz w:val="17"/>
                  <w:szCs w:val="17"/>
                  <w:color w:val="auto"/>
                </w:rPr>
                <w:t>10.3†</w:t>
              </w:r>
            </w:hyperlink>
          </w:p>
        </w:tc>
        <w:tc>
          <w:tcPr>
            <w:tcW w:w="9340" w:type="dxa"/>
            <w:vAlign w:val="bottom"/>
          </w:tcPr>
          <w:p>
            <w:pPr>
              <w:ind w:left="260"/>
              <w:spacing w:after="0" w:line="194" w:lineRule="exact"/>
              <w:rPr>
                <w:rFonts w:ascii="Arial" w:cs="Arial" w:eastAsia="Arial" w:hAnsi="Arial"/>
                <w:sz w:val="17"/>
                <w:szCs w:val="17"/>
                <w:color w:val="auto"/>
                <w:w w:val="93"/>
              </w:rPr>
            </w:pPr>
            <w:hyperlink w:anchor="page121">
              <w:r>
                <w:rPr>
                  <w:rFonts w:ascii="Arial" w:cs="Arial" w:eastAsia="Arial" w:hAnsi="Arial"/>
                  <w:sz w:val="17"/>
                  <w:szCs w:val="17"/>
                  <w:color w:val="auto"/>
                  <w:w w:val="93"/>
                </w:rPr>
                <w:t>Amendment No. 2, dated as of May 2, 2022, to Subservicing Agreement dated as of August 17, 2018 between NewRez LLC DBA</w:t>
              </w:r>
            </w:hyperlink>
          </w:p>
        </w:tc>
      </w:tr>
      <w:tr>
        <w:trPr>
          <w:trHeight w:val="219"/>
        </w:trPr>
        <w:tc>
          <w:tcPr>
            <w:tcW w:w="660" w:type="dxa"/>
            <w:vAlign w:val="bottom"/>
          </w:tcPr>
          <w:p>
            <w:pPr>
              <w:spacing w:after="0"/>
              <w:rPr>
                <w:sz w:val="19"/>
                <w:szCs w:val="19"/>
                <w:color w:val="auto"/>
              </w:rPr>
            </w:pPr>
          </w:p>
        </w:tc>
        <w:tc>
          <w:tcPr>
            <w:tcW w:w="9340" w:type="dxa"/>
            <w:vAlign w:val="bottom"/>
          </w:tcPr>
          <w:p>
            <w:pPr>
              <w:ind w:left="260"/>
              <w:spacing w:after="0"/>
              <w:rPr>
                <w:rFonts w:ascii="Arial" w:cs="Arial" w:eastAsia="Arial" w:hAnsi="Arial"/>
                <w:sz w:val="17"/>
                <w:szCs w:val="17"/>
                <w:color w:val="auto"/>
              </w:rPr>
            </w:pPr>
            <w:hyperlink w:anchor="page121">
              <w:r>
                <w:rPr>
                  <w:rFonts w:ascii="Arial" w:cs="Arial" w:eastAsia="Arial" w:hAnsi="Arial"/>
                  <w:sz w:val="17"/>
                  <w:szCs w:val="17"/>
                  <w:color w:val="auto"/>
                </w:rPr>
                <w:t>Shellpoint Mortgage Servicing and PHH Mortgage Corporation (filed herewith)</w:t>
              </w:r>
            </w:hyperlink>
          </w:p>
        </w:tc>
      </w:tr>
      <w:tr>
        <w:trPr>
          <w:trHeight w:val="233"/>
        </w:trPr>
        <w:tc>
          <w:tcPr>
            <w:tcW w:w="660" w:type="dxa"/>
            <w:vAlign w:val="bottom"/>
          </w:tcPr>
          <w:p>
            <w:pPr>
              <w:spacing w:after="0"/>
              <w:rPr>
                <w:rFonts w:ascii="Arial" w:cs="Arial" w:eastAsia="Arial" w:hAnsi="Arial"/>
                <w:sz w:val="17"/>
                <w:szCs w:val="17"/>
                <w:color w:val="auto"/>
              </w:rPr>
            </w:pPr>
            <w:hyperlink w:anchor="page129">
              <w:r>
                <w:rPr>
                  <w:rFonts w:ascii="Arial" w:cs="Arial" w:eastAsia="Arial" w:hAnsi="Arial"/>
                  <w:sz w:val="17"/>
                  <w:szCs w:val="17"/>
                  <w:color w:val="auto"/>
                </w:rPr>
                <w:t>10.4*</w:t>
              </w:r>
            </w:hyperlink>
          </w:p>
        </w:tc>
        <w:tc>
          <w:tcPr>
            <w:tcW w:w="9340" w:type="dxa"/>
            <w:vAlign w:val="bottom"/>
          </w:tcPr>
          <w:p>
            <w:pPr>
              <w:ind w:left="260"/>
              <w:spacing w:after="0"/>
              <w:rPr>
                <w:rFonts w:ascii="Arial" w:cs="Arial" w:eastAsia="Arial" w:hAnsi="Arial"/>
                <w:sz w:val="17"/>
                <w:szCs w:val="17"/>
                <w:color w:val="auto"/>
              </w:rPr>
            </w:pPr>
            <w:hyperlink w:anchor="page129">
              <w:r>
                <w:rPr>
                  <w:rFonts w:ascii="Arial" w:cs="Arial" w:eastAsia="Arial" w:hAnsi="Arial"/>
                  <w:sz w:val="17"/>
                  <w:szCs w:val="17"/>
                  <w:color w:val="auto"/>
                </w:rPr>
                <w:t>Offer Letter between Ocwen Financial Corporation and Sean B. O’Neil (filed herewith)</w:t>
              </w:r>
            </w:hyperlink>
          </w:p>
        </w:tc>
      </w:tr>
      <w:tr>
        <w:trPr>
          <w:trHeight w:val="233"/>
        </w:trPr>
        <w:tc>
          <w:tcPr>
            <w:tcW w:w="660" w:type="dxa"/>
            <w:vAlign w:val="bottom"/>
          </w:tcPr>
          <w:p>
            <w:pPr>
              <w:spacing w:after="0"/>
              <w:rPr>
                <w:rFonts w:ascii="Arial" w:cs="Arial" w:eastAsia="Arial" w:hAnsi="Arial"/>
                <w:sz w:val="17"/>
                <w:szCs w:val="17"/>
                <w:color w:val="auto"/>
              </w:rPr>
            </w:pPr>
            <w:hyperlink r:id="rId154">
              <w:r>
                <w:rPr>
                  <w:rFonts w:ascii="Arial" w:cs="Arial" w:eastAsia="Arial" w:hAnsi="Arial"/>
                  <w:sz w:val="17"/>
                  <w:szCs w:val="17"/>
                  <w:color w:val="auto"/>
                </w:rPr>
                <w:t>10.5*</w:t>
              </w:r>
            </w:hyperlink>
          </w:p>
        </w:tc>
        <w:tc>
          <w:tcPr>
            <w:tcW w:w="9340" w:type="dxa"/>
            <w:vAlign w:val="bottom"/>
          </w:tcPr>
          <w:p>
            <w:pPr>
              <w:ind w:left="260"/>
              <w:spacing w:after="0"/>
              <w:rPr>
                <w:rFonts w:ascii="Arial" w:cs="Arial" w:eastAsia="Arial" w:hAnsi="Arial"/>
                <w:sz w:val="17"/>
                <w:szCs w:val="17"/>
                <w:color w:val="auto"/>
              </w:rPr>
            </w:pPr>
            <w:hyperlink r:id="rId154">
              <w:r>
                <w:rPr>
                  <w:rFonts w:ascii="Arial" w:cs="Arial" w:eastAsia="Arial" w:hAnsi="Arial"/>
                  <w:sz w:val="17"/>
                  <w:szCs w:val="17"/>
                  <w:color w:val="auto"/>
                </w:rPr>
                <w:t>Ocwen Financial Corporation 2021 Equity Incentive Plan, as amended (3)</w:t>
              </w:r>
            </w:hyperlink>
          </w:p>
        </w:tc>
      </w:tr>
      <w:tr>
        <w:trPr>
          <w:trHeight w:val="685"/>
        </w:trPr>
        <w:tc>
          <w:tcPr>
            <w:tcW w:w="660" w:type="dxa"/>
            <w:vAlign w:val="bottom"/>
          </w:tcPr>
          <w:p>
            <w:pPr>
              <w:spacing w:after="0"/>
              <w:rPr>
                <w:rFonts w:ascii="Arial" w:cs="Arial" w:eastAsia="Arial" w:hAnsi="Arial"/>
                <w:sz w:val="17"/>
                <w:szCs w:val="17"/>
                <w:color w:val="auto"/>
              </w:rPr>
            </w:pPr>
            <w:hyperlink w:anchor="page133">
              <w:r>
                <w:rPr>
                  <w:rFonts w:ascii="Arial" w:cs="Arial" w:eastAsia="Arial" w:hAnsi="Arial"/>
                  <w:sz w:val="17"/>
                  <w:szCs w:val="17"/>
                  <w:color w:val="auto"/>
                </w:rPr>
                <w:t>31.1</w:t>
              </w:r>
            </w:hyperlink>
          </w:p>
        </w:tc>
        <w:tc>
          <w:tcPr>
            <w:tcW w:w="9340" w:type="dxa"/>
            <w:vAlign w:val="bottom"/>
          </w:tcPr>
          <w:p>
            <w:pPr>
              <w:ind w:left="260"/>
              <w:spacing w:after="0"/>
              <w:rPr>
                <w:rFonts w:ascii="Arial" w:cs="Arial" w:eastAsia="Arial" w:hAnsi="Arial"/>
                <w:sz w:val="17"/>
                <w:szCs w:val="17"/>
                <w:color w:val="auto"/>
              </w:rPr>
            </w:pPr>
            <w:hyperlink w:anchor="page133">
              <w:r>
                <w:rPr>
                  <w:rFonts w:ascii="Arial" w:cs="Arial" w:eastAsia="Arial" w:hAnsi="Arial"/>
                  <w:sz w:val="17"/>
                  <w:szCs w:val="17"/>
                  <w:color w:val="auto"/>
                </w:rPr>
                <w:t>Certification of the principal executive officer pursuant to Section 302 of the Sarbanes-Oxley Act of 2002 (filed herewith)</w:t>
              </w:r>
            </w:hyperlink>
          </w:p>
        </w:tc>
      </w:tr>
      <w:tr>
        <w:trPr>
          <w:trHeight w:val="220"/>
        </w:trPr>
        <w:tc>
          <w:tcPr>
            <w:tcW w:w="660" w:type="dxa"/>
            <w:vAlign w:val="bottom"/>
          </w:tcPr>
          <w:p>
            <w:pPr>
              <w:spacing w:after="0"/>
              <w:rPr>
                <w:rFonts w:ascii="Arial" w:cs="Arial" w:eastAsia="Arial" w:hAnsi="Arial"/>
                <w:sz w:val="17"/>
                <w:szCs w:val="17"/>
                <w:color w:val="auto"/>
              </w:rPr>
            </w:pPr>
            <w:hyperlink w:anchor="page134">
              <w:r>
                <w:rPr>
                  <w:rFonts w:ascii="Arial" w:cs="Arial" w:eastAsia="Arial" w:hAnsi="Arial"/>
                  <w:sz w:val="17"/>
                  <w:szCs w:val="17"/>
                  <w:color w:val="auto"/>
                </w:rPr>
                <w:t>31.2</w:t>
              </w:r>
            </w:hyperlink>
          </w:p>
        </w:tc>
        <w:tc>
          <w:tcPr>
            <w:tcW w:w="9340" w:type="dxa"/>
            <w:vAlign w:val="bottom"/>
          </w:tcPr>
          <w:p>
            <w:pPr>
              <w:ind w:left="260"/>
              <w:spacing w:after="0"/>
              <w:rPr>
                <w:rFonts w:ascii="Arial" w:cs="Arial" w:eastAsia="Arial" w:hAnsi="Arial"/>
                <w:sz w:val="17"/>
                <w:szCs w:val="17"/>
                <w:color w:val="auto"/>
              </w:rPr>
            </w:pPr>
            <w:hyperlink w:anchor="page134">
              <w:r>
                <w:rPr>
                  <w:rFonts w:ascii="Arial" w:cs="Arial" w:eastAsia="Arial" w:hAnsi="Arial"/>
                  <w:sz w:val="17"/>
                  <w:szCs w:val="17"/>
                  <w:color w:val="auto"/>
                </w:rPr>
                <w:t>Certification of the principal financial officer pursuant to Section 302 of the Sarbanes-Oxley Act of 2002 (filed herewith)</w:t>
              </w:r>
            </w:hyperlink>
          </w:p>
        </w:tc>
      </w:tr>
      <w:tr>
        <w:trPr>
          <w:trHeight w:val="168"/>
        </w:trPr>
        <w:tc>
          <w:tcPr>
            <w:tcW w:w="660" w:type="dxa"/>
            <w:vAlign w:val="bottom"/>
          </w:tcPr>
          <w:p>
            <w:pPr>
              <w:spacing w:after="0" w:line="168" w:lineRule="exact"/>
              <w:rPr>
                <w:rFonts w:ascii="Arial" w:cs="Arial" w:eastAsia="Arial" w:hAnsi="Arial"/>
                <w:sz w:val="17"/>
                <w:szCs w:val="17"/>
                <w:color w:val="auto"/>
              </w:rPr>
            </w:pPr>
            <w:hyperlink w:anchor="page135">
              <w:r>
                <w:rPr>
                  <w:rFonts w:ascii="Arial" w:cs="Arial" w:eastAsia="Arial" w:hAnsi="Arial"/>
                  <w:sz w:val="17"/>
                  <w:szCs w:val="17"/>
                  <w:color w:val="auto"/>
                </w:rPr>
                <w:t>32.1</w:t>
              </w:r>
            </w:hyperlink>
          </w:p>
        </w:tc>
        <w:tc>
          <w:tcPr>
            <w:tcW w:w="9340" w:type="dxa"/>
            <w:vAlign w:val="bottom"/>
          </w:tcPr>
          <w:p>
            <w:pPr>
              <w:ind w:left="260"/>
              <w:spacing w:after="0" w:line="168" w:lineRule="exact"/>
              <w:rPr>
                <w:rFonts w:ascii="Arial" w:cs="Arial" w:eastAsia="Arial" w:hAnsi="Arial"/>
                <w:sz w:val="17"/>
                <w:szCs w:val="17"/>
                <w:color w:val="auto"/>
                <w:w w:val="97"/>
              </w:rPr>
            </w:pPr>
            <w:hyperlink w:anchor="page135">
              <w:r>
                <w:rPr>
                  <w:rFonts w:ascii="Arial" w:cs="Arial" w:eastAsia="Arial" w:hAnsi="Arial"/>
                  <w:sz w:val="17"/>
                  <w:szCs w:val="17"/>
                  <w:color w:val="auto"/>
                  <w:w w:val="97"/>
                </w:rPr>
                <w:t>Certification of the principal executive officer pursuant to 18 U.S.C. Section 1350, as adopted pursuant to Section 906 of the</w:t>
              </w:r>
            </w:hyperlink>
          </w:p>
        </w:tc>
      </w:tr>
      <w:tr>
        <w:trPr>
          <w:trHeight w:val="219"/>
        </w:trPr>
        <w:tc>
          <w:tcPr>
            <w:tcW w:w="660" w:type="dxa"/>
            <w:vAlign w:val="bottom"/>
          </w:tcPr>
          <w:p>
            <w:pPr>
              <w:spacing w:after="0"/>
              <w:rPr>
                <w:sz w:val="19"/>
                <w:szCs w:val="19"/>
                <w:color w:val="auto"/>
              </w:rPr>
            </w:pPr>
          </w:p>
        </w:tc>
        <w:tc>
          <w:tcPr>
            <w:tcW w:w="9340" w:type="dxa"/>
            <w:vAlign w:val="bottom"/>
          </w:tcPr>
          <w:p>
            <w:pPr>
              <w:ind w:left="260"/>
              <w:spacing w:after="0"/>
              <w:rPr>
                <w:rFonts w:ascii="Arial" w:cs="Arial" w:eastAsia="Arial" w:hAnsi="Arial"/>
                <w:sz w:val="17"/>
                <w:szCs w:val="17"/>
                <w:color w:val="auto"/>
              </w:rPr>
            </w:pPr>
            <w:hyperlink w:anchor="page135">
              <w:r>
                <w:rPr>
                  <w:rFonts w:ascii="Arial" w:cs="Arial" w:eastAsia="Arial" w:hAnsi="Arial"/>
                  <w:sz w:val="17"/>
                  <w:szCs w:val="17"/>
                  <w:color w:val="auto"/>
                </w:rPr>
                <w:t>Sarbanes-Oxley Act of 2002 (furnished herewith)</w:t>
              </w:r>
            </w:hyperlink>
          </w:p>
        </w:tc>
      </w:tr>
      <w:tr>
        <w:trPr>
          <w:trHeight w:val="168"/>
        </w:trPr>
        <w:tc>
          <w:tcPr>
            <w:tcW w:w="660" w:type="dxa"/>
            <w:vAlign w:val="bottom"/>
          </w:tcPr>
          <w:p>
            <w:pPr>
              <w:spacing w:after="0" w:line="168" w:lineRule="exact"/>
              <w:rPr>
                <w:rFonts w:ascii="Arial" w:cs="Arial" w:eastAsia="Arial" w:hAnsi="Arial"/>
                <w:sz w:val="17"/>
                <w:szCs w:val="17"/>
                <w:color w:val="auto"/>
              </w:rPr>
            </w:pPr>
            <w:hyperlink w:anchor="page136">
              <w:r>
                <w:rPr>
                  <w:rFonts w:ascii="Arial" w:cs="Arial" w:eastAsia="Arial" w:hAnsi="Arial"/>
                  <w:sz w:val="17"/>
                  <w:szCs w:val="17"/>
                  <w:color w:val="auto"/>
                </w:rPr>
                <w:t>32.2</w:t>
              </w:r>
            </w:hyperlink>
          </w:p>
        </w:tc>
        <w:tc>
          <w:tcPr>
            <w:tcW w:w="9340" w:type="dxa"/>
            <w:vAlign w:val="bottom"/>
          </w:tcPr>
          <w:p>
            <w:pPr>
              <w:ind w:left="260"/>
              <w:spacing w:after="0" w:line="168" w:lineRule="exact"/>
              <w:rPr>
                <w:rFonts w:ascii="Arial" w:cs="Arial" w:eastAsia="Arial" w:hAnsi="Arial"/>
                <w:sz w:val="17"/>
                <w:szCs w:val="17"/>
                <w:color w:val="auto"/>
                <w:w w:val="98"/>
              </w:rPr>
            </w:pPr>
            <w:hyperlink w:anchor="page136">
              <w:r>
                <w:rPr>
                  <w:rFonts w:ascii="Arial" w:cs="Arial" w:eastAsia="Arial" w:hAnsi="Arial"/>
                  <w:sz w:val="17"/>
                  <w:szCs w:val="17"/>
                  <w:color w:val="auto"/>
                  <w:w w:val="98"/>
                </w:rPr>
                <w:t>Certification of the principal financial officer pursuant to 18 U.S.C. Section 1350, as adopted pursuant to Section 906 of the</w:t>
              </w:r>
            </w:hyperlink>
          </w:p>
        </w:tc>
      </w:tr>
      <w:tr>
        <w:trPr>
          <w:trHeight w:val="219"/>
        </w:trPr>
        <w:tc>
          <w:tcPr>
            <w:tcW w:w="660" w:type="dxa"/>
            <w:vAlign w:val="bottom"/>
          </w:tcPr>
          <w:p>
            <w:pPr>
              <w:spacing w:after="0"/>
              <w:rPr>
                <w:sz w:val="19"/>
                <w:szCs w:val="19"/>
                <w:color w:val="auto"/>
              </w:rPr>
            </w:pPr>
          </w:p>
        </w:tc>
        <w:tc>
          <w:tcPr>
            <w:tcW w:w="9340" w:type="dxa"/>
            <w:vAlign w:val="bottom"/>
          </w:tcPr>
          <w:p>
            <w:pPr>
              <w:ind w:left="260"/>
              <w:spacing w:after="0"/>
              <w:rPr>
                <w:rFonts w:ascii="Arial" w:cs="Arial" w:eastAsia="Arial" w:hAnsi="Arial"/>
                <w:sz w:val="17"/>
                <w:szCs w:val="17"/>
                <w:color w:val="auto"/>
              </w:rPr>
            </w:pPr>
            <w:hyperlink w:anchor="page136">
              <w:r>
                <w:rPr>
                  <w:rFonts w:ascii="Arial" w:cs="Arial" w:eastAsia="Arial" w:hAnsi="Arial"/>
                  <w:sz w:val="17"/>
                  <w:szCs w:val="17"/>
                  <w:color w:val="auto"/>
                </w:rPr>
                <w:t>Sarbanes-Oxley Act of 2002 (furnished herewith)</w:t>
              </w:r>
            </w:hyperlink>
          </w:p>
        </w:tc>
      </w:tr>
    </w:tbl>
    <w:p>
      <w:pPr>
        <w:ind w:left="1980" w:right="180" w:hanging="861"/>
        <w:spacing w:after="0" w:line="255" w:lineRule="auto"/>
        <w:tabs>
          <w:tab w:leader="none" w:pos="1980" w:val="left"/>
        </w:tabs>
        <w:numPr>
          <w:ilvl w:val="0"/>
          <w:numId w:val="67"/>
        </w:numPr>
        <w:rPr>
          <w:rFonts w:ascii="Arial" w:cs="Arial" w:eastAsia="Arial" w:hAnsi="Arial"/>
          <w:sz w:val="15"/>
          <w:szCs w:val="15"/>
          <w:color w:val="auto"/>
        </w:rPr>
      </w:pPr>
      <w:r>
        <w:rPr>
          <w:rFonts w:ascii="Arial" w:cs="Arial" w:eastAsia="Arial" w:hAnsi="Arial"/>
          <w:sz w:val="15"/>
          <w:szCs w:val="15"/>
          <w:color w:val="auto"/>
        </w:rPr>
        <w:t>The following financial statements from the Company’s Quarterly Report on Form 10-Q for the quarter ended June 30, 2022 were formatted in Inline XBRL: (i) Consolidated Balance Sheets, (ii) Consolidated Statements of Operations, (iii) Consolidated Statements of Comprehensive Income, (iv) Consolidated Statements of Changes in Equity, (v) Consolidated Statements of Cash Flows, and (v) the Notes to Unaudited Consolidated Financial Statements, tagged as blocks of text and including detailed tags.</w:t>
      </w:r>
    </w:p>
    <w:p>
      <w:pPr>
        <w:spacing w:after="0" w:line="223" w:lineRule="exact"/>
        <w:rPr>
          <w:sz w:val="20"/>
          <w:szCs w:val="20"/>
          <w:color w:val="auto"/>
        </w:rPr>
      </w:pPr>
    </w:p>
    <w:p>
      <w:pPr>
        <w:ind w:left="1980" w:hanging="861"/>
        <w:spacing w:after="0" w:line="237" w:lineRule="auto"/>
        <w:tabs>
          <w:tab w:leader="none" w:pos="1980" w:val="left"/>
        </w:tabs>
        <w:numPr>
          <w:ilvl w:val="1"/>
          <w:numId w:val="68"/>
        </w:numPr>
        <w:rPr>
          <w:rFonts w:ascii="Arial" w:cs="Arial" w:eastAsia="Arial" w:hAnsi="Arial"/>
          <w:sz w:val="17"/>
          <w:szCs w:val="17"/>
          <w:color w:val="auto"/>
        </w:rPr>
      </w:pPr>
      <w:r>
        <w:rPr>
          <w:rFonts w:ascii="Arial" w:cs="Arial" w:eastAsia="Arial" w:hAnsi="Arial"/>
          <w:sz w:val="17"/>
          <w:szCs w:val="17"/>
          <w:color w:val="auto"/>
        </w:rPr>
        <w:t>The cover page from the Company’s Quarterly Report on Form 10-Q for the quarter ended June 30, 2022, formatted in Inline XBRL (Included as Exhibit 101).</w:t>
      </w:r>
    </w:p>
    <w:p>
      <w:pPr>
        <w:spacing w:after="0" w:line="200" w:lineRule="exact"/>
        <w:rPr>
          <w:rFonts w:ascii="Arial" w:cs="Arial" w:eastAsia="Arial" w:hAnsi="Arial"/>
          <w:sz w:val="17"/>
          <w:szCs w:val="17"/>
          <w:color w:val="auto"/>
        </w:rPr>
      </w:pPr>
    </w:p>
    <w:p>
      <w:pPr>
        <w:spacing w:after="0" w:line="383" w:lineRule="exact"/>
        <w:rPr>
          <w:rFonts w:ascii="Arial" w:cs="Arial" w:eastAsia="Arial" w:hAnsi="Arial"/>
          <w:sz w:val="17"/>
          <w:szCs w:val="17"/>
          <w:color w:val="auto"/>
        </w:rPr>
      </w:pPr>
    </w:p>
    <w:p>
      <w:pPr>
        <w:ind w:left="320" w:hanging="317"/>
        <w:spacing w:after="0" w:line="238" w:lineRule="auto"/>
        <w:tabs>
          <w:tab w:leader="none" w:pos="268" w:val="left"/>
        </w:tabs>
        <w:numPr>
          <w:ilvl w:val="0"/>
          <w:numId w:val="68"/>
        </w:numPr>
        <w:rPr>
          <w:rFonts w:ascii="Arial" w:cs="Arial" w:eastAsia="Arial" w:hAnsi="Arial"/>
          <w:sz w:val="17"/>
          <w:szCs w:val="17"/>
          <w:color w:val="auto"/>
        </w:rPr>
      </w:pPr>
      <w:r>
        <w:rPr>
          <w:rFonts w:ascii="Arial" w:cs="Arial" w:eastAsia="Arial" w:hAnsi="Arial"/>
          <w:sz w:val="17"/>
          <w:szCs w:val="17"/>
          <w:color w:val="auto"/>
        </w:rPr>
        <w:t>Certain information has been omitted in accordance with Item 601(b)(10) of Regulation S-K because it is both not material and is the type of information that the Registrant treats as private or confidential. An unredacted copy will be furnished supplementally to the SEC upon request..</w:t>
      </w:r>
    </w:p>
    <w:p>
      <w:pPr>
        <w:spacing w:after="0" w:line="1" w:lineRule="exact"/>
        <w:rPr>
          <w:sz w:val="20"/>
          <w:szCs w:val="20"/>
          <w:color w:val="auto"/>
        </w:rPr>
      </w:pPr>
    </w:p>
    <w:p>
      <w:pPr>
        <w:spacing w:after="0"/>
        <w:tabs>
          <w:tab w:leader="none" w:pos="24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Management contract or compensatory plan or agreement.</w:t>
      </w:r>
    </w:p>
    <w:p>
      <w:pPr>
        <w:spacing w:after="0" w:line="36" w:lineRule="exact"/>
        <w:rPr>
          <w:sz w:val="20"/>
          <w:szCs w:val="20"/>
          <w:color w:val="auto"/>
        </w:rPr>
      </w:pPr>
    </w:p>
    <w:p>
      <w:pPr>
        <w:ind w:left="320" w:right="240" w:hanging="317"/>
        <w:spacing w:after="0" w:line="267" w:lineRule="auto"/>
        <w:tabs>
          <w:tab w:leader="none" w:pos="314" w:val="left"/>
        </w:tabs>
        <w:numPr>
          <w:ilvl w:val="0"/>
          <w:numId w:val="69"/>
        </w:numPr>
        <w:rPr>
          <w:rFonts w:ascii="Arial" w:cs="Arial" w:eastAsia="Arial" w:hAnsi="Arial"/>
          <w:sz w:val="17"/>
          <w:szCs w:val="17"/>
          <w:color w:val="auto"/>
        </w:rPr>
      </w:pPr>
      <w:r>
        <w:rPr>
          <w:rFonts w:ascii="Arial" w:cs="Arial" w:eastAsia="Arial" w:hAnsi="Arial"/>
          <w:sz w:val="17"/>
          <w:szCs w:val="17"/>
          <w:color w:val="auto"/>
        </w:rPr>
        <w:t>Incorporated by reference to the similarly described exhibit to the Registrant’s Form 10-Q for the period ended September 30, 2020 filed on November 3, 2020.</w:t>
      </w:r>
    </w:p>
    <w:p>
      <w:pPr>
        <w:spacing w:after="0" w:line="4" w:lineRule="exact"/>
        <w:rPr>
          <w:rFonts w:ascii="Arial" w:cs="Arial" w:eastAsia="Arial" w:hAnsi="Arial"/>
          <w:sz w:val="17"/>
          <w:szCs w:val="17"/>
          <w:color w:val="auto"/>
        </w:rPr>
      </w:pPr>
    </w:p>
    <w:p>
      <w:pPr>
        <w:ind w:left="300" w:hanging="297"/>
        <w:spacing w:after="0"/>
        <w:tabs>
          <w:tab w:leader="none" w:pos="300" w:val="left"/>
        </w:tabs>
        <w:numPr>
          <w:ilvl w:val="0"/>
          <w:numId w:val="69"/>
        </w:numPr>
        <w:rPr>
          <w:rFonts w:ascii="Arial" w:cs="Arial" w:eastAsia="Arial" w:hAnsi="Arial"/>
          <w:sz w:val="17"/>
          <w:szCs w:val="17"/>
          <w:color w:val="auto"/>
        </w:rPr>
      </w:pPr>
      <w:r>
        <w:rPr>
          <w:rFonts w:ascii="Arial" w:cs="Arial" w:eastAsia="Arial" w:hAnsi="Arial"/>
          <w:sz w:val="17"/>
          <w:szCs w:val="17"/>
          <w:color w:val="auto"/>
        </w:rPr>
        <w:t>Incorporated by reference to the similarly described exhibit to the Registrant’s Form 8-K filed on February 25, 2019.</w:t>
      </w:r>
    </w:p>
    <w:p>
      <w:pPr>
        <w:spacing w:after="0" w:line="50" w:lineRule="exact"/>
        <w:rPr>
          <w:rFonts w:ascii="Arial" w:cs="Arial" w:eastAsia="Arial" w:hAnsi="Arial"/>
          <w:sz w:val="17"/>
          <w:szCs w:val="17"/>
          <w:color w:val="auto"/>
        </w:rPr>
      </w:pPr>
    </w:p>
    <w:p>
      <w:pPr>
        <w:ind w:left="300" w:hanging="297"/>
        <w:spacing w:after="0"/>
        <w:tabs>
          <w:tab w:leader="none" w:pos="300" w:val="left"/>
        </w:tabs>
        <w:numPr>
          <w:ilvl w:val="0"/>
          <w:numId w:val="69"/>
        </w:numPr>
        <w:rPr>
          <w:rFonts w:ascii="Arial" w:cs="Arial" w:eastAsia="Arial" w:hAnsi="Arial"/>
          <w:sz w:val="17"/>
          <w:szCs w:val="17"/>
          <w:color w:val="auto"/>
        </w:rPr>
      </w:pPr>
      <w:r>
        <w:rPr>
          <w:rFonts w:ascii="Arial" w:cs="Arial" w:eastAsia="Arial" w:hAnsi="Arial"/>
          <w:sz w:val="17"/>
          <w:szCs w:val="17"/>
          <w:color w:val="auto"/>
        </w:rPr>
        <w:t>Incorporated by reference to the similarly described exhibit to the Registrant’s Form 8-K filed on May 27,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20"/>
          </w:cols>
          <w:pgMar w:left="320" w:top="978" w:right="459" w:bottom="1440" w:gutter="0" w:footer="0" w:header="0"/>
        </w:sectPr>
      </w:pPr>
    </w:p>
    <w:bookmarkStart w:id="101" w:name="page102"/>
    <w:bookmarkEnd w:id="101"/>
    <w:p>
      <w:pPr>
        <w:jc w:val="center"/>
        <w:ind w:right="-39"/>
        <w:spacing w:after="0"/>
        <w:rPr>
          <w:sz w:val="20"/>
          <w:szCs w:val="20"/>
          <w:color w:val="auto"/>
        </w:rPr>
      </w:pPr>
      <w:r>
        <w:rPr>
          <w:rFonts w:ascii="Arial" w:cs="Arial" w:eastAsia="Arial" w:hAnsi="Arial"/>
          <w:sz w:val="17"/>
          <w:szCs w:val="17"/>
          <w:b w:val="1"/>
          <w:bCs w:val="1"/>
          <w:color w:val="auto"/>
        </w:rPr>
        <w:t>Signatures</w:t>
      </w:r>
    </w:p>
    <w:p>
      <w:pPr>
        <w:spacing w:after="0" w:line="121" w:lineRule="exact"/>
        <w:rPr>
          <w:sz w:val="20"/>
          <w:szCs w:val="20"/>
          <w:color w:val="auto"/>
        </w:rPr>
      </w:pPr>
    </w:p>
    <w:p>
      <w:pPr>
        <w:spacing w:after="0" w:line="283" w:lineRule="auto"/>
        <w:rPr>
          <w:sz w:val="20"/>
          <w:szCs w:val="20"/>
          <w:color w:val="auto"/>
        </w:rPr>
      </w:pPr>
      <w:r>
        <w:rPr>
          <w:rFonts w:ascii="Arial" w:cs="Arial" w:eastAsia="Arial" w:hAnsi="Arial"/>
          <w:sz w:val="17"/>
          <w:szCs w:val="17"/>
          <w:color w:val="auto"/>
        </w:rPr>
        <w:t>Pursuant to the requirements of Section 13 or 15(d) of the Securities Exchange Act of 1934, as amended, the Registrant has duly caused this report to be signed on its behalf by the undersigned, thereunto duly authorized.</w:t>
      </w:r>
    </w:p>
    <w:p>
      <w:pPr>
        <w:spacing w:after="0" w:line="82" w:lineRule="exact"/>
        <w:rPr>
          <w:sz w:val="20"/>
          <w:szCs w:val="20"/>
          <w:color w:val="auto"/>
        </w:rPr>
      </w:pPr>
    </w:p>
    <w:p>
      <w:pPr>
        <w:ind w:left="5520"/>
        <w:spacing w:after="0"/>
        <w:rPr>
          <w:sz w:val="20"/>
          <w:szCs w:val="20"/>
          <w:color w:val="auto"/>
        </w:rPr>
      </w:pPr>
      <w:r>
        <w:rPr>
          <w:rFonts w:ascii="Arial" w:cs="Arial" w:eastAsia="Arial" w:hAnsi="Arial"/>
          <w:sz w:val="17"/>
          <w:szCs w:val="17"/>
          <w:color w:val="auto"/>
        </w:rPr>
        <w:t>Ocwen Financial Corporation</w:t>
      </w:r>
    </w:p>
    <w:p>
      <w:pPr>
        <w:spacing w:after="0" w:line="244" w:lineRule="exact"/>
        <w:rPr>
          <w:sz w:val="20"/>
          <w:szCs w:val="20"/>
          <w:color w:val="auto"/>
        </w:rPr>
      </w:pPr>
    </w:p>
    <w:p>
      <w:pPr>
        <w:ind w:left="5520"/>
        <w:spacing w:after="0"/>
        <w:tabs>
          <w:tab w:leader="none" w:pos="622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Sean B. O’Neil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3956685</wp:posOffset>
            </wp:positionH>
            <wp:positionV relativeFrom="paragraph">
              <wp:posOffset>15240</wp:posOffset>
            </wp:positionV>
            <wp:extent cx="31673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6">
                      <a:extLst>
                        <a:ext uri="{28A0092B-C50C-407E-A947-70E740481C1C}"/>
                      </a:extLst>
                    </a:blip>
                    <a:srcRect/>
                    <a:stretch>
                      <a:fillRect/>
                    </a:stretch>
                  </pic:blipFill>
                  <pic:spPr bwMode="auto">
                    <a:xfrm>
                      <a:off x="0" y="0"/>
                      <a:ext cx="3167380" cy="8255"/>
                    </a:xfrm>
                    <a:prstGeom prst="rect">
                      <a:avLst/>
                    </a:prstGeom>
                    <a:noFill/>
                  </pic:spPr>
                </pic:pic>
              </a:graphicData>
            </a:graphic>
          </wp:anchor>
        </w:drawing>
      </w:r>
    </w:p>
    <w:p>
      <w:pPr>
        <w:spacing w:after="0" w:line="210" w:lineRule="exact"/>
        <w:rPr>
          <w:sz w:val="20"/>
          <w:szCs w:val="20"/>
          <w:color w:val="auto"/>
        </w:rPr>
      </w:pPr>
    </w:p>
    <w:p>
      <w:pPr>
        <w:ind w:left="6240"/>
        <w:spacing w:after="0"/>
        <w:rPr>
          <w:sz w:val="20"/>
          <w:szCs w:val="20"/>
          <w:color w:val="auto"/>
        </w:rPr>
      </w:pPr>
      <w:r>
        <w:rPr>
          <w:rFonts w:ascii="Arial" w:cs="Arial" w:eastAsia="Arial" w:hAnsi="Arial"/>
          <w:sz w:val="17"/>
          <w:szCs w:val="17"/>
          <w:color w:val="auto"/>
        </w:rPr>
        <w:t>Executive Vice President and Chief Financial Officer</w:t>
      </w:r>
    </w:p>
    <w:p>
      <w:pPr>
        <w:ind w:left="6240"/>
        <w:spacing w:after="0"/>
        <w:rPr>
          <w:sz w:val="20"/>
          <w:szCs w:val="20"/>
          <w:color w:val="auto"/>
        </w:rPr>
      </w:pPr>
      <w:r>
        <w:rPr>
          <w:rFonts w:ascii="Arial" w:cs="Arial" w:eastAsia="Arial" w:hAnsi="Arial"/>
          <w:sz w:val="17"/>
          <w:szCs w:val="17"/>
          <w:color w:val="auto"/>
        </w:rPr>
        <w:t>(On behalf of the Registrant and as its principal financial officer)</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17"/>
          <w:szCs w:val="17"/>
          <w:color w:val="auto"/>
        </w:rPr>
        <w:t>Date: August 4,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100</w:t>
      </w:r>
    </w:p>
    <w:p>
      <w:pPr>
        <w:sectPr>
          <w:pgSz w:w="11900" w:h="16838" w:orient="portrait"/>
          <w:cols w:equalWidth="0" w:num="1">
            <w:col w:w="11200"/>
          </w:cols>
          <w:pgMar w:left="320" w:top="1013" w:right="379" w:bottom="1440" w:gutter="0" w:footer="0" w:header="0"/>
        </w:sectPr>
      </w:pPr>
    </w:p>
    <w:bookmarkStart w:id="102" w:name="page103"/>
    <w:bookmarkEnd w:id="102"/>
    <w:p>
      <w:pPr>
        <w:jc w:val="right"/>
        <w:spacing w:after="0"/>
        <w:rPr>
          <w:sz w:val="20"/>
          <w:szCs w:val="20"/>
          <w:color w:val="auto"/>
        </w:rPr>
      </w:pPr>
      <w:r>
        <w:rPr>
          <w:rFonts w:ascii="Arial" w:cs="Arial" w:eastAsia="Arial" w:hAnsi="Arial"/>
          <w:sz w:val="21"/>
          <w:szCs w:val="21"/>
          <w:b w:val="1"/>
          <w:bCs w:val="1"/>
          <w:color w:val="auto"/>
        </w:rPr>
        <w:t>EXECUTION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line="242" w:lineRule="auto"/>
        <w:rPr>
          <w:sz w:val="20"/>
          <w:szCs w:val="20"/>
          <w:color w:val="auto"/>
        </w:rPr>
      </w:pPr>
      <w:r>
        <w:rPr>
          <w:rFonts w:ascii="Arial" w:cs="Arial" w:eastAsia="Arial" w:hAnsi="Arial"/>
          <w:sz w:val="21"/>
          <w:szCs w:val="21"/>
          <w:color w:val="auto"/>
        </w:rPr>
        <w:t>Certain information has been omitted in accordance with Item 601(b)(10) of Regulation S-K because it is both not material and is the type of information that the registrant treats as private or confidential. An unredacted copy will be furnished supplementally to the SEC upon request.</w:t>
      </w:r>
    </w:p>
    <w:p>
      <w:pPr>
        <w:spacing w:after="0" w:line="200" w:lineRule="exact"/>
        <w:rPr>
          <w:sz w:val="20"/>
          <w:szCs w:val="20"/>
          <w:color w:val="auto"/>
        </w:rPr>
      </w:pPr>
    </w:p>
    <w:p>
      <w:pPr>
        <w:jc w:val="center"/>
        <w:ind w:right="40"/>
        <w:spacing w:after="0"/>
        <w:rPr>
          <w:sz w:val="20"/>
          <w:szCs w:val="20"/>
          <w:color w:val="auto"/>
        </w:rPr>
      </w:pPr>
      <w:r>
        <w:rPr>
          <w:rFonts w:ascii="Arial" w:cs="Arial" w:eastAsia="Arial" w:hAnsi="Arial"/>
          <w:sz w:val="21"/>
          <w:szCs w:val="21"/>
          <w:color w:val="auto"/>
        </w:rPr>
        <w:t>AMENDMENT NUMBER THREE</w:t>
      </w:r>
    </w:p>
    <w:p>
      <w:pPr>
        <w:jc w:val="center"/>
        <w:ind w:right="40"/>
        <w:spacing w:after="0"/>
        <w:rPr>
          <w:sz w:val="20"/>
          <w:szCs w:val="20"/>
          <w:color w:val="auto"/>
        </w:rPr>
      </w:pPr>
      <w:r>
        <w:rPr>
          <w:rFonts w:ascii="Arial" w:cs="Arial" w:eastAsia="Arial" w:hAnsi="Arial"/>
          <w:sz w:val="21"/>
          <w:szCs w:val="21"/>
          <w:color w:val="auto"/>
        </w:rPr>
        <w:t>New RMSR Agreement</w:t>
      </w:r>
    </w:p>
    <w:p>
      <w:pPr>
        <w:jc w:val="center"/>
        <w:ind w:right="40"/>
        <w:spacing w:after="0" w:line="231" w:lineRule="auto"/>
        <w:rPr>
          <w:sz w:val="20"/>
          <w:szCs w:val="20"/>
          <w:color w:val="auto"/>
        </w:rPr>
      </w:pPr>
      <w:r>
        <w:rPr>
          <w:rFonts w:ascii="Arial" w:cs="Arial" w:eastAsia="Arial" w:hAnsi="Arial"/>
          <w:sz w:val="21"/>
          <w:szCs w:val="21"/>
          <w:color w:val="auto"/>
        </w:rPr>
        <w:t>by and among</w:t>
      </w:r>
    </w:p>
    <w:p>
      <w:pPr>
        <w:jc w:val="center"/>
        <w:spacing w:after="0"/>
        <w:rPr>
          <w:sz w:val="20"/>
          <w:szCs w:val="20"/>
          <w:color w:val="auto"/>
        </w:rPr>
      </w:pPr>
      <w:r>
        <w:rPr>
          <w:rFonts w:ascii="Arial" w:cs="Arial" w:eastAsia="Arial" w:hAnsi="Arial"/>
          <w:sz w:val="21"/>
          <w:szCs w:val="21"/>
          <w:color w:val="auto"/>
        </w:rPr>
        <w:t>NEW RESIDENTIAL MORTGAGE LLC</w:t>
      </w:r>
    </w:p>
    <w:p>
      <w:pPr>
        <w:jc w:val="center"/>
        <w:spacing w:after="0" w:line="235" w:lineRule="auto"/>
        <w:rPr>
          <w:sz w:val="20"/>
          <w:szCs w:val="20"/>
          <w:color w:val="auto"/>
        </w:rPr>
      </w:pPr>
      <w:r>
        <w:rPr>
          <w:rFonts w:ascii="Arial" w:cs="Arial" w:eastAsia="Arial" w:hAnsi="Arial"/>
          <w:sz w:val="21"/>
          <w:szCs w:val="21"/>
          <w:color w:val="auto"/>
        </w:rPr>
        <w:t>HLSS HOLDINGS, LLC</w:t>
      </w:r>
    </w:p>
    <w:p>
      <w:pPr>
        <w:jc w:val="center"/>
        <w:spacing w:after="0" w:line="231" w:lineRule="auto"/>
        <w:rPr>
          <w:sz w:val="20"/>
          <w:szCs w:val="20"/>
          <w:color w:val="auto"/>
        </w:rPr>
      </w:pPr>
      <w:r>
        <w:rPr>
          <w:rFonts w:ascii="Arial" w:cs="Arial" w:eastAsia="Arial" w:hAnsi="Arial"/>
          <w:sz w:val="21"/>
          <w:szCs w:val="21"/>
          <w:color w:val="auto"/>
        </w:rPr>
        <w:t>HLSS MSR - EBO ACQUISITION LLC</w:t>
      </w:r>
    </w:p>
    <w:p>
      <w:pPr>
        <w:jc w:val="center"/>
        <w:ind w:right="40"/>
        <w:spacing w:after="0" w:line="231" w:lineRule="auto"/>
        <w:rPr>
          <w:sz w:val="20"/>
          <w:szCs w:val="20"/>
          <w:color w:val="auto"/>
        </w:rPr>
      </w:pPr>
      <w:r>
        <w:rPr>
          <w:rFonts w:ascii="Arial" w:cs="Arial" w:eastAsia="Arial" w:hAnsi="Arial"/>
          <w:sz w:val="21"/>
          <w:szCs w:val="21"/>
          <w:color w:val="auto"/>
        </w:rPr>
        <w:t>and</w:t>
      </w:r>
    </w:p>
    <w:p>
      <w:pPr>
        <w:jc w:val="center"/>
        <w:spacing w:after="0" w:line="231" w:lineRule="auto"/>
        <w:rPr>
          <w:sz w:val="20"/>
          <w:szCs w:val="20"/>
          <w:color w:val="auto"/>
        </w:rPr>
      </w:pPr>
      <w:r>
        <w:rPr>
          <w:rFonts w:ascii="Arial" w:cs="Arial" w:eastAsia="Arial" w:hAnsi="Arial"/>
          <w:sz w:val="21"/>
          <w:szCs w:val="21"/>
          <w:color w:val="auto"/>
        </w:rPr>
        <w:t>PHH MORTGAGE CORPORATION (as successor by merger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OCWEN LOAN SERVICING, LLC)</w:t>
      </w:r>
    </w:p>
    <w:p>
      <w:pPr>
        <w:spacing w:after="0" w:line="200" w:lineRule="exact"/>
        <w:rPr>
          <w:sz w:val="20"/>
          <w:szCs w:val="20"/>
          <w:color w:val="auto"/>
        </w:rPr>
      </w:pPr>
    </w:p>
    <w:p>
      <w:pPr>
        <w:jc w:val="both"/>
        <w:ind w:firstLine="1240"/>
        <w:spacing w:after="0" w:line="253" w:lineRule="auto"/>
        <w:rPr>
          <w:sz w:val="20"/>
          <w:szCs w:val="20"/>
          <w:color w:val="auto"/>
        </w:rPr>
      </w:pPr>
      <w:r>
        <w:rPr>
          <w:rFonts w:ascii="Arial" w:cs="Arial" w:eastAsia="Arial" w:hAnsi="Arial"/>
          <w:sz w:val="20"/>
          <w:szCs w:val="20"/>
          <w:color w:val="auto"/>
        </w:rPr>
        <w:t xml:space="preserve">This AMENDMENT NUMBER THREE is dated as of May 2, 2022, by and between </w:t>
      </w:r>
      <w:r>
        <w:rPr>
          <w:rFonts w:ascii="Arial" w:cs="Arial" w:eastAsia="Arial" w:hAnsi="Arial"/>
          <w:sz w:val="20"/>
          <w:szCs w:val="20"/>
          <w:b w:val="1"/>
          <w:bCs w:val="1"/>
          <w:color w:val="auto"/>
        </w:rPr>
        <w:t>PHH MORTGAGE</w:t>
      </w:r>
      <w:r>
        <w:rPr>
          <w:rFonts w:ascii="Arial" w:cs="Arial" w:eastAsia="Arial" w:hAnsi="Arial"/>
          <w:sz w:val="20"/>
          <w:szCs w:val="20"/>
          <w:color w:val="auto"/>
        </w:rPr>
        <w:t xml:space="preserve"> </w:t>
      </w:r>
      <w:r>
        <w:rPr>
          <w:rFonts w:ascii="Arial" w:cs="Arial" w:eastAsia="Arial" w:hAnsi="Arial"/>
          <w:sz w:val="20"/>
          <w:szCs w:val="20"/>
          <w:b w:val="1"/>
          <w:bCs w:val="1"/>
          <w:color w:val="auto"/>
        </w:rPr>
        <w:t xml:space="preserve">CORPORATION </w:t>
      </w:r>
      <w:r>
        <w:rPr>
          <w:rFonts w:ascii="Arial" w:cs="Arial" w:eastAsia="Arial" w:hAnsi="Arial"/>
          <w:sz w:val="20"/>
          <w:szCs w:val="20"/>
          <w:color w:val="auto"/>
        </w:rPr>
        <w:t>(as successor by merger to OCWEN LOAN SERVICING, LLC), as seller (the “</w:t>
      </w:r>
      <w:r>
        <w:rPr>
          <w:rFonts w:ascii="Arial" w:cs="Arial" w:eastAsia="Arial" w:hAnsi="Arial"/>
          <w:sz w:val="20"/>
          <w:szCs w:val="20"/>
          <w:u w:val="single" w:color="auto"/>
          <w:color w:val="auto"/>
        </w:rPr>
        <w:t>Seller</w:t>
      </w:r>
      <w:r>
        <w:rPr>
          <w:rFonts w:ascii="Arial" w:cs="Arial" w:eastAsia="Arial" w:hAnsi="Arial"/>
          <w:sz w:val="20"/>
          <w:szCs w:val="20"/>
          <w:color w:val="auto"/>
        </w:rPr>
        <w:t>”),</w:t>
      </w:r>
      <w:r>
        <w:rPr>
          <w:rFonts w:ascii="Arial" w:cs="Arial" w:eastAsia="Arial" w:hAnsi="Arial"/>
          <w:sz w:val="20"/>
          <w:szCs w:val="20"/>
          <w:b w:val="1"/>
          <w:bCs w:val="1"/>
          <w:color w:val="auto"/>
        </w:rPr>
        <w:t xml:space="preserve"> HLSS HOLDINGS, LLC </w:t>
      </w:r>
      <w:r>
        <w:rPr>
          <w:rFonts w:ascii="Arial" w:cs="Arial" w:eastAsia="Arial" w:hAnsi="Arial"/>
          <w:sz w:val="20"/>
          <w:szCs w:val="20"/>
          <w:color w:val="auto"/>
        </w:rPr>
        <w:t>(“</w:t>
      </w:r>
      <w:r>
        <w:rPr>
          <w:rFonts w:ascii="Arial" w:cs="Arial" w:eastAsia="Arial" w:hAnsi="Arial"/>
          <w:sz w:val="20"/>
          <w:szCs w:val="20"/>
          <w:u w:val="single" w:color="auto"/>
          <w:color w:val="auto"/>
        </w:rPr>
        <w:t>Holdings</w:t>
      </w:r>
      <w:r>
        <w:rPr>
          <w:rFonts w:ascii="Arial" w:cs="Arial" w:eastAsia="Arial" w:hAnsi="Arial"/>
          <w:sz w:val="20"/>
          <w:szCs w:val="20"/>
          <w:color w:val="auto"/>
        </w:rPr>
        <w:t xml:space="preserve">”), </w:t>
      </w:r>
      <w:r>
        <w:rPr>
          <w:rFonts w:ascii="Arial" w:cs="Arial" w:eastAsia="Arial" w:hAnsi="Arial"/>
          <w:sz w:val="20"/>
          <w:szCs w:val="20"/>
          <w:b w:val="1"/>
          <w:bCs w:val="1"/>
          <w:color w:val="auto"/>
        </w:rPr>
        <w:t>HLSS MSR – EBO ACQUISITION LLC</w:t>
      </w:r>
      <w:r>
        <w:rPr>
          <w:rFonts w:ascii="Arial" w:cs="Arial" w:eastAsia="Arial" w:hAnsi="Arial"/>
          <w:sz w:val="20"/>
          <w:szCs w:val="20"/>
          <w:color w:val="auto"/>
        </w:rPr>
        <w:t>, (“</w:t>
      </w:r>
      <w:r>
        <w:rPr>
          <w:rFonts w:ascii="Arial" w:cs="Arial" w:eastAsia="Arial" w:hAnsi="Arial"/>
          <w:sz w:val="20"/>
          <w:szCs w:val="20"/>
          <w:u w:val="single" w:color="auto"/>
          <w:color w:val="auto"/>
        </w:rPr>
        <w:t>MSR – EBO</w:t>
      </w:r>
      <w:r>
        <w:rPr>
          <w:rFonts w:ascii="Arial" w:cs="Arial" w:eastAsia="Arial" w:hAnsi="Arial"/>
          <w:sz w:val="20"/>
          <w:szCs w:val="20"/>
          <w:color w:val="auto"/>
        </w:rPr>
        <w:t>” and together with Holdings, the “</w:t>
      </w:r>
      <w:r>
        <w:rPr>
          <w:rFonts w:ascii="Arial" w:cs="Arial" w:eastAsia="Arial" w:hAnsi="Arial"/>
          <w:sz w:val="20"/>
          <w:szCs w:val="20"/>
          <w:u w:val="single" w:color="auto"/>
          <w:color w:val="auto"/>
        </w:rPr>
        <w:t>Purchasers</w:t>
      </w:r>
      <w:r>
        <w:rPr>
          <w:rFonts w:ascii="Arial" w:cs="Arial" w:eastAsia="Arial" w:hAnsi="Arial"/>
          <w:sz w:val="20"/>
          <w:szCs w:val="20"/>
          <w:color w:val="auto"/>
        </w:rPr>
        <w:t xml:space="preserve"> ”) and </w:t>
      </w:r>
      <w:r>
        <w:rPr>
          <w:rFonts w:ascii="Arial" w:cs="Arial" w:eastAsia="Arial" w:hAnsi="Arial"/>
          <w:sz w:val="20"/>
          <w:szCs w:val="20"/>
          <w:b w:val="1"/>
          <w:bCs w:val="1"/>
          <w:color w:val="auto"/>
        </w:rPr>
        <w:t>NEW</w:t>
      </w:r>
      <w:r>
        <w:rPr>
          <w:rFonts w:ascii="Arial" w:cs="Arial" w:eastAsia="Arial" w:hAnsi="Arial"/>
          <w:sz w:val="20"/>
          <w:szCs w:val="20"/>
          <w:color w:val="auto"/>
        </w:rPr>
        <w:t xml:space="preserve"> </w:t>
      </w:r>
      <w:r>
        <w:rPr>
          <w:rFonts w:ascii="Arial" w:cs="Arial" w:eastAsia="Arial" w:hAnsi="Arial"/>
          <w:sz w:val="20"/>
          <w:szCs w:val="20"/>
          <w:b w:val="1"/>
          <w:bCs w:val="1"/>
          <w:color w:val="auto"/>
        </w:rPr>
        <w:t xml:space="preserve">RESIDENTIAL MORTGAGE LLC </w:t>
      </w:r>
      <w:r>
        <w:rPr>
          <w:rFonts w:ascii="Arial" w:cs="Arial" w:eastAsia="Arial" w:hAnsi="Arial"/>
          <w:sz w:val="20"/>
          <w:szCs w:val="20"/>
          <w:color w:val="auto"/>
        </w:rPr>
        <w:t>(“</w:t>
      </w:r>
      <w:r>
        <w:rPr>
          <w:rFonts w:ascii="Arial" w:cs="Arial" w:eastAsia="Arial" w:hAnsi="Arial"/>
          <w:sz w:val="20"/>
          <w:szCs w:val="20"/>
          <w:u w:val="single" w:color="auto"/>
          <w:color w:val="auto"/>
        </w:rPr>
        <w:t>NRM</w:t>
      </w:r>
      <w:r>
        <w:rPr>
          <w:rFonts w:ascii="Arial" w:cs="Arial" w:eastAsia="Arial" w:hAnsi="Arial"/>
          <w:sz w:val="20"/>
          <w:szCs w:val="20"/>
          <w:color w:val="auto"/>
        </w:rPr>
        <w:t>”), to that certain New RMSR Agreement, dated as of January 18, 2018 (as amended</w:t>
      </w:r>
      <w:r>
        <w:rPr>
          <w:rFonts w:ascii="Arial" w:cs="Arial" w:eastAsia="Arial" w:hAnsi="Arial"/>
          <w:sz w:val="20"/>
          <w:szCs w:val="20"/>
          <w:b w:val="1"/>
          <w:bCs w:val="1"/>
          <w:color w:val="auto"/>
        </w:rPr>
        <w:t xml:space="preserve"> </w:t>
      </w:r>
      <w:r>
        <w:rPr>
          <w:rFonts w:ascii="Arial" w:cs="Arial" w:eastAsia="Arial" w:hAnsi="Arial"/>
          <w:sz w:val="20"/>
          <w:szCs w:val="20"/>
          <w:color w:val="auto"/>
        </w:rPr>
        <w:t>through the date hereof, the “</w:t>
      </w:r>
      <w:r>
        <w:rPr>
          <w:rFonts w:ascii="Arial" w:cs="Arial" w:eastAsia="Arial" w:hAnsi="Arial"/>
          <w:sz w:val="20"/>
          <w:szCs w:val="20"/>
          <w:u w:val="single" w:color="auto"/>
          <w:color w:val="auto"/>
        </w:rPr>
        <w:t>Agreement</w:t>
      </w:r>
      <w:r>
        <w:rPr>
          <w:rFonts w:ascii="Arial" w:cs="Arial" w:eastAsia="Arial" w:hAnsi="Arial"/>
          <w:sz w:val="20"/>
          <w:szCs w:val="20"/>
          <w:color w:val="auto"/>
        </w:rPr>
        <w:t>”), by and among the Seller, the Purchasers and NRM.</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1"/>
          <w:szCs w:val="21"/>
          <w:b w:val="1"/>
          <w:bCs w:val="1"/>
          <w:u w:val="single" w:color="auto"/>
          <w:color w:val="auto"/>
        </w:rPr>
        <w:t>RECITALS</w:t>
      </w:r>
    </w:p>
    <w:p>
      <w:pPr>
        <w:spacing w:after="0" w:line="224" w:lineRule="exact"/>
        <w:rPr>
          <w:sz w:val="20"/>
          <w:szCs w:val="20"/>
          <w:color w:val="auto"/>
        </w:rPr>
      </w:pPr>
    </w:p>
    <w:p>
      <w:pPr>
        <w:jc w:val="both"/>
        <w:ind w:firstLine="1240"/>
        <w:spacing w:after="0" w:line="259" w:lineRule="auto"/>
        <w:rPr>
          <w:sz w:val="20"/>
          <w:szCs w:val="20"/>
          <w:color w:val="auto"/>
        </w:rPr>
      </w:pPr>
      <w:r>
        <w:rPr>
          <w:rFonts w:ascii="Arial" w:cs="Arial" w:eastAsia="Arial" w:hAnsi="Arial"/>
          <w:sz w:val="21"/>
          <w:szCs w:val="21"/>
          <w:b w:val="1"/>
          <w:bCs w:val="1"/>
          <w:color w:val="auto"/>
        </w:rPr>
        <w:t>WHEREAS</w:t>
      </w:r>
      <w:r>
        <w:rPr>
          <w:rFonts w:ascii="Arial" w:cs="Arial" w:eastAsia="Arial" w:hAnsi="Arial"/>
          <w:sz w:val="21"/>
          <w:szCs w:val="21"/>
          <w:color w:val="auto"/>
        </w:rPr>
        <w:t>, the Seller, the Purchasers and NRM desire to amend and modify the Agreement, subject to the terms</w:t>
      </w:r>
      <w:r>
        <w:rPr>
          <w:rFonts w:ascii="Arial" w:cs="Arial" w:eastAsia="Arial" w:hAnsi="Arial"/>
          <w:sz w:val="21"/>
          <w:szCs w:val="21"/>
          <w:b w:val="1"/>
          <w:bCs w:val="1"/>
          <w:color w:val="auto"/>
        </w:rPr>
        <w:t xml:space="preserve"> </w:t>
      </w:r>
      <w:r>
        <w:rPr>
          <w:rFonts w:ascii="Arial" w:cs="Arial" w:eastAsia="Arial" w:hAnsi="Arial"/>
          <w:sz w:val="21"/>
          <w:szCs w:val="21"/>
          <w:color w:val="auto"/>
        </w:rPr>
        <w:t>hereof and as specified herein;</w:t>
      </w:r>
    </w:p>
    <w:p>
      <w:pPr>
        <w:spacing w:after="0" w:line="177" w:lineRule="exact"/>
        <w:rPr>
          <w:sz w:val="20"/>
          <w:szCs w:val="20"/>
          <w:color w:val="auto"/>
        </w:rPr>
      </w:pPr>
    </w:p>
    <w:p>
      <w:pPr>
        <w:jc w:val="both"/>
        <w:ind w:firstLine="1240"/>
        <w:spacing w:after="0" w:line="259" w:lineRule="auto"/>
        <w:rPr>
          <w:sz w:val="20"/>
          <w:szCs w:val="20"/>
          <w:color w:val="auto"/>
        </w:rPr>
      </w:pPr>
      <w:r>
        <w:rPr>
          <w:rFonts w:ascii="Arial" w:cs="Arial" w:eastAsia="Arial" w:hAnsi="Arial"/>
          <w:sz w:val="21"/>
          <w:szCs w:val="21"/>
          <w:b w:val="1"/>
          <w:bCs w:val="1"/>
          <w:color w:val="auto"/>
        </w:rPr>
        <w:t>WHEREAS</w:t>
      </w:r>
      <w:r>
        <w:rPr>
          <w:rFonts w:ascii="Arial" w:cs="Arial" w:eastAsia="Arial" w:hAnsi="Arial"/>
          <w:sz w:val="21"/>
          <w:szCs w:val="21"/>
          <w:color w:val="auto"/>
        </w:rPr>
        <w:t>, the Seller, the Purchasers and NRM each have agreed to execute and deliver this Amendment Number</w:t>
      </w:r>
      <w:r>
        <w:rPr>
          <w:rFonts w:ascii="Arial" w:cs="Arial" w:eastAsia="Arial" w:hAnsi="Arial"/>
          <w:sz w:val="21"/>
          <w:szCs w:val="21"/>
          <w:b w:val="1"/>
          <w:bCs w:val="1"/>
          <w:color w:val="auto"/>
        </w:rPr>
        <w:t xml:space="preserve"> </w:t>
      </w:r>
      <w:r>
        <w:rPr>
          <w:rFonts w:ascii="Arial" w:cs="Arial" w:eastAsia="Arial" w:hAnsi="Arial"/>
          <w:sz w:val="21"/>
          <w:szCs w:val="21"/>
          <w:color w:val="auto"/>
        </w:rPr>
        <w:t>Three on the terms and conditions set forth herein; and</w:t>
      </w:r>
    </w:p>
    <w:p>
      <w:pPr>
        <w:spacing w:after="0" w:line="189" w:lineRule="exact"/>
        <w:rPr>
          <w:sz w:val="20"/>
          <w:szCs w:val="20"/>
          <w:color w:val="auto"/>
        </w:rPr>
      </w:pPr>
    </w:p>
    <w:p>
      <w:pPr>
        <w:jc w:val="both"/>
        <w:ind w:firstLine="1240"/>
        <w:spacing w:after="0" w:line="259" w:lineRule="auto"/>
        <w:rPr>
          <w:sz w:val="20"/>
          <w:szCs w:val="20"/>
          <w:color w:val="auto"/>
        </w:rPr>
      </w:pPr>
      <w:r>
        <w:rPr>
          <w:rFonts w:ascii="Arial" w:cs="Arial" w:eastAsia="Arial" w:hAnsi="Arial"/>
          <w:sz w:val="21"/>
          <w:szCs w:val="21"/>
          <w:b w:val="1"/>
          <w:bCs w:val="1"/>
          <w:color w:val="auto"/>
        </w:rPr>
        <w:t xml:space="preserve">WHEREAS, </w:t>
      </w:r>
      <w:r>
        <w:rPr>
          <w:rFonts w:ascii="Arial" w:cs="Arial" w:eastAsia="Arial" w:hAnsi="Arial"/>
          <w:sz w:val="21"/>
          <w:szCs w:val="21"/>
          <w:color w:val="auto"/>
        </w:rPr>
        <w:t>capitalized terms used herein but not defined shall have the meaning ascribed to them as set forth in the</w:t>
      </w:r>
      <w:r>
        <w:rPr>
          <w:rFonts w:ascii="Arial" w:cs="Arial" w:eastAsia="Arial" w:hAnsi="Arial"/>
          <w:sz w:val="21"/>
          <w:szCs w:val="21"/>
          <w:b w:val="1"/>
          <w:bCs w:val="1"/>
          <w:color w:val="auto"/>
        </w:rPr>
        <w:t xml:space="preserve"> </w:t>
      </w:r>
      <w:r>
        <w:rPr>
          <w:rFonts w:ascii="Arial" w:cs="Arial" w:eastAsia="Arial" w:hAnsi="Arial"/>
          <w:sz w:val="21"/>
          <w:szCs w:val="21"/>
          <w:color w:val="auto"/>
        </w:rPr>
        <w:t>Agreement or in Annex 1 – Servicing Addendum (“Annex 1”) to the Agreement, as applicable.</w:t>
      </w:r>
    </w:p>
    <w:p>
      <w:pPr>
        <w:spacing w:after="0" w:line="177" w:lineRule="exact"/>
        <w:rPr>
          <w:sz w:val="20"/>
          <w:szCs w:val="20"/>
          <w:color w:val="auto"/>
        </w:rPr>
      </w:pPr>
    </w:p>
    <w:p>
      <w:pPr>
        <w:jc w:val="both"/>
        <w:ind w:firstLine="1240"/>
        <w:spacing w:after="0" w:line="259" w:lineRule="auto"/>
        <w:rPr>
          <w:sz w:val="20"/>
          <w:szCs w:val="20"/>
          <w:color w:val="auto"/>
        </w:rPr>
      </w:pPr>
      <w:r>
        <w:rPr>
          <w:rFonts w:ascii="Arial" w:cs="Arial" w:eastAsia="Arial" w:hAnsi="Arial"/>
          <w:sz w:val="21"/>
          <w:szCs w:val="21"/>
          <w:b w:val="1"/>
          <w:bCs w:val="1"/>
          <w:color w:val="auto"/>
        </w:rPr>
        <w:t>NOW THEREFORE</w:t>
      </w:r>
      <w:r>
        <w:rPr>
          <w:rFonts w:ascii="Arial" w:cs="Arial" w:eastAsia="Arial" w:hAnsi="Arial"/>
          <w:sz w:val="21"/>
          <w:szCs w:val="21"/>
          <w:color w:val="auto"/>
        </w:rPr>
        <w:t>, for good and valuable consideration, the receipt and sufficiency of which are hereby</w:t>
      </w:r>
      <w:r>
        <w:rPr>
          <w:rFonts w:ascii="Arial" w:cs="Arial" w:eastAsia="Arial" w:hAnsi="Arial"/>
          <w:sz w:val="21"/>
          <w:szCs w:val="21"/>
          <w:b w:val="1"/>
          <w:bCs w:val="1"/>
          <w:color w:val="auto"/>
        </w:rPr>
        <w:t xml:space="preserve"> </w:t>
      </w:r>
      <w:r>
        <w:rPr>
          <w:rFonts w:ascii="Arial" w:cs="Arial" w:eastAsia="Arial" w:hAnsi="Arial"/>
          <w:sz w:val="21"/>
          <w:szCs w:val="21"/>
          <w:color w:val="auto"/>
        </w:rPr>
        <w:t>acknowledged, and of the mutual covenants herein contained, the parties hereto hereby agree as follows:</w:t>
      </w:r>
    </w:p>
    <w:p>
      <w:pPr>
        <w:spacing w:after="0" w:line="189" w:lineRule="exact"/>
        <w:rPr>
          <w:sz w:val="20"/>
          <w:szCs w:val="20"/>
          <w:color w:val="auto"/>
        </w:rPr>
      </w:pPr>
    </w:p>
    <w:p>
      <w:pPr>
        <w:ind w:left="620"/>
        <w:spacing w:after="0"/>
        <w:rPr>
          <w:sz w:val="20"/>
          <w:szCs w:val="20"/>
          <w:color w:val="auto"/>
        </w:rPr>
      </w:pPr>
      <w:r>
        <w:rPr>
          <w:rFonts w:ascii="Arial" w:cs="Arial" w:eastAsia="Arial" w:hAnsi="Arial"/>
          <w:sz w:val="21"/>
          <w:szCs w:val="21"/>
          <w:b w:val="1"/>
          <w:bCs w:val="1"/>
          <w:color w:val="auto"/>
        </w:rPr>
        <w:t>SECTION 1</w:t>
      </w:r>
      <w:r>
        <w:rPr>
          <w:rFonts w:ascii="Arial" w:cs="Arial" w:eastAsia="Arial" w:hAnsi="Arial"/>
          <w:sz w:val="21"/>
          <w:szCs w:val="21"/>
          <w:color w:val="auto"/>
        </w:rPr>
        <w:t>.</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Amendments.</w:t>
      </w:r>
      <w:r>
        <w:rPr>
          <w:rFonts w:ascii="Arial" w:cs="Arial" w:eastAsia="Arial" w:hAnsi="Arial"/>
          <w:sz w:val="21"/>
          <w:szCs w:val="21"/>
          <w:b w:val="1"/>
          <w:bCs w:val="1"/>
          <w:color w:val="auto"/>
        </w:rPr>
        <w:t xml:space="preserve"> </w:t>
      </w:r>
      <w:r>
        <w:rPr>
          <w:rFonts w:ascii="Arial" w:cs="Arial" w:eastAsia="Arial" w:hAnsi="Arial"/>
          <w:sz w:val="21"/>
          <w:szCs w:val="21"/>
          <w:color w:val="auto"/>
        </w:rPr>
        <w:t>Effective as of May 2, 2022, the Agreement is hereby amended as follows:</w:t>
      </w:r>
    </w:p>
    <w:p>
      <w:pPr>
        <w:spacing w:after="0" w:line="204" w:lineRule="exact"/>
        <w:rPr>
          <w:sz w:val="20"/>
          <w:szCs w:val="20"/>
          <w:color w:val="auto"/>
        </w:rPr>
      </w:pPr>
    </w:p>
    <w:p>
      <w:pPr>
        <w:ind w:left="620"/>
        <w:spacing w:after="0"/>
        <w:rPr>
          <w:sz w:val="20"/>
          <w:szCs w:val="20"/>
          <w:color w:val="auto"/>
        </w:rPr>
      </w:pPr>
      <w:r>
        <w:rPr>
          <w:rFonts w:ascii="Arial" w:cs="Arial" w:eastAsia="Arial" w:hAnsi="Arial"/>
          <w:sz w:val="21"/>
          <w:szCs w:val="21"/>
          <w:color w:val="auto"/>
        </w:rPr>
        <w:t xml:space="preserve">(a) The Agreement is hereby amended by adding a new </w:t>
      </w:r>
      <w:r>
        <w:rPr>
          <w:rFonts w:ascii="Arial" w:cs="Arial" w:eastAsia="Arial" w:hAnsi="Arial"/>
          <w:sz w:val="21"/>
          <w:szCs w:val="21"/>
          <w:u w:val="single" w:color="auto"/>
          <w:color w:val="auto"/>
        </w:rPr>
        <w:t>Section 10.24</w:t>
      </w:r>
      <w:r>
        <w:rPr>
          <w:rFonts w:ascii="Arial" w:cs="Arial" w:eastAsia="Arial" w:hAnsi="Arial"/>
          <w:sz w:val="21"/>
          <w:szCs w:val="21"/>
          <w:color w:val="auto"/>
        </w:rPr>
        <w:t xml:space="preserve"> as follows:</w:t>
      </w:r>
    </w:p>
    <w:p>
      <w:pPr>
        <w:spacing w:after="0" w:line="200" w:lineRule="exact"/>
        <w:rPr>
          <w:sz w:val="20"/>
          <w:szCs w:val="20"/>
          <w:color w:val="auto"/>
        </w:rPr>
      </w:pPr>
    </w:p>
    <w:p>
      <w:pPr>
        <w:spacing w:after="0" w:line="217" w:lineRule="exact"/>
        <w:rPr>
          <w:sz w:val="20"/>
          <w:szCs w:val="20"/>
          <w:color w:val="auto"/>
        </w:rPr>
      </w:pPr>
    </w:p>
    <w:p>
      <w:pPr>
        <w:jc w:val="both"/>
        <w:ind w:left="620" w:firstLine="620"/>
        <w:spacing w:after="0" w:line="224" w:lineRule="auto"/>
        <w:rPr>
          <w:sz w:val="20"/>
          <w:szCs w:val="20"/>
          <w:color w:val="auto"/>
        </w:rPr>
      </w:pPr>
      <w:r>
        <w:rPr>
          <w:rFonts w:ascii="Arial" w:cs="Arial" w:eastAsia="Arial" w:hAnsi="Arial"/>
          <w:sz w:val="21"/>
          <w:szCs w:val="21"/>
          <w:u w:val="single" w:color="auto"/>
          <w:color w:val="auto"/>
        </w:rPr>
        <w:t>Further Assurances</w:t>
      </w:r>
      <w:r>
        <w:rPr>
          <w:rFonts w:ascii="Arial" w:cs="Arial" w:eastAsia="Arial" w:hAnsi="Arial"/>
          <w:sz w:val="21"/>
          <w:szCs w:val="21"/>
          <w:color w:val="auto"/>
        </w:rPr>
        <w:t>. Each party hereto agrees to cooperate in good faith and use commercially reasonable efforts to negotiate mutually agreeable terms for the disposition and resolution of the Servicing Assets (as defined in the Servicing Addendum) which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Amend 3 - New RMSR Agree FINAL (5-2-2022)(3)</w:t>
      </w:r>
    </w:p>
    <w:p>
      <w:pPr>
        <w:sectPr>
          <w:pgSz w:w="11900" w:h="16838" w:orient="portrait"/>
          <w:cols w:equalWidth="0" w:num="1">
            <w:col w:w="11240"/>
          </w:cols>
          <w:pgMar w:left="320" w:top="100" w:right="339" w:bottom="1440" w:gutter="0" w:footer="0" w:header="0"/>
        </w:sectPr>
      </w:pPr>
    </w:p>
    <w:bookmarkStart w:id="103" w:name="page104"/>
    <w:bookmarkEnd w:id="103"/>
    <w:p>
      <w:pPr>
        <w:jc w:val="both"/>
        <w:ind w:left="620"/>
        <w:spacing w:after="0" w:line="239" w:lineRule="auto"/>
        <w:rPr>
          <w:sz w:val="20"/>
          <w:szCs w:val="20"/>
          <w:color w:val="auto"/>
        </w:rPr>
      </w:pPr>
      <w:r>
        <w:rPr>
          <w:rFonts w:ascii="Arial" w:cs="Arial" w:eastAsia="Arial" w:hAnsi="Arial"/>
          <w:sz w:val="19"/>
          <w:szCs w:val="19"/>
          <w:color w:val="auto"/>
        </w:rPr>
        <w:t>parties have not been able to transfer to Purchaser, including, without limitation, exploring potential alternative structures for the sale to Seller of Purchaser’s ownership interests in the Servicing Assets, and to reasonably cooperate to effectuate any such transfer, including obtaining any necessary Third Party Consents. Notwithstanding the foregoing, nothing in this Section 10.24 shall require any of the parties to enter into any arrangement relating to the disposition and resolution of such Servicing Assets other than as expressly set forth in this Agreement without approval by each party in their sole discretion.</w:t>
      </w:r>
    </w:p>
    <w:p>
      <w:pPr>
        <w:spacing w:after="0" w:line="165" w:lineRule="exact"/>
        <w:rPr>
          <w:sz w:val="20"/>
          <w:szCs w:val="20"/>
          <w:color w:val="auto"/>
        </w:rPr>
      </w:pPr>
    </w:p>
    <w:p>
      <w:pPr>
        <w:jc w:val="both"/>
        <w:ind w:firstLine="624"/>
        <w:spacing w:after="0" w:line="242" w:lineRule="auto"/>
        <w:tabs>
          <w:tab w:leader="none" w:pos="952" w:val="left"/>
        </w:tabs>
        <w:numPr>
          <w:ilvl w:val="0"/>
          <w:numId w:val="70"/>
        </w:numPr>
        <w:rPr>
          <w:rFonts w:ascii="Arial" w:cs="Arial" w:eastAsia="Arial" w:hAnsi="Arial"/>
          <w:sz w:val="21"/>
          <w:szCs w:val="21"/>
          <w:color w:val="auto"/>
        </w:rPr>
      </w:pPr>
      <w:r>
        <w:rPr>
          <w:rFonts w:ascii="Arial" w:cs="Arial" w:eastAsia="Arial" w:hAnsi="Arial"/>
          <w:sz w:val="21"/>
          <w:szCs w:val="21"/>
          <w:color w:val="auto"/>
        </w:rPr>
        <w:t>The Agreement is hereby amended by adding the definitions of “Holdings Ancillary Income”, “Incentive Fees”, “Net Incentive Fees”, “Payment Convenience Fees” and “Third Amendment Effective Date” to Annex I in the appropriate alphabetical order as follows:</w:t>
      </w:r>
    </w:p>
    <w:p>
      <w:pPr>
        <w:spacing w:after="0" w:line="187" w:lineRule="exact"/>
        <w:rPr>
          <w:sz w:val="20"/>
          <w:szCs w:val="20"/>
          <w:color w:val="auto"/>
        </w:rPr>
      </w:pPr>
    </w:p>
    <w:p>
      <w:pPr>
        <w:jc w:val="both"/>
        <w:ind w:left="620" w:firstLine="620"/>
        <w:spacing w:after="0" w:line="253" w:lineRule="auto"/>
        <w:rPr>
          <w:sz w:val="20"/>
          <w:szCs w:val="20"/>
          <w:color w:val="auto"/>
        </w:rPr>
      </w:pPr>
      <w:r>
        <w:rPr>
          <w:rFonts w:ascii="Arial" w:cs="Arial" w:eastAsia="Arial" w:hAnsi="Arial"/>
          <w:sz w:val="21"/>
          <w:szCs w:val="21"/>
          <w:u w:val="single" w:color="auto"/>
          <w:color w:val="auto"/>
        </w:rPr>
        <w:t>Holdings Ancillary Income</w:t>
      </w:r>
      <w:r>
        <w:rPr>
          <w:rFonts w:ascii="Arial" w:cs="Arial" w:eastAsia="Arial" w:hAnsi="Arial"/>
          <w:sz w:val="21"/>
          <w:szCs w:val="21"/>
          <w:color w:val="auto"/>
        </w:rPr>
        <w:t>: An amount equal to [***] of the amount actually collected by Seller with respect to [***] derived from the Mortgage Loans.</w:t>
      </w:r>
    </w:p>
    <w:p>
      <w:pPr>
        <w:spacing w:after="0" w:line="163" w:lineRule="exact"/>
        <w:rPr>
          <w:sz w:val="20"/>
          <w:szCs w:val="20"/>
          <w:color w:val="auto"/>
        </w:rPr>
      </w:pPr>
    </w:p>
    <w:p>
      <w:pPr>
        <w:jc w:val="both"/>
        <w:ind w:left="620" w:firstLine="620"/>
        <w:spacing w:after="0" w:line="280" w:lineRule="auto"/>
        <w:rPr>
          <w:sz w:val="20"/>
          <w:szCs w:val="20"/>
          <w:color w:val="auto"/>
        </w:rPr>
      </w:pPr>
      <w:r>
        <w:rPr>
          <w:rFonts w:ascii="Arial" w:cs="Arial" w:eastAsia="Arial" w:hAnsi="Arial"/>
          <w:sz w:val="19"/>
          <w:szCs w:val="19"/>
          <w:u w:val="single" w:color="auto"/>
          <w:color w:val="auto"/>
        </w:rPr>
        <w:t>Incentive Fees</w:t>
      </w:r>
      <w:r>
        <w:rPr>
          <w:rFonts w:ascii="Arial" w:cs="Arial" w:eastAsia="Arial" w:hAnsi="Arial"/>
          <w:sz w:val="19"/>
          <w:szCs w:val="19"/>
          <w:color w:val="auto"/>
        </w:rPr>
        <w:t>: Loss mitigation, loan modification or other such incentive fees payable by third parties to Seller (in connection with HAMP, or other incentive fees associated with private label securities) in connection with any Mortgage Loan, in any case to the extent not exceeding or violating any applicable amounts or limitations under Applicable Requirements.</w:t>
      </w:r>
    </w:p>
    <w:p>
      <w:pPr>
        <w:spacing w:after="0" w:line="140" w:lineRule="exact"/>
        <w:rPr>
          <w:sz w:val="20"/>
          <w:szCs w:val="20"/>
          <w:color w:val="auto"/>
        </w:rPr>
      </w:pPr>
    </w:p>
    <w:p>
      <w:pPr>
        <w:jc w:val="both"/>
        <w:ind w:left="620" w:firstLine="620"/>
        <w:spacing w:after="0" w:line="253" w:lineRule="auto"/>
        <w:rPr>
          <w:sz w:val="20"/>
          <w:szCs w:val="20"/>
          <w:color w:val="auto"/>
        </w:rPr>
      </w:pPr>
      <w:r>
        <w:rPr>
          <w:rFonts w:ascii="Arial" w:cs="Arial" w:eastAsia="Arial" w:hAnsi="Arial"/>
          <w:sz w:val="21"/>
          <w:szCs w:val="21"/>
          <w:u w:val="single" w:color="auto"/>
          <w:color w:val="auto"/>
        </w:rPr>
        <w:t>Net Incentive Fees</w:t>
      </w:r>
      <w:r>
        <w:rPr>
          <w:rFonts w:ascii="Arial" w:cs="Arial" w:eastAsia="Arial" w:hAnsi="Arial"/>
          <w:sz w:val="21"/>
          <w:szCs w:val="21"/>
          <w:color w:val="auto"/>
        </w:rPr>
        <w:t>: Incentive Fees actually collected and retained by Seller, net of Seller’s associated direct costs related to earning or otherwise becoming entitled to such incentive fees ([***]).</w:t>
      </w:r>
    </w:p>
    <w:p>
      <w:pPr>
        <w:spacing w:after="0" w:line="163" w:lineRule="exact"/>
        <w:rPr>
          <w:sz w:val="20"/>
          <w:szCs w:val="20"/>
          <w:color w:val="auto"/>
        </w:rPr>
      </w:pPr>
    </w:p>
    <w:p>
      <w:pPr>
        <w:jc w:val="both"/>
        <w:ind w:left="620" w:firstLine="620"/>
        <w:spacing w:after="0" w:line="242" w:lineRule="auto"/>
        <w:rPr>
          <w:sz w:val="20"/>
          <w:szCs w:val="20"/>
          <w:color w:val="auto"/>
        </w:rPr>
      </w:pPr>
      <w:r>
        <w:rPr>
          <w:rFonts w:ascii="Arial" w:cs="Arial" w:eastAsia="Arial" w:hAnsi="Arial"/>
          <w:sz w:val="21"/>
          <w:szCs w:val="21"/>
          <w:u w:val="single" w:color="auto"/>
          <w:color w:val="auto"/>
        </w:rPr>
        <w:t>Payment Convenience Fees</w:t>
      </w:r>
      <w:r>
        <w:rPr>
          <w:rFonts w:ascii="Arial" w:cs="Arial" w:eastAsia="Arial" w:hAnsi="Arial"/>
          <w:sz w:val="21"/>
          <w:szCs w:val="21"/>
          <w:color w:val="auto"/>
        </w:rPr>
        <w:t>: Fees charged to borrowers for utilizing optional payment methods including making a payment over the telephone with the assistance of Seller’s agent, making a payment utilizing Seller’s automated telephony system, and making a payment utilizing Seller’s website.</w:t>
      </w:r>
    </w:p>
    <w:p>
      <w:pPr>
        <w:spacing w:after="0" w:line="187" w:lineRule="exact"/>
        <w:rPr>
          <w:sz w:val="20"/>
          <w:szCs w:val="20"/>
          <w:color w:val="auto"/>
        </w:rPr>
      </w:pPr>
    </w:p>
    <w:p>
      <w:pPr>
        <w:ind w:left="1240"/>
        <w:spacing w:after="0"/>
        <w:rPr>
          <w:sz w:val="20"/>
          <w:szCs w:val="20"/>
          <w:color w:val="auto"/>
        </w:rPr>
      </w:pPr>
      <w:r>
        <w:rPr>
          <w:rFonts w:ascii="Arial" w:cs="Arial" w:eastAsia="Arial" w:hAnsi="Arial"/>
          <w:sz w:val="21"/>
          <w:szCs w:val="21"/>
          <w:u w:val="single" w:color="auto"/>
          <w:color w:val="auto"/>
        </w:rPr>
        <w:t>Third Amendment Effective Date</w:t>
      </w:r>
      <w:r>
        <w:rPr>
          <w:rFonts w:ascii="Arial" w:cs="Arial" w:eastAsia="Arial" w:hAnsi="Arial"/>
          <w:sz w:val="21"/>
          <w:szCs w:val="21"/>
          <w:color w:val="auto"/>
        </w:rPr>
        <w:t>: May 2, 2022.</w:t>
      </w:r>
    </w:p>
    <w:p>
      <w:pPr>
        <w:spacing w:after="0" w:line="198" w:lineRule="exact"/>
        <w:rPr>
          <w:sz w:val="20"/>
          <w:szCs w:val="20"/>
          <w:color w:val="auto"/>
        </w:rPr>
      </w:pPr>
    </w:p>
    <w:p>
      <w:pPr>
        <w:ind w:left="1100" w:hanging="476"/>
        <w:spacing w:after="0"/>
        <w:tabs>
          <w:tab w:leader="none" w:pos="1100" w:val="left"/>
        </w:tabs>
        <w:numPr>
          <w:ilvl w:val="0"/>
          <w:numId w:val="71"/>
        </w:numPr>
        <w:rPr>
          <w:rFonts w:ascii="Arial" w:cs="Arial" w:eastAsia="Arial" w:hAnsi="Arial"/>
          <w:sz w:val="19"/>
          <w:szCs w:val="19"/>
          <w:color w:val="auto"/>
        </w:rPr>
      </w:pPr>
      <w:r>
        <w:rPr>
          <w:rFonts w:ascii="Arial" w:cs="Arial" w:eastAsia="Arial" w:hAnsi="Arial"/>
          <w:sz w:val="19"/>
          <w:szCs w:val="19"/>
          <w:color w:val="auto"/>
        </w:rPr>
        <w:t>The Agreement is hereby amended by deleting the definition of “Ancillary Income” in Annex 1 and replacing it with the</w:t>
      </w:r>
    </w:p>
    <w:p>
      <w:pPr>
        <w:spacing w:after="0" w:line="3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1"/>
          <w:szCs w:val="21"/>
          <w:color w:val="auto"/>
        </w:rPr>
        <w:t>following:</w:t>
      </w:r>
    </w:p>
    <w:p>
      <w:pPr>
        <w:spacing w:after="0" w:line="399" w:lineRule="exact"/>
        <w:rPr>
          <w:sz w:val="20"/>
          <w:szCs w:val="20"/>
          <w:color w:val="auto"/>
        </w:rPr>
      </w:pPr>
    </w:p>
    <w:p>
      <w:pPr>
        <w:jc w:val="both"/>
        <w:ind w:left="620"/>
        <w:spacing w:after="0" w:line="248" w:lineRule="auto"/>
        <w:rPr>
          <w:sz w:val="20"/>
          <w:szCs w:val="20"/>
          <w:color w:val="auto"/>
        </w:rPr>
      </w:pPr>
      <w:r>
        <w:rPr>
          <w:rFonts w:ascii="Arial" w:cs="Arial" w:eastAsia="Arial" w:hAnsi="Arial"/>
          <w:sz w:val="18"/>
          <w:szCs w:val="18"/>
          <w:u w:val="single" w:color="auto"/>
          <w:color w:val="auto"/>
        </w:rPr>
        <w:t>Ancillary Income</w:t>
      </w:r>
      <w:r>
        <w:rPr>
          <w:rFonts w:ascii="Arial" w:cs="Arial" w:eastAsia="Arial" w:hAnsi="Arial"/>
          <w:sz w:val="18"/>
          <w:szCs w:val="18"/>
          <w:color w:val="auto"/>
        </w:rPr>
        <w:t xml:space="preserve">: All income, fees, charges derived from the Mortgage Loans and REO Properties (other than (i) Servicing Fees, (ii) any Float Benefit, (iii) any prepayment premiums attributable to the Mortgage Loans not payable to an Investor, (iv) any Downstream Ancillary Income, (v) Holdings Ancillary Income and (vi) Prepayment Interest Excess), which the Seller is entitled to collect solely from third parties (and not from any Purchaser) under Applicable Requirements and </w:t>
      </w:r>
      <w:r>
        <w:rPr>
          <w:rFonts w:ascii="Arial" w:cs="Arial" w:eastAsia="Arial" w:hAnsi="Arial"/>
          <w:sz w:val="18"/>
          <w:szCs w:val="18"/>
          <w:u w:val="single" w:color="auto"/>
          <w:color w:val="auto"/>
        </w:rPr>
        <w:t>Section 4.1</w:t>
      </w:r>
      <w:r>
        <w:rPr>
          <w:rFonts w:ascii="Arial" w:cs="Arial" w:eastAsia="Arial" w:hAnsi="Arial"/>
          <w:sz w:val="18"/>
          <w:szCs w:val="18"/>
          <w:color w:val="auto"/>
        </w:rPr>
        <w:t>, including but not limited to late fees, Payment Convenient Fees, Incentive Fees (other than [***]), payoff fees, assumption fees, reinstatement fees, fees received with respect to checks on bank drafts returned by the related bank for insufficient funds, and similar types of fees arising from or in connection with any Mortgage Loan, in any case to the extent not exceeding or violating any applicable amounts or limitations under Applicable Requirements. In no event shall any Ancillary Income be paid from (i) Holdings Economics, (ii) Excess Servicing Fees, (iii) any prepayment premiums attributable to the Mortgage Loans not</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Amend 3 - New RMSR Agree FINAL (5-2-2022)(3)</w:t>
      </w:r>
    </w:p>
    <w:p>
      <w:pPr>
        <w:sectPr>
          <w:pgSz w:w="11900" w:h="16838" w:orient="portrait"/>
          <w:cols w:equalWidth="0" w:num="1">
            <w:col w:w="11240"/>
          </w:cols>
          <w:pgMar w:left="320" w:top="1346" w:right="339" w:bottom="1440" w:gutter="0" w:footer="0" w:header="0"/>
        </w:sectPr>
      </w:pPr>
    </w:p>
    <w:bookmarkStart w:id="104" w:name="page105"/>
    <w:bookmarkEnd w:id="104"/>
    <w:p>
      <w:pPr>
        <w:ind w:left="620"/>
        <w:spacing w:after="0" w:line="234" w:lineRule="auto"/>
        <w:rPr>
          <w:sz w:val="20"/>
          <w:szCs w:val="20"/>
          <w:color w:val="auto"/>
        </w:rPr>
      </w:pPr>
      <w:r>
        <w:rPr>
          <w:rFonts w:ascii="Arial" w:cs="Arial" w:eastAsia="Arial" w:hAnsi="Arial"/>
          <w:sz w:val="21"/>
          <w:szCs w:val="21"/>
          <w:color w:val="auto"/>
        </w:rPr>
        <w:t>payable to an Investor, (iv) Prepayment Interest Excess, (v) reimbursed Servicing Advances and/or (vi) reimbursed P&amp;I Advances.</w:t>
      </w:r>
    </w:p>
    <w:p>
      <w:pPr>
        <w:spacing w:after="0" w:line="162" w:lineRule="exact"/>
        <w:rPr>
          <w:sz w:val="20"/>
          <w:szCs w:val="20"/>
          <w:color w:val="auto"/>
        </w:rPr>
      </w:pPr>
    </w:p>
    <w:p>
      <w:pPr>
        <w:ind w:firstLine="624"/>
        <w:spacing w:after="0" w:line="253" w:lineRule="auto"/>
        <w:tabs>
          <w:tab w:leader="none" w:pos="1122" w:val="left"/>
        </w:tabs>
        <w:numPr>
          <w:ilvl w:val="0"/>
          <w:numId w:val="72"/>
        </w:numPr>
        <w:rPr>
          <w:rFonts w:ascii="Arial" w:cs="Arial" w:eastAsia="Arial" w:hAnsi="Arial"/>
          <w:sz w:val="21"/>
          <w:szCs w:val="21"/>
          <w:color w:val="auto"/>
        </w:rPr>
      </w:pPr>
      <w:r>
        <w:rPr>
          <w:rFonts w:ascii="Arial" w:cs="Arial" w:eastAsia="Arial" w:hAnsi="Arial"/>
          <w:sz w:val="21"/>
          <w:szCs w:val="21"/>
          <w:color w:val="auto"/>
        </w:rPr>
        <w:t>The Agreement is hereby amended by deleting the definition of “Effective Date of Termination” in Annex 1 and replacing it with the following:</w:t>
      </w:r>
    </w:p>
    <w:p>
      <w:pPr>
        <w:spacing w:after="0" w:line="176" w:lineRule="exact"/>
        <w:rPr>
          <w:sz w:val="20"/>
          <w:szCs w:val="20"/>
          <w:color w:val="auto"/>
        </w:rPr>
      </w:pPr>
    </w:p>
    <w:p>
      <w:pPr>
        <w:jc w:val="both"/>
        <w:ind w:left="620"/>
        <w:spacing w:after="0" w:line="216" w:lineRule="auto"/>
        <w:rPr>
          <w:sz w:val="20"/>
          <w:szCs w:val="20"/>
          <w:color w:val="auto"/>
        </w:rPr>
      </w:pPr>
      <w:r>
        <w:rPr>
          <w:rFonts w:ascii="Arial" w:cs="Arial" w:eastAsia="Arial" w:hAnsi="Arial"/>
          <w:sz w:val="21"/>
          <w:szCs w:val="21"/>
          <w:u w:val="single" w:color="auto"/>
          <w:color w:val="auto"/>
        </w:rPr>
        <w:t>Effective Date of Termination</w:t>
      </w:r>
      <w:r>
        <w:rPr>
          <w:rFonts w:ascii="Arial" w:cs="Arial" w:eastAsia="Arial" w:hAnsi="Arial"/>
          <w:sz w:val="21"/>
          <w:szCs w:val="21"/>
          <w:color w:val="auto"/>
        </w:rPr>
        <w:t>: With respect to the termination of Seller, (i) if terminated pursuant to Section 5.1(b), as of 11:59 pm ET of the last day of the then-current term and (ii) if terminated pursuant to Section 5.1(d) or Section 5.3, the date Holdings notifies Seller of its termination. With respect to a termination of Purchasers, (i) if terminated pursuant to Section 5.1(c), as of 11:59 pm ET of the last day of the then-current term and (ii) if terminated pursuant to Section 5.6, the date Seller notifies Holdings of the termination of the Purchasers.</w:t>
      </w:r>
    </w:p>
    <w:p>
      <w:pPr>
        <w:spacing w:after="0" w:line="180" w:lineRule="exact"/>
        <w:rPr>
          <w:sz w:val="20"/>
          <w:szCs w:val="20"/>
          <w:color w:val="auto"/>
        </w:rPr>
      </w:pPr>
    </w:p>
    <w:p>
      <w:pPr>
        <w:ind w:firstLine="624"/>
        <w:spacing w:after="0" w:line="253" w:lineRule="auto"/>
        <w:tabs>
          <w:tab w:leader="none" w:pos="1095" w:val="left"/>
        </w:tabs>
        <w:numPr>
          <w:ilvl w:val="0"/>
          <w:numId w:val="73"/>
        </w:numPr>
        <w:rPr>
          <w:rFonts w:ascii="Arial" w:cs="Arial" w:eastAsia="Arial" w:hAnsi="Arial"/>
          <w:sz w:val="21"/>
          <w:szCs w:val="21"/>
          <w:color w:val="auto"/>
        </w:rPr>
      </w:pPr>
      <w:r>
        <w:rPr>
          <w:rFonts w:ascii="Arial" w:cs="Arial" w:eastAsia="Arial" w:hAnsi="Arial"/>
          <w:sz w:val="21"/>
          <w:szCs w:val="21"/>
          <w:color w:val="auto"/>
        </w:rPr>
        <w:t>The Agreement is hereby amended by deleting the definition of “Holdings Economics” in Annex 1 and replacing it with the following:</w:t>
      </w:r>
    </w:p>
    <w:p>
      <w:pPr>
        <w:spacing w:after="0" w:line="176" w:lineRule="exact"/>
        <w:rPr>
          <w:sz w:val="20"/>
          <w:szCs w:val="20"/>
          <w:color w:val="auto"/>
        </w:rPr>
      </w:pPr>
    </w:p>
    <w:p>
      <w:pPr>
        <w:jc w:val="both"/>
        <w:ind w:left="620"/>
        <w:spacing w:after="0" w:line="237" w:lineRule="auto"/>
        <w:rPr>
          <w:sz w:val="20"/>
          <w:szCs w:val="20"/>
          <w:color w:val="auto"/>
        </w:rPr>
      </w:pPr>
      <w:r>
        <w:rPr>
          <w:rFonts w:ascii="Arial" w:cs="Arial" w:eastAsia="Arial" w:hAnsi="Arial"/>
          <w:sz w:val="19"/>
          <w:szCs w:val="19"/>
          <w:u w:val="single" w:color="auto"/>
          <w:color w:val="auto"/>
        </w:rPr>
        <w:t>Holdings Economics</w:t>
      </w:r>
      <w:r>
        <w:rPr>
          <w:rFonts w:ascii="Arial" w:cs="Arial" w:eastAsia="Arial" w:hAnsi="Arial"/>
          <w:sz w:val="19"/>
          <w:szCs w:val="19"/>
          <w:color w:val="auto"/>
        </w:rPr>
        <w:t xml:space="preserve">: The sum of the following, without duplication, (i) all Rights to MSRs in respect of the Servicing Agreements, (ii) all recoveries on the Mortgage Loans of Servicing Advances and P&amp;I Advances which were purchased by Holdings from the Seller, (iii) if positive, the excess of all penalties assessed pursuant to </w:t>
      </w:r>
      <w:r>
        <w:rPr>
          <w:rFonts w:ascii="Arial" w:cs="Arial" w:eastAsia="Arial" w:hAnsi="Arial"/>
          <w:sz w:val="19"/>
          <w:szCs w:val="19"/>
          <w:u w:val="single" w:color="auto"/>
          <w:color w:val="auto"/>
        </w:rPr>
        <w:t>Section 2.7(d)</w:t>
      </w:r>
      <w:r>
        <w:rPr>
          <w:rFonts w:ascii="Arial" w:cs="Arial" w:eastAsia="Arial" w:hAnsi="Arial"/>
          <w:sz w:val="19"/>
          <w:szCs w:val="19"/>
          <w:color w:val="auto"/>
        </w:rPr>
        <w:t xml:space="preserve"> minus all bonuses payable pursuant to </w:t>
      </w:r>
      <w:r>
        <w:rPr>
          <w:rFonts w:ascii="Arial" w:cs="Arial" w:eastAsia="Arial" w:hAnsi="Arial"/>
          <w:sz w:val="19"/>
          <w:szCs w:val="19"/>
          <w:u w:val="single" w:color="auto"/>
          <w:color w:val="auto"/>
        </w:rPr>
        <w:t>Section 2.7(d)</w:t>
      </w:r>
      <w:r>
        <w:rPr>
          <w:rFonts w:ascii="Arial" w:cs="Arial" w:eastAsia="Arial" w:hAnsi="Arial"/>
          <w:sz w:val="19"/>
          <w:szCs w:val="19"/>
          <w:color w:val="auto"/>
        </w:rPr>
        <w:t xml:space="preserve">, (iv) all Holdings Ancillary Income (provided that, notwithstanding Section 2.8(f), it being agreed that such amounts shall be remitted monthly), and (v) all other outstanding amounts collected and payable to the Purchasers under this Addendum (including Float Benefit pursuant to </w:t>
      </w:r>
      <w:r>
        <w:rPr>
          <w:rFonts w:ascii="Arial" w:cs="Arial" w:eastAsia="Arial" w:hAnsi="Arial"/>
          <w:sz w:val="19"/>
          <w:szCs w:val="19"/>
          <w:u w:val="single" w:color="auto"/>
          <w:color w:val="auto"/>
        </w:rPr>
        <w:t>Section 2.8(h)</w:t>
      </w:r>
      <w:r>
        <w:rPr>
          <w:rFonts w:ascii="Arial" w:cs="Arial" w:eastAsia="Arial" w:hAnsi="Arial"/>
          <w:sz w:val="19"/>
          <w:szCs w:val="19"/>
          <w:color w:val="auto"/>
        </w:rPr>
        <w:t>) and minus (vi) the Excess Servicing Fee.</w:t>
      </w:r>
    </w:p>
    <w:p>
      <w:pPr>
        <w:spacing w:after="0" w:line="166" w:lineRule="exact"/>
        <w:rPr>
          <w:sz w:val="20"/>
          <w:szCs w:val="20"/>
          <w:color w:val="auto"/>
        </w:rPr>
      </w:pPr>
    </w:p>
    <w:p>
      <w:pPr>
        <w:ind w:firstLine="620"/>
        <w:spacing w:after="0" w:line="253" w:lineRule="auto"/>
        <w:rPr>
          <w:sz w:val="20"/>
          <w:szCs w:val="20"/>
          <w:color w:val="auto"/>
        </w:rPr>
      </w:pPr>
      <w:r>
        <w:rPr>
          <w:rFonts w:ascii="Arial" w:cs="Arial" w:eastAsia="Arial" w:hAnsi="Arial"/>
          <w:sz w:val="21"/>
          <w:szCs w:val="21"/>
          <w:color w:val="auto"/>
        </w:rPr>
        <w:t>(f) The Agreement is hereby amended by deleting the last four rows in the table in Exhibit C-1 (Termination Fee) to Annex I and replacing with the following:</w:t>
      </w:r>
    </w:p>
    <w:p>
      <w:pPr>
        <w:spacing w:after="0" w:line="200" w:lineRule="exact"/>
        <w:rPr>
          <w:sz w:val="20"/>
          <w:szCs w:val="20"/>
          <w:color w:val="auto"/>
        </w:rPr>
      </w:pPr>
    </w:p>
    <w:p>
      <w:pPr>
        <w:spacing w:after="0" w:line="222" w:lineRule="exact"/>
        <w:rPr>
          <w:sz w:val="20"/>
          <w:szCs w:val="20"/>
          <w:color w:val="auto"/>
        </w:rPr>
      </w:pPr>
    </w:p>
    <w:tbl>
      <w:tblPr>
        <w:tblLayout w:type="fixed"/>
        <w:tblInd w:w="2390" w:type="dxa"/>
        <w:tblCellMar>
          <w:top w:w="0" w:type="dxa"/>
          <w:left w:w="0" w:type="dxa"/>
          <w:bottom w:w="0" w:type="dxa"/>
          <w:right w:w="0" w:type="dxa"/>
        </w:tblCellMar>
      </w:tblPr>
      <w:tr>
        <w:trPr>
          <w:trHeight w:val="271"/>
        </w:trPr>
        <w:tc>
          <w:tcPr>
            <w:tcW w:w="120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1"/>
                <w:szCs w:val="21"/>
                <w:b w:val="1"/>
                <w:bCs w:val="1"/>
                <w:color w:val="auto"/>
              </w:rPr>
              <w:t>Period</w:t>
            </w:r>
          </w:p>
        </w:tc>
        <w:tc>
          <w:tcPr>
            <w:tcW w:w="126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1"/>
                <w:szCs w:val="21"/>
                <w:b w:val="1"/>
                <w:bCs w:val="1"/>
                <w:color w:val="auto"/>
              </w:rPr>
              <w:t>Primary</w:t>
            </w:r>
          </w:p>
        </w:tc>
        <w:tc>
          <w:tcPr>
            <w:tcW w:w="120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1"/>
                <w:szCs w:val="21"/>
                <w:b w:val="1"/>
                <w:bCs w:val="1"/>
                <w:color w:val="auto"/>
              </w:rPr>
              <w:t>Master</w:t>
            </w:r>
          </w:p>
        </w:tc>
      </w:tr>
      <w:tr>
        <w:trPr>
          <w:trHeight w:val="191"/>
        </w:trPr>
        <w:tc>
          <w:tcPr>
            <w:tcW w:w="1200" w:type="dxa"/>
            <w:vAlign w:val="bottom"/>
            <w:tcBorders>
              <w:left w:val="single" w:sz="8" w:color="auto"/>
              <w:right w:val="single" w:sz="8" w:color="auto"/>
            </w:tcBorders>
          </w:tcPr>
          <w:p>
            <w:pPr>
              <w:ind w:left="40"/>
              <w:spacing w:after="0" w:line="192" w:lineRule="exact"/>
              <w:rPr>
                <w:sz w:val="20"/>
                <w:szCs w:val="20"/>
                <w:color w:val="auto"/>
              </w:rPr>
            </w:pPr>
            <w:r>
              <w:rPr>
                <w:rFonts w:ascii="Arial" w:cs="Arial" w:eastAsia="Arial" w:hAnsi="Arial"/>
                <w:sz w:val="21"/>
                <w:szCs w:val="21"/>
                <w:color w:val="auto"/>
              </w:rPr>
              <w:t>May-22 &amp;</w:t>
            </w:r>
          </w:p>
        </w:tc>
        <w:tc>
          <w:tcPr>
            <w:tcW w:w="1260" w:type="dxa"/>
            <w:vAlign w:val="bottom"/>
            <w:tcBorders>
              <w:right w:val="single" w:sz="8" w:color="auto"/>
            </w:tcBorders>
          </w:tcPr>
          <w:p>
            <w:pPr>
              <w:ind w:left="20"/>
              <w:spacing w:after="0" w:line="192" w:lineRule="exact"/>
              <w:rPr>
                <w:sz w:val="20"/>
                <w:szCs w:val="20"/>
                <w:color w:val="auto"/>
              </w:rPr>
            </w:pPr>
            <w:r>
              <w:rPr>
                <w:rFonts w:ascii="Arial" w:cs="Arial" w:eastAsia="Arial" w:hAnsi="Arial"/>
                <w:sz w:val="21"/>
                <w:szCs w:val="21"/>
                <w:color w:val="auto"/>
              </w:rPr>
              <w:t>0</w:t>
            </w:r>
          </w:p>
        </w:tc>
        <w:tc>
          <w:tcPr>
            <w:tcW w:w="1200" w:type="dxa"/>
            <w:vAlign w:val="bottom"/>
            <w:tcBorders>
              <w:right w:val="single" w:sz="8" w:color="auto"/>
            </w:tcBorders>
          </w:tcPr>
          <w:p>
            <w:pPr>
              <w:ind w:left="20"/>
              <w:spacing w:after="0" w:line="192" w:lineRule="exact"/>
              <w:rPr>
                <w:sz w:val="20"/>
                <w:szCs w:val="20"/>
                <w:color w:val="auto"/>
              </w:rPr>
            </w:pPr>
            <w:r>
              <w:rPr>
                <w:rFonts w:ascii="Arial" w:cs="Arial" w:eastAsia="Arial" w:hAnsi="Arial"/>
                <w:sz w:val="21"/>
                <w:szCs w:val="21"/>
                <w:color w:val="auto"/>
              </w:rPr>
              <w:t>0</w:t>
            </w:r>
          </w:p>
        </w:tc>
      </w:tr>
      <w:tr>
        <w:trPr>
          <w:trHeight w:val="266"/>
        </w:trPr>
        <w:tc>
          <w:tcPr>
            <w:tcW w:w="12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1"/>
                <w:szCs w:val="21"/>
                <w:color w:val="auto"/>
              </w:rPr>
              <w:t>After</w:t>
            </w:r>
          </w:p>
        </w:tc>
        <w:tc>
          <w:tcPr>
            <w:tcW w:w="1260" w:type="dxa"/>
            <w:vAlign w:val="bottom"/>
            <w:tcBorders>
              <w:bottom w:val="single" w:sz="8" w:color="auto"/>
              <w:right w:val="single" w:sz="8" w:color="auto"/>
            </w:tcBorders>
          </w:tcPr>
          <w:p>
            <w:pPr>
              <w:spacing w:after="0"/>
              <w:rPr>
                <w:sz w:val="23"/>
                <w:szCs w:val="23"/>
                <w:color w:val="auto"/>
              </w:rPr>
            </w:pPr>
          </w:p>
        </w:tc>
        <w:tc>
          <w:tcPr>
            <w:tcW w:w="1200" w:type="dxa"/>
            <w:vAlign w:val="bottom"/>
            <w:tcBorders>
              <w:bottom w:val="single" w:sz="8" w:color="auto"/>
              <w:right w:val="single" w:sz="8" w:color="auto"/>
            </w:tcBorders>
          </w:tcPr>
          <w:p>
            <w:pPr>
              <w:spacing w:after="0"/>
              <w:rPr>
                <w:sz w:val="23"/>
                <w:szCs w:val="23"/>
                <w:color w:val="auto"/>
              </w:rPr>
            </w:pPr>
          </w:p>
        </w:tc>
      </w:tr>
    </w:tbl>
    <w:p>
      <w:pPr>
        <w:spacing w:after="0" w:line="276" w:lineRule="exact"/>
        <w:rPr>
          <w:sz w:val="20"/>
          <w:szCs w:val="20"/>
          <w:color w:val="auto"/>
        </w:rPr>
      </w:pPr>
    </w:p>
    <w:p>
      <w:pPr>
        <w:ind w:firstLine="620"/>
        <w:spacing w:after="0" w:line="253" w:lineRule="auto"/>
        <w:rPr>
          <w:sz w:val="20"/>
          <w:szCs w:val="20"/>
          <w:color w:val="auto"/>
        </w:rPr>
      </w:pPr>
      <w:r>
        <w:rPr>
          <w:rFonts w:ascii="Arial" w:cs="Arial" w:eastAsia="Arial" w:hAnsi="Arial"/>
          <w:sz w:val="21"/>
          <w:szCs w:val="21"/>
          <w:color w:val="auto"/>
        </w:rPr>
        <w:t>(g) The Agreement is hereby amended by deleting the last three rows in the table in Exhibit D (Exit Fee Percentage) to Annex I and replacing such rows with the following:</w:t>
      </w:r>
    </w:p>
    <w:p>
      <w:pPr>
        <w:spacing w:after="0" w:line="200" w:lineRule="exact"/>
        <w:rPr>
          <w:sz w:val="20"/>
          <w:szCs w:val="20"/>
          <w:color w:val="auto"/>
        </w:rPr>
      </w:pPr>
    </w:p>
    <w:p>
      <w:pPr>
        <w:spacing w:after="0" w:line="230" w:lineRule="exact"/>
        <w:rPr>
          <w:sz w:val="20"/>
          <w:szCs w:val="20"/>
          <w:color w:val="auto"/>
        </w:rPr>
      </w:pPr>
    </w:p>
    <w:p>
      <w:pPr>
        <w:ind w:left="4780"/>
        <w:spacing w:after="0"/>
        <w:rPr>
          <w:sz w:val="20"/>
          <w:szCs w:val="20"/>
          <w:color w:val="auto"/>
        </w:rPr>
      </w:pPr>
      <w:r>
        <w:rPr>
          <w:rFonts w:ascii="Arial" w:cs="Arial" w:eastAsia="Arial" w:hAnsi="Arial"/>
          <w:sz w:val="21"/>
          <w:szCs w:val="21"/>
          <w:b w:val="1"/>
          <w:bCs w:val="1"/>
          <w:color w:val="auto"/>
        </w:rPr>
        <w:t>Exit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1626870</wp:posOffset>
            </wp:positionH>
            <wp:positionV relativeFrom="paragraph">
              <wp:posOffset>-144780</wp:posOffset>
            </wp:positionV>
            <wp:extent cx="2190750" cy="1058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7">
                      <a:extLst>
                        <a:ext uri="{28A0092B-C50C-407E-A947-70E740481C1C}"/>
                      </a:extLst>
                    </a:blip>
                    <a:srcRect/>
                    <a:stretch>
                      <a:fillRect/>
                    </a:stretch>
                  </pic:blipFill>
                  <pic:spPr bwMode="auto">
                    <a:xfrm>
                      <a:off x="0" y="0"/>
                      <a:ext cx="2190750" cy="1058545"/>
                    </a:xfrm>
                    <a:prstGeom prst="rect">
                      <a:avLst/>
                    </a:prstGeom>
                    <a:noFill/>
                  </pic:spPr>
                </pic:pic>
              </a:graphicData>
            </a:graphic>
          </wp:anchor>
        </w:drawing>
      </w:r>
    </w:p>
    <w:p>
      <w:pPr>
        <w:ind w:left="3140"/>
        <w:spacing w:after="0"/>
        <w:tabs>
          <w:tab w:leader="none" w:pos="4360" w:val="left"/>
        </w:tabs>
        <w:rPr>
          <w:sz w:val="20"/>
          <w:szCs w:val="20"/>
          <w:color w:val="auto"/>
        </w:rPr>
      </w:pPr>
      <w:r>
        <w:rPr>
          <w:rFonts w:ascii="Arial" w:cs="Arial" w:eastAsia="Arial" w:hAnsi="Arial"/>
          <w:sz w:val="18"/>
          <w:szCs w:val="18"/>
          <w:b w:val="1"/>
          <w:bCs w:val="1"/>
          <w:color w:val="auto"/>
        </w:rPr>
        <w:t>Period</w:t>
      </w:r>
      <w:r>
        <w:rPr>
          <w:sz w:val="20"/>
          <w:szCs w:val="20"/>
          <w:color w:val="auto"/>
        </w:rPr>
        <w:tab/>
      </w:r>
      <w:r>
        <w:rPr>
          <w:rFonts w:ascii="Arial" w:cs="Arial" w:eastAsia="Arial" w:hAnsi="Arial"/>
          <w:sz w:val="18"/>
          <w:szCs w:val="18"/>
          <w:b w:val="1"/>
          <w:bCs w:val="1"/>
          <w:color w:val="auto"/>
        </w:rPr>
        <w:t>Percentage (basis</w:t>
      </w:r>
    </w:p>
    <w:p>
      <w:pPr>
        <w:ind w:left="4860"/>
        <w:spacing w:after="0"/>
        <w:rPr>
          <w:sz w:val="20"/>
          <w:szCs w:val="20"/>
          <w:color w:val="auto"/>
        </w:rPr>
      </w:pPr>
      <w:r>
        <w:rPr>
          <w:rFonts w:ascii="Arial" w:cs="Arial" w:eastAsia="Arial" w:hAnsi="Arial"/>
          <w:sz w:val="21"/>
          <w:szCs w:val="21"/>
          <w:b w:val="1"/>
          <w:bCs w:val="1"/>
          <w:color w:val="auto"/>
        </w:rPr>
        <w:t>points)</w:t>
      </w:r>
    </w:p>
    <w:p>
      <w:pPr>
        <w:spacing w:after="0" w:line="12" w:lineRule="exact"/>
        <w:rPr>
          <w:sz w:val="20"/>
          <w:szCs w:val="20"/>
          <w:color w:val="auto"/>
        </w:rPr>
      </w:pPr>
    </w:p>
    <w:p>
      <w:pPr>
        <w:ind w:left="2740"/>
        <w:spacing w:after="0"/>
        <w:rPr>
          <w:sz w:val="20"/>
          <w:szCs w:val="20"/>
          <w:color w:val="auto"/>
        </w:rPr>
      </w:pPr>
      <w:r>
        <w:rPr>
          <w:rFonts w:ascii="Arial" w:cs="Arial" w:eastAsia="Arial" w:hAnsi="Arial"/>
          <w:sz w:val="21"/>
          <w:szCs w:val="21"/>
          <w:color w:val="auto"/>
        </w:rPr>
        <w:t>May–22 &amp; After</w:t>
      </w:r>
    </w:p>
    <w:p>
      <w:pPr>
        <w:spacing w:after="0" w:line="107" w:lineRule="exact"/>
        <w:rPr>
          <w:sz w:val="20"/>
          <w:szCs w:val="20"/>
          <w:color w:val="auto"/>
        </w:rPr>
      </w:pPr>
    </w:p>
    <w:p>
      <w:pPr>
        <w:ind w:left="4980"/>
        <w:spacing w:after="0"/>
        <w:rPr>
          <w:sz w:val="20"/>
          <w:szCs w:val="20"/>
          <w:color w:val="auto"/>
        </w:rPr>
      </w:pPr>
      <w:r>
        <w:rPr>
          <w:rFonts w:ascii="Arial" w:cs="Arial" w:eastAsia="Arial" w:hAnsi="Arial"/>
          <w:sz w:val="21"/>
          <w:szCs w:val="21"/>
          <w:color w:val="auto"/>
        </w:rPr>
        <w:t>0.00</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firstLine="624"/>
        <w:spacing w:after="0" w:line="253" w:lineRule="auto"/>
        <w:tabs>
          <w:tab w:leader="none" w:pos="1114" w:val="left"/>
        </w:tabs>
        <w:numPr>
          <w:ilvl w:val="0"/>
          <w:numId w:val="74"/>
        </w:numPr>
        <w:rPr>
          <w:rFonts w:ascii="Arial" w:cs="Arial" w:eastAsia="Arial" w:hAnsi="Arial"/>
          <w:sz w:val="21"/>
          <w:szCs w:val="21"/>
          <w:color w:val="auto"/>
        </w:rPr>
      </w:pPr>
      <w:r>
        <w:rPr>
          <w:rFonts w:ascii="Arial" w:cs="Arial" w:eastAsia="Arial" w:hAnsi="Arial"/>
          <w:sz w:val="21"/>
          <w:szCs w:val="21"/>
          <w:color w:val="auto"/>
        </w:rPr>
        <w:t>The Agreement is hereby amended by deleting Section 5.1(a) in Annex 1 and replacing it in its entirety and replacing it with the following:</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Amend 3 - New RMSR Agree FINAL (5-2-2022)(3)</w:t>
      </w:r>
    </w:p>
    <w:p>
      <w:pPr>
        <w:sectPr>
          <w:pgSz w:w="11900" w:h="16838" w:orient="portrait"/>
          <w:cols w:equalWidth="0" w:num="1">
            <w:col w:w="11240"/>
          </w:cols>
          <w:pgMar w:left="320" w:top="1346" w:right="339" w:bottom="1440" w:gutter="0" w:footer="0" w:header="0"/>
        </w:sectPr>
      </w:pPr>
    </w:p>
    <w:bookmarkStart w:id="105" w:name="page106"/>
    <w:bookmarkEnd w:id="105"/>
    <w:p>
      <w:pPr>
        <w:spacing w:after="0" w:line="346" w:lineRule="exact"/>
        <w:rPr>
          <w:sz w:val="20"/>
          <w:szCs w:val="20"/>
          <w:color w:val="auto"/>
        </w:rPr>
      </w:pPr>
    </w:p>
    <w:p>
      <w:pPr>
        <w:jc w:val="both"/>
        <w:ind w:left="620" w:firstLine="624"/>
        <w:spacing w:after="0" w:line="231" w:lineRule="auto"/>
        <w:tabs>
          <w:tab w:leader="none" w:pos="1824" w:val="left"/>
        </w:tabs>
        <w:numPr>
          <w:ilvl w:val="1"/>
          <w:numId w:val="75"/>
        </w:numPr>
        <w:rPr>
          <w:rFonts w:ascii="Arial" w:cs="Arial" w:eastAsia="Arial" w:hAnsi="Arial"/>
          <w:sz w:val="19"/>
          <w:szCs w:val="19"/>
          <w:color w:val="auto"/>
        </w:rPr>
      </w:pPr>
      <w:r>
        <w:rPr>
          <w:rFonts w:ascii="Arial" w:cs="Arial" w:eastAsia="Arial" w:hAnsi="Arial"/>
          <w:sz w:val="19"/>
          <w:szCs w:val="19"/>
          <w:color w:val="auto"/>
        </w:rPr>
        <w:t>The initial term of this Addendum shall be from the Effective Date to and including May 1, 2022 (the “</w:t>
      </w:r>
      <w:r>
        <w:rPr>
          <w:rFonts w:ascii="Arial" w:cs="Arial" w:eastAsia="Arial" w:hAnsi="Arial"/>
          <w:sz w:val="19"/>
          <w:szCs w:val="19"/>
          <w:u w:val="single" w:color="auto"/>
          <w:color w:val="auto"/>
        </w:rPr>
        <w:t>Initial</w:t>
      </w:r>
      <w:r>
        <w:rPr>
          <w:rFonts w:ascii="Arial" w:cs="Arial" w:eastAsia="Arial" w:hAnsi="Arial"/>
          <w:sz w:val="19"/>
          <w:szCs w:val="19"/>
          <w:color w:val="auto"/>
        </w:rPr>
        <w:t xml:space="preserve"> </w:t>
      </w:r>
      <w:r>
        <w:rPr>
          <w:rFonts w:ascii="Arial" w:cs="Arial" w:eastAsia="Arial" w:hAnsi="Arial"/>
          <w:sz w:val="19"/>
          <w:szCs w:val="19"/>
          <w:u w:val="single" w:color="auto"/>
          <w:color w:val="auto"/>
        </w:rPr>
        <w:t>Term</w:t>
      </w:r>
      <w:r>
        <w:rPr>
          <w:rFonts w:ascii="Arial" w:cs="Arial" w:eastAsia="Arial" w:hAnsi="Arial"/>
          <w:sz w:val="19"/>
          <w:szCs w:val="19"/>
          <w:color w:val="auto"/>
        </w:rPr>
        <w:t xml:space="preserve">”). The term of this Addendum shall be extended from and including the Third Amendment Effective Date to and including December 31, 2023 (the “Second Term”). Except as otherwise set forth in this </w:t>
      </w:r>
      <w:r>
        <w:rPr>
          <w:rFonts w:ascii="Arial" w:cs="Arial" w:eastAsia="Arial" w:hAnsi="Arial"/>
          <w:sz w:val="19"/>
          <w:szCs w:val="19"/>
          <w:u w:val="single" w:color="auto"/>
          <w:color w:val="auto"/>
        </w:rPr>
        <w:t>Section 5.1</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5.6</w:t>
      </w:r>
      <w:r>
        <w:rPr>
          <w:rFonts w:ascii="Arial" w:cs="Arial" w:eastAsia="Arial" w:hAnsi="Arial"/>
          <w:sz w:val="19"/>
          <w:szCs w:val="19"/>
          <w:color w:val="auto"/>
        </w:rPr>
        <w:t xml:space="preserve">, the Seller shall not be permitted to terminate this Addendum prior to the expiration of the Second Term. If this Addendum has not otherwise been terminated pursuant to this </w:t>
      </w:r>
      <w:r>
        <w:rPr>
          <w:rFonts w:ascii="Arial" w:cs="Arial" w:eastAsia="Arial" w:hAnsi="Arial"/>
          <w:sz w:val="19"/>
          <w:szCs w:val="19"/>
          <w:u w:val="single" w:color="auto"/>
          <w:color w:val="auto"/>
        </w:rPr>
        <w:t>Article V</w:t>
      </w:r>
      <w:r>
        <w:rPr>
          <w:rFonts w:ascii="Arial" w:cs="Arial" w:eastAsia="Arial" w:hAnsi="Arial"/>
          <w:sz w:val="19"/>
          <w:szCs w:val="19"/>
          <w:color w:val="auto"/>
        </w:rPr>
        <w:t xml:space="preserve">, then the term of this Addendum shall automatically renew for successive one (1) year terms after the expiration of the Second Term, from and including January 1 immediately following the last day of the applicable prior term to and including December 31 of such year. The Seller shall not resign from the obligations and duties under any Servicing Agreement, except (i) upon determination that its duties hereunder are no longer permissible under applicable law and such incapacity cannot be cured by Seller or any Purchaser [***]. If Seller resigns under any Servicing Agreement, Seller shall (A) reimburse the Purchasers for Purchasers' Servicing Transfer Costs, if any, incurred in connection with transferring the servicing to a successor servicer, (B) not be entitled to any Termination Fee, deboarding fees or reimbursement of its Servicing Transfer Costs or amounts it is required to pay or reimburse to third parties under the applicable Servicing Agreements in connection with such resignation and (C) pay the applicable Average Third Party Mark Payment pursuant to </w:t>
      </w:r>
      <w:r>
        <w:rPr>
          <w:rFonts w:ascii="Arial" w:cs="Arial" w:eastAsia="Arial" w:hAnsi="Arial"/>
          <w:sz w:val="19"/>
          <w:szCs w:val="19"/>
          <w:u w:val="single" w:color="auto"/>
          <w:color w:val="auto"/>
        </w:rPr>
        <w:t>Section 8.1</w:t>
      </w:r>
      <w:r>
        <w:rPr>
          <w:rFonts w:ascii="Arial" w:cs="Arial" w:eastAsia="Arial" w:hAnsi="Arial"/>
          <w:sz w:val="19"/>
          <w:szCs w:val="19"/>
          <w:color w:val="auto"/>
        </w:rPr>
        <w:t>. Any such determination that Seller’s duties hereunder are no longer permissible under applicable law shall be evidenced by an opinion of counsel written by a law firm reasonably acceptable to Purchasers to such effect in form and substance reasonably acceptable to Purchasers.</w:t>
      </w:r>
    </w:p>
    <w:p>
      <w:pPr>
        <w:spacing w:after="0" w:line="175" w:lineRule="exact"/>
        <w:rPr>
          <w:rFonts w:ascii="Arial" w:cs="Arial" w:eastAsia="Arial" w:hAnsi="Arial"/>
          <w:sz w:val="19"/>
          <w:szCs w:val="19"/>
          <w:color w:val="auto"/>
        </w:rPr>
      </w:pPr>
    </w:p>
    <w:p>
      <w:pPr>
        <w:ind w:firstLine="624"/>
        <w:spacing w:after="0" w:line="253" w:lineRule="auto"/>
        <w:tabs>
          <w:tab w:leader="none" w:pos="1070" w:val="left"/>
        </w:tabs>
        <w:numPr>
          <w:ilvl w:val="0"/>
          <w:numId w:val="76"/>
        </w:numPr>
        <w:rPr>
          <w:rFonts w:ascii="Arial" w:cs="Arial" w:eastAsia="Arial" w:hAnsi="Arial"/>
          <w:sz w:val="21"/>
          <w:szCs w:val="21"/>
          <w:color w:val="auto"/>
        </w:rPr>
      </w:pPr>
      <w:r>
        <w:rPr>
          <w:rFonts w:ascii="Arial" w:cs="Arial" w:eastAsia="Arial" w:hAnsi="Arial"/>
          <w:sz w:val="21"/>
          <w:szCs w:val="21"/>
          <w:color w:val="auto"/>
        </w:rPr>
        <w:t xml:space="preserve">The Agreement is hereby amended by deleting </w:t>
      </w:r>
      <w:r>
        <w:rPr>
          <w:rFonts w:ascii="Arial" w:cs="Arial" w:eastAsia="Arial" w:hAnsi="Arial"/>
          <w:sz w:val="21"/>
          <w:szCs w:val="21"/>
          <w:u w:val="single" w:color="auto"/>
          <w:color w:val="auto"/>
        </w:rPr>
        <w:t>Section 5.1(b)</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Section 5.1(c)</w:t>
      </w:r>
      <w:r>
        <w:rPr>
          <w:rFonts w:ascii="Arial" w:cs="Arial" w:eastAsia="Arial" w:hAnsi="Arial"/>
          <w:sz w:val="21"/>
          <w:szCs w:val="21"/>
          <w:color w:val="auto"/>
        </w:rPr>
        <w:t xml:space="preserve"> in Annex 1 and replacing them in their entirety with the following:</w:t>
      </w:r>
    </w:p>
    <w:p>
      <w:pPr>
        <w:spacing w:after="0" w:line="382" w:lineRule="exact"/>
        <w:rPr>
          <w:rFonts w:ascii="Arial" w:cs="Arial" w:eastAsia="Arial" w:hAnsi="Arial"/>
          <w:sz w:val="21"/>
          <w:szCs w:val="21"/>
          <w:color w:val="auto"/>
        </w:rPr>
      </w:pPr>
    </w:p>
    <w:p>
      <w:pPr>
        <w:jc w:val="both"/>
        <w:ind w:left="620" w:firstLine="624"/>
        <w:spacing w:after="0" w:line="207" w:lineRule="auto"/>
        <w:tabs>
          <w:tab w:leader="none" w:pos="1815" w:val="left"/>
        </w:tabs>
        <w:numPr>
          <w:ilvl w:val="1"/>
          <w:numId w:val="76"/>
        </w:numPr>
        <w:rPr>
          <w:rFonts w:ascii="Arial" w:cs="Arial" w:eastAsia="Arial" w:hAnsi="Arial"/>
          <w:sz w:val="21"/>
          <w:szCs w:val="21"/>
          <w:color w:val="auto"/>
        </w:rPr>
      </w:pPr>
      <w:r>
        <w:rPr>
          <w:rFonts w:ascii="Arial" w:cs="Arial" w:eastAsia="Arial" w:hAnsi="Arial"/>
          <w:sz w:val="21"/>
          <w:szCs w:val="21"/>
          <w:color w:val="auto"/>
        </w:rPr>
        <w:t>Holdings may terminate this Addendum at the end of the Second Term or at the end of any subsequent one (1) year term, in whole but not in part, (unless otherwise expressly permitted pursuant to this Addendum) by delivering written notice of such termination to Seller by October 1</w:t>
      </w:r>
      <w:r>
        <w:rPr>
          <w:rFonts w:ascii="Arial" w:cs="Arial" w:eastAsia="Arial" w:hAnsi="Arial"/>
          <w:sz w:val="26"/>
          <w:szCs w:val="26"/>
          <w:color w:val="auto"/>
          <w:vertAlign w:val="superscript"/>
        </w:rPr>
        <w:t>st</w:t>
      </w:r>
      <w:r>
        <w:rPr>
          <w:rFonts w:ascii="Arial" w:cs="Arial" w:eastAsia="Arial" w:hAnsi="Arial"/>
          <w:sz w:val="21"/>
          <w:szCs w:val="21"/>
          <w:color w:val="auto"/>
        </w:rPr>
        <w:t xml:space="preserve"> (or if such day is not a Business Day, the first Business Day immediately following such day) of such applicable term.</w:t>
      </w:r>
    </w:p>
    <w:p>
      <w:pPr>
        <w:spacing w:after="0" w:line="150" w:lineRule="exact"/>
        <w:rPr>
          <w:rFonts w:ascii="Arial" w:cs="Arial" w:eastAsia="Arial" w:hAnsi="Arial"/>
          <w:sz w:val="21"/>
          <w:szCs w:val="21"/>
          <w:color w:val="auto"/>
        </w:rPr>
      </w:pPr>
    </w:p>
    <w:p>
      <w:pPr>
        <w:jc w:val="both"/>
        <w:ind w:left="620" w:firstLine="624"/>
        <w:spacing w:after="0" w:line="217" w:lineRule="auto"/>
        <w:tabs>
          <w:tab w:leader="none" w:pos="1728" w:val="left"/>
        </w:tabs>
        <w:numPr>
          <w:ilvl w:val="1"/>
          <w:numId w:val="76"/>
        </w:numPr>
        <w:rPr>
          <w:rFonts w:ascii="Arial" w:cs="Arial" w:eastAsia="Arial" w:hAnsi="Arial"/>
          <w:sz w:val="20"/>
          <w:szCs w:val="20"/>
          <w:color w:val="auto"/>
        </w:rPr>
      </w:pPr>
      <w:r>
        <w:rPr>
          <w:rFonts w:ascii="Arial" w:cs="Arial" w:eastAsia="Arial" w:hAnsi="Arial"/>
          <w:sz w:val="20"/>
          <w:szCs w:val="20"/>
          <w:color w:val="auto"/>
        </w:rPr>
        <w:t>The Seller may terminate this Addendum at the end of the Second Term or at the end of any subsequent one (1) year term, in whole but not in part</w:t>
      </w:r>
      <w:r>
        <w:rPr>
          <w:rFonts w:ascii="Arial" w:cs="Arial" w:eastAsia="Arial" w:hAnsi="Arial"/>
          <w:sz w:val="20"/>
          <w:szCs w:val="20"/>
          <w:b w:val="1"/>
          <w:bCs w:val="1"/>
          <w:u w:val="single" w:color="auto"/>
          <w:color w:val="auto"/>
        </w:rPr>
        <w:t>,</w:t>
      </w:r>
      <w:r>
        <w:rPr>
          <w:rFonts w:ascii="Arial" w:cs="Arial" w:eastAsia="Arial" w:hAnsi="Arial"/>
          <w:sz w:val="20"/>
          <w:szCs w:val="20"/>
          <w:color w:val="auto"/>
        </w:rPr>
        <w:t xml:space="preserve"> by delivering written notice of such termination to Holdings by July 1</w:t>
      </w:r>
      <w:r>
        <w:rPr>
          <w:rFonts w:ascii="Arial" w:cs="Arial" w:eastAsia="Arial" w:hAnsi="Arial"/>
          <w:sz w:val="25"/>
          <w:szCs w:val="25"/>
          <w:color w:val="auto"/>
          <w:vertAlign w:val="superscript"/>
        </w:rPr>
        <w:t>st</w:t>
      </w:r>
      <w:r>
        <w:rPr>
          <w:rFonts w:ascii="Arial" w:cs="Arial" w:eastAsia="Arial" w:hAnsi="Arial"/>
          <w:sz w:val="20"/>
          <w:szCs w:val="20"/>
          <w:color w:val="auto"/>
        </w:rPr>
        <w:t xml:space="preserve"> (or if such day is not a Business Day, the first Business Day immediately following such day) of such applicable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5295265</wp:posOffset>
            </wp:positionH>
            <wp:positionV relativeFrom="paragraph">
              <wp:posOffset>-3368675</wp:posOffset>
            </wp:positionV>
            <wp:extent cx="4953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8">
                      <a:extLst>
                        <a:ext uri="{28A0092B-C50C-407E-A947-70E740481C1C}"/>
                      </a:extLst>
                    </a:blip>
                    <a:srcRect/>
                    <a:stretch>
                      <a:fillRect/>
                    </a:stretch>
                  </pic:blipFill>
                  <pic:spPr bwMode="auto">
                    <a:xfrm>
                      <a:off x="0" y="0"/>
                      <a:ext cx="495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Amend 3 - New RMSR Agree FINAL (5-2-2022)(3)</w:t>
      </w:r>
    </w:p>
    <w:p>
      <w:pPr>
        <w:sectPr>
          <w:pgSz w:w="11900" w:h="16838" w:orient="portrait"/>
          <w:cols w:equalWidth="0" w:num="1">
            <w:col w:w="11240"/>
          </w:cols>
          <w:pgMar w:left="320" w:top="1440" w:right="339" w:bottom="1440" w:gutter="0" w:footer="0" w:header="0"/>
        </w:sectPr>
      </w:pPr>
    </w:p>
    <w:bookmarkStart w:id="106" w:name="page107"/>
    <w:bookmarkEnd w:id="106"/>
    <w:p>
      <w:pPr>
        <w:spacing w:after="0" w:line="126" w:lineRule="exact"/>
        <w:rPr>
          <w:sz w:val="20"/>
          <w:szCs w:val="20"/>
          <w:color w:val="auto"/>
        </w:rPr>
      </w:pPr>
    </w:p>
    <w:p>
      <w:pPr>
        <w:ind w:firstLine="624"/>
        <w:spacing w:after="0" w:line="253" w:lineRule="auto"/>
        <w:tabs>
          <w:tab w:leader="none" w:pos="1098" w:val="left"/>
        </w:tabs>
        <w:numPr>
          <w:ilvl w:val="0"/>
          <w:numId w:val="77"/>
        </w:numPr>
        <w:rPr>
          <w:rFonts w:ascii="Arial" w:cs="Arial" w:eastAsia="Arial" w:hAnsi="Arial"/>
          <w:sz w:val="21"/>
          <w:szCs w:val="21"/>
          <w:color w:val="auto"/>
        </w:rPr>
      </w:pPr>
      <w:r>
        <w:rPr>
          <w:rFonts w:ascii="Arial" w:cs="Arial" w:eastAsia="Arial" w:hAnsi="Arial"/>
          <w:sz w:val="21"/>
          <w:szCs w:val="21"/>
          <w:color w:val="auto"/>
        </w:rPr>
        <w:t xml:space="preserve">The Agreement is hereby amended by deleting </w:t>
      </w:r>
      <w:r>
        <w:rPr>
          <w:rFonts w:ascii="Arial" w:cs="Arial" w:eastAsia="Arial" w:hAnsi="Arial"/>
          <w:sz w:val="21"/>
          <w:szCs w:val="21"/>
          <w:u w:val="single" w:color="auto"/>
          <w:color w:val="auto"/>
        </w:rPr>
        <w:t>Section 5.4(a)(ii)</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5.4(a)(iii)</w:t>
      </w:r>
      <w:r>
        <w:rPr>
          <w:rFonts w:ascii="Arial" w:cs="Arial" w:eastAsia="Arial" w:hAnsi="Arial"/>
          <w:sz w:val="21"/>
          <w:szCs w:val="21"/>
          <w:color w:val="auto"/>
        </w:rPr>
        <w:t xml:space="preserve"> in Annex 1 and replacing them in their entirety with the following:</w:t>
      </w:r>
    </w:p>
    <w:p>
      <w:pPr>
        <w:spacing w:after="0" w:line="175" w:lineRule="exact"/>
        <w:rPr>
          <w:rFonts w:ascii="Arial" w:cs="Arial" w:eastAsia="Arial" w:hAnsi="Arial"/>
          <w:sz w:val="21"/>
          <w:szCs w:val="21"/>
          <w:color w:val="auto"/>
        </w:rPr>
      </w:pPr>
    </w:p>
    <w:p>
      <w:pPr>
        <w:ind w:left="1700" w:hanging="456"/>
        <w:spacing w:after="0"/>
        <w:tabs>
          <w:tab w:leader="none" w:pos="1700" w:val="left"/>
        </w:tabs>
        <w:numPr>
          <w:ilvl w:val="1"/>
          <w:numId w:val="77"/>
        </w:numPr>
        <w:rPr>
          <w:rFonts w:ascii="Arial" w:cs="Arial" w:eastAsia="Arial" w:hAnsi="Arial"/>
          <w:sz w:val="21"/>
          <w:szCs w:val="21"/>
          <w:color w:val="auto"/>
        </w:rPr>
      </w:pPr>
      <w:r>
        <w:rPr>
          <w:rFonts w:ascii="Arial" w:cs="Arial" w:eastAsia="Arial" w:hAnsi="Arial"/>
          <w:sz w:val="21"/>
          <w:szCs w:val="21"/>
          <w:color w:val="auto"/>
        </w:rPr>
        <w:t>[Reserved]; or</w:t>
      </w:r>
    </w:p>
    <w:p>
      <w:pPr>
        <w:spacing w:after="0" w:line="197" w:lineRule="exact"/>
        <w:rPr>
          <w:rFonts w:ascii="Arial" w:cs="Arial" w:eastAsia="Arial" w:hAnsi="Arial"/>
          <w:sz w:val="21"/>
          <w:szCs w:val="21"/>
          <w:color w:val="auto"/>
        </w:rPr>
      </w:pPr>
    </w:p>
    <w:p>
      <w:pPr>
        <w:jc w:val="both"/>
        <w:ind w:left="620" w:firstLine="624"/>
        <w:spacing w:after="0" w:line="248" w:lineRule="auto"/>
        <w:tabs>
          <w:tab w:leader="none" w:pos="1829" w:val="left"/>
        </w:tabs>
        <w:numPr>
          <w:ilvl w:val="1"/>
          <w:numId w:val="77"/>
        </w:numPr>
        <w:rPr>
          <w:rFonts w:ascii="Arial" w:cs="Arial" w:eastAsia="Arial" w:hAnsi="Arial"/>
          <w:sz w:val="20"/>
          <w:szCs w:val="20"/>
          <w:color w:val="auto"/>
        </w:rPr>
      </w:pPr>
      <w:r>
        <w:rPr>
          <w:rFonts w:ascii="Arial" w:cs="Arial" w:eastAsia="Arial" w:hAnsi="Arial"/>
          <w:sz w:val="20"/>
          <w:szCs w:val="20"/>
          <w:color w:val="auto"/>
        </w:rPr>
        <w:t>terminates this Addendum pursuant to Section 5.1(b), (A) Seller shall not be entitled to any Termination Fee; (B) neither party shall be responsible for paying any deboarding or boarding fees, and (C) (I) each of Seller and Holdings shall pay 50% of the aggregate Servicing Transfer Costs incurred by such parties in connection with transferring the servicing to a successor servicer or subservicer if either (I) the NRM Subservicing Agreement has not been terminated or (ii) such costs are incurred on or prior to 90 days following the Effective Date of Termination of the NRM Subservicing Agreement and (II) thereafter, Holdings shall pay all Servicing Transfer Costs incurred by such parties in connection with transferring the servicing to a successor servicer or subservicer; or</w:t>
      </w:r>
    </w:p>
    <w:p>
      <w:pPr>
        <w:spacing w:after="0" w:line="171" w:lineRule="exact"/>
        <w:rPr>
          <w:rFonts w:ascii="Arial" w:cs="Arial" w:eastAsia="Arial" w:hAnsi="Arial"/>
          <w:sz w:val="20"/>
          <w:szCs w:val="20"/>
          <w:color w:val="auto"/>
        </w:rPr>
      </w:pPr>
    </w:p>
    <w:p>
      <w:pPr>
        <w:ind w:left="1180" w:hanging="556"/>
        <w:spacing w:after="0"/>
        <w:tabs>
          <w:tab w:leader="none" w:pos="1180" w:val="left"/>
        </w:tabs>
        <w:numPr>
          <w:ilvl w:val="0"/>
          <w:numId w:val="77"/>
        </w:numPr>
        <w:rPr>
          <w:rFonts w:ascii="Arial" w:cs="Arial" w:eastAsia="Arial" w:hAnsi="Arial"/>
          <w:sz w:val="19"/>
          <w:szCs w:val="19"/>
          <w:color w:val="auto"/>
        </w:rPr>
      </w:pPr>
      <w:r>
        <w:rPr>
          <w:rFonts w:ascii="Arial" w:cs="Arial" w:eastAsia="Arial" w:hAnsi="Arial"/>
          <w:sz w:val="19"/>
          <w:szCs w:val="19"/>
          <w:color w:val="auto"/>
        </w:rPr>
        <w:t xml:space="preserve">The Agreement is hereby amended by deleting </w:t>
      </w:r>
      <w:r>
        <w:rPr>
          <w:rFonts w:ascii="Arial" w:cs="Arial" w:eastAsia="Arial" w:hAnsi="Arial"/>
          <w:sz w:val="19"/>
          <w:szCs w:val="19"/>
          <w:u w:val="single" w:color="auto"/>
          <w:color w:val="auto"/>
        </w:rPr>
        <w:t>Section 5.4(b)(iii)</w:t>
      </w:r>
      <w:r>
        <w:rPr>
          <w:rFonts w:ascii="Arial" w:cs="Arial" w:eastAsia="Arial" w:hAnsi="Arial"/>
          <w:sz w:val="19"/>
          <w:szCs w:val="19"/>
          <w:color w:val="auto"/>
        </w:rPr>
        <w:t xml:space="preserve"> in Annex 1 and replacing it in its entirety with the</w:t>
      </w:r>
    </w:p>
    <w:p>
      <w:pPr>
        <w:spacing w:after="0" w:line="3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1"/>
          <w:szCs w:val="21"/>
          <w:color w:val="auto"/>
        </w:rPr>
        <w:t>following:</w:t>
      </w:r>
    </w:p>
    <w:p>
      <w:pPr>
        <w:spacing w:after="0" w:line="179" w:lineRule="exact"/>
        <w:rPr>
          <w:rFonts w:ascii="Arial" w:cs="Arial" w:eastAsia="Arial" w:hAnsi="Arial"/>
          <w:sz w:val="19"/>
          <w:szCs w:val="19"/>
          <w:color w:val="auto"/>
        </w:rPr>
      </w:pPr>
    </w:p>
    <w:p>
      <w:pPr>
        <w:jc w:val="both"/>
        <w:ind w:left="620" w:firstLine="624"/>
        <w:spacing w:after="0" w:line="260" w:lineRule="auto"/>
        <w:tabs>
          <w:tab w:leader="none" w:pos="1938" w:val="left"/>
        </w:tabs>
        <w:numPr>
          <w:ilvl w:val="1"/>
          <w:numId w:val="78"/>
        </w:numPr>
        <w:rPr>
          <w:rFonts w:ascii="Arial" w:cs="Arial" w:eastAsia="Arial" w:hAnsi="Arial"/>
          <w:sz w:val="20"/>
          <w:szCs w:val="20"/>
          <w:color w:val="auto"/>
        </w:rPr>
      </w:pPr>
      <w:r>
        <w:rPr>
          <w:rFonts w:ascii="Arial" w:cs="Arial" w:eastAsia="Arial" w:hAnsi="Arial"/>
          <w:sz w:val="20"/>
          <w:szCs w:val="20"/>
          <w:color w:val="auto"/>
        </w:rPr>
        <w:t>terminates this Addendum pursuant to Section 5.1(c), (A) each of Seller and Holdings shall pay 50% of the aggregate Servicing Transfer Costs incurred by such parties in connection with transferring the servicing to a successor servicer or subservicer and (B) neither party shall be responsible for paying any deboarding or boarding fees.</w:t>
      </w:r>
    </w:p>
    <w:p>
      <w:pPr>
        <w:spacing w:after="0" w:line="169" w:lineRule="exact"/>
        <w:rPr>
          <w:rFonts w:ascii="Arial" w:cs="Arial" w:eastAsia="Arial" w:hAnsi="Arial"/>
          <w:sz w:val="20"/>
          <w:szCs w:val="20"/>
          <w:color w:val="auto"/>
        </w:rPr>
      </w:pPr>
    </w:p>
    <w:p>
      <w:pPr>
        <w:ind w:firstLine="624"/>
        <w:spacing w:after="0" w:line="253" w:lineRule="auto"/>
        <w:tabs>
          <w:tab w:leader="none" w:pos="1115" w:val="left"/>
        </w:tabs>
        <w:numPr>
          <w:ilvl w:val="0"/>
          <w:numId w:val="79"/>
        </w:numPr>
        <w:rPr>
          <w:rFonts w:ascii="Arial" w:cs="Arial" w:eastAsia="Arial" w:hAnsi="Arial"/>
          <w:sz w:val="21"/>
          <w:szCs w:val="21"/>
          <w:color w:val="auto"/>
        </w:rPr>
      </w:pPr>
      <w:r>
        <w:rPr>
          <w:rFonts w:ascii="Arial" w:cs="Arial" w:eastAsia="Arial" w:hAnsi="Arial"/>
          <w:sz w:val="21"/>
          <w:szCs w:val="21"/>
          <w:color w:val="auto"/>
        </w:rPr>
        <w:t xml:space="preserve">The Agreement is hereby amended by deleting the first paragraph of </w:t>
      </w:r>
      <w:r>
        <w:rPr>
          <w:rFonts w:ascii="Arial" w:cs="Arial" w:eastAsia="Arial" w:hAnsi="Arial"/>
          <w:sz w:val="21"/>
          <w:szCs w:val="21"/>
          <w:u w:val="single" w:color="auto"/>
          <w:color w:val="auto"/>
        </w:rPr>
        <w:t>Section 5.4(c)</w:t>
      </w:r>
      <w:r>
        <w:rPr>
          <w:rFonts w:ascii="Arial" w:cs="Arial" w:eastAsia="Arial" w:hAnsi="Arial"/>
          <w:sz w:val="21"/>
          <w:szCs w:val="21"/>
          <w:color w:val="auto"/>
        </w:rPr>
        <w:t xml:space="preserve"> in Annex 1 and replacing it in its entirety with the following:</w:t>
      </w:r>
    </w:p>
    <w:p>
      <w:pPr>
        <w:spacing w:after="0" w:line="163" w:lineRule="exact"/>
        <w:rPr>
          <w:sz w:val="20"/>
          <w:szCs w:val="20"/>
          <w:color w:val="auto"/>
        </w:rPr>
      </w:pPr>
    </w:p>
    <w:p>
      <w:pPr>
        <w:jc w:val="both"/>
        <w:ind w:left="620"/>
        <w:spacing w:after="0" w:line="239" w:lineRule="auto"/>
        <w:rPr>
          <w:sz w:val="20"/>
          <w:szCs w:val="20"/>
          <w:color w:val="auto"/>
        </w:rPr>
      </w:pPr>
      <w:r>
        <w:rPr>
          <w:rFonts w:ascii="Arial" w:cs="Arial" w:eastAsia="Arial" w:hAnsi="Arial"/>
          <w:sz w:val="21"/>
          <w:szCs w:val="21"/>
          <w:color w:val="auto"/>
        </w:rPr>
        <w:t>If Holdings terminates this Addendum pursuant to Section 5.1(b), the Purchasers may elect in their sole and absolute discretion to seek to sell the Servicing Rights, including the Rights to MSRs and Excess Servicing Fees (an “MSR Sale”) or to retain the Rights to MSRs and Excess Servicing Fees by entering into a new rights to MSRs agreement with, and transferring named servicing to, a successor servicer (a “Substitute RMSR Arrangement”).</w:t>
      </w:r>
    </w:p>
    <w:p>
      <w:pPr>
        <w:spacing w:after="0" w:line="175" w:lineRule="exact"/>
        <w:rPr>
          <w:sz w:val="20"/>
          <w:szCs w:val="20"/>
          <w:color w:val="auto"/>
        </w:rPr>
      </w:pPr>
    </w:p>
    <w:p>
      <w:pPr>
        <w:ind w:left="1200" w:hanging="576"/>
        <w:spacing w:after="0"/>
        <w:tabs>
          <w:tab w:leader="none" w:pos="1200" w:val="left"/>
        </w:tabs>
        <w:numPr>
          <w:ilvl w:val="0"/>
          <w:numId w:val="80"/>
        </w:numPr>
        <w:rPr>
          <w:rFonts w:ascii="Arial" w:cs="Arial" w:eastAsia="Arial" w:hAnsi="Arial"/>
          <w:sz w:val="19"/>
          <w:szCs w:val="19"/>
          <w:color w:val="auto"/>
        </w:rPr>
      </w:pPr>
      <w:r>
        <w:rPr>
          <w:rFonts w:ascii="Arial" w:cs="Arial" w:eastAsia="Arial" w:hAnsi="Arial"/>
          <w:sz w:val="19"/>
          <w:szCs w:val="19"/>
          <w:color w:val="auto"/>
        </w:rPr>
        <w:t xml:space="preserve">The Agreement is hereby amended by deleting </w:t>
      </w:r>
      <w:r>
        <w:rPr>
          <w:rFonts w:ascii="Arial" w:cs="Arial" w:eastAsia="Arial" w:hAnsi="Arial"/>
          <w:sz w:val="19"/>
          <w:szCs w:val="19"/>
          <w:u w:val="single" w:color="auto"/>
          <w:color w:val="auto"/>
        </w:rPr>
        <w:t>Section 5.7(a)(viii)</w:t>
      </w:r>
      <w:r>
        <w:rPr>
          <w:rFonts w:ascii="Arial" w:cs="Arial" w:eastAsia="Arial" w:hAnsi="Arial"/>
          <w:sz w:val="19"/>
          <w:szCs w:val="19"/>
          <w:color w:val="auto"/>
        </w:rPr>
        <w:t xml:space="preserve"> in Annex 1 and replacing it in its entirety with the</w:t>
      </w:r>
    </w:p>
    <w:p>
      <w:pPr>
        <w:spacing w:after="0" w:line="3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1"/>
          <w:szCs w:val="21"/>
          <w:color w:val="auto"/>
        </w:rPr>
        <w:t>following:</w:t>
      </w:r>
    </w:p>
    <w:p>
      <w:pPr>
        <w:spacing w:after="0" w:line="179" w:lineRule="exact"/>
        <w:rPr>
          <w:rFonts w:ascii="Arial" w:cs="Arial" w:eastAsia="Arial" w:hAnsi="Arial"/>
          <w:sz w:val="19"/>
          <w:szCs w:val="19"/>
          <w:color w:val="auto"/>
        </w:rPr>
      </w:pPr>
    </w:p>
    <w:p>
      <w:pPr>
        <w:jc w:val="both"/>
        <w:ind w:left="620" w:firstLine="624"/>
        <w:spacing w:after="0" w:line="258" w:lineRule="auto"/>
        <w:tabs>
          <w:tab w:leader="none" w:pos="1717" w:val="left"/>
        </w:tabs>
        <w:numPr>
          <w:ilvl w:val="1"/>
          <w:numId w:val="80"/>
        </w:numPr>
        <w:rPr>
          <w:rFonts w:ascii="Arial" w:cs="Arial" w:eastAsia="Arial" w:hAnsi="Arial"/>
          <w:sz w:val="19"/>
          <w:szCs w:val="19"/>
          <w:color w:val="auto"/>
        </w:rPr>
      </w:pPr>
      <w:r>
        <w:rPr>
          <w:rFonts w:ascii="Arial" w:cs="Arial" w:eastAsia="Arial" w:hAnsi="Arial"/>
          <w:sz w:val="19"/>
          <w:szCs w:val="19"/>
          <w:color w:val="auto"/>
        </w:rPr>
        <w:t xml:space="preserve">in its supervisory capacity and as servicer of record, Seller shall be entitled to receive from Purchasers an annual fee equal to (a) [***] multiplied by the unpaid principal balance of all Mortgage Loans serviced at subservicers and (b) a [***] flat fee for each subservicer appointed pursuant to this </w:t>
      </w:r>
      <w:r>
        <w:rPr>
          <w:rFonts w:ascii="Arial" w:cs="Arial" w:eastAsia="Arial" w:hAnsi="Arial"/>
          <w:sz w:val="19"/>
          <w:szCs w:val="19"/>
          <w:u w:val="single" w:color="auto"/>
          <w:color w:val="auto"/>
        </w:rPr>
        <w:t>Section 5.7</w:t>
      </w:r>
      <w:r>
        <w:rPr>
          <w:rFonts w:ascii="Arial" w:cs="Arial" w:eastAsia="Arial" w:hAnsi="Arial"/>
          <w:sz w:val="19"/>
          <w:szCs w:val="19"/>
          <w:color w:val="auto"/>
        </w:rPr>
        <w:t xml:space="preserve">, together with specified expenses set forth on </w:t>
      </w:r>
      <w:r>
        <w:rPr>
          <w:rFonts w:ascii="Arial" w:cs="Arial" w:eastAsia="Arial" w:hAnsi="Arial"/>
          <w:sz w:val="19"/>
          <w:szCs w:val="19"/>
          <w:u w:val="single" w:color="auto"/>
          <w:color w:val="auto"/>
        </w:rPr>
        <w:t>Schedule</w:t>
      </w:r>
      <w:r>
        <w:rPr>
          <w:rFonts w:ascii="Arial" w:cs="Arial" w:eastAsia="Arial" w:hAnsi="Arial"/>
          <w:sz w:val="19"/>
          <w:szCs w:val="19"/>
          <w:color w:val="auto"/>
        </w:rPr>
        <w:t xml:space="preserve"> </w:t>
      </w:r>
      <w:r>
        <w:rPr>
          <w:rFonts w:ascii="Arial" w:cs="Arial" w:eastAsia="Arial" w:hAnsi="Arial"/>
          <w:sz w:val="19"/>
          <w:szCs w:val="19"/>
          <w:u w:val="single" w:color="auto"/>
          <w:color w:val="auto"/>
        </w:rPr>
        <w:t>5.7(a)</w:t>
      </w:r>
      <w:r>
        <w:rPr>
          <w:rFonts w:ascii="Arial" w:cs="Arial" w:eastAsia="Arial" w:hAnsi="Arial"/>
          <w:sz w:val="19"/>
          <w:szCs w:val="19"/>
          <w:color w:val="auto"/>
        </w:rPr>
        <w:t>. Such fees shall be paid monthly calculated as follows: a monthly amount equal to the sum of (</w:t>
      </w:r>
      <w:r>
        <w:rPr>
          <w:rFonts w:ascii="Arial" w:cs="Arial" w:eastAsia="Arial" w:hAnsi="Arial"/>
          <w:sz w:val="19"/>
          <w:szCs w:val="19"/>
          <w:u w:val="single" w:color="auto"/>
          <w:color w:val="auto"/>
        </w:rPr>
        <w:t>x</w:t>
      </w:r>
      <w:r>
        <w:rPr>
          <w:rFonts w:ascii="Arial" w:cs="Arial" w:eastAsia="Arial" w:hAnsi="Arial"/>
          <w:sz w:val="19"/>
          <w:szCs w:val="19"/>
          <w:color w:val="auto"/>
        </w:rPr>
        <w:t>) an amount equal to (A) the product of (i) [***] and (ii) the total unpaid principal balance of the Mortgage Loans serviced at subservicers as of the first Business Day of such calendar month, divided by (B) twelve (12) and (</w:t>
      </w:r>
      <w:r>
        <w:rPr>
          <w:rFonts w:ascii="Arial" w:cs="Arial" w:eastAsia="Arial" w:hAnsi="Arial"/>
          <w:sz w:val="19"/>
          <w:szCs w:val="19"/>
          <w:u w:val="single" w:color="auto"/>
          <w:color w:val="auto"/>
        </w:rPr>
        <w:t>y</w:t>
      </w:r>
      <w:r>
        <w:rPr>
          <w:rFonts w:ascii="Arial" w:cs="Arial" w:eastAsia="Arial" w:hAnsi="Arial"/>
          <w:sz w:val="19"/>
          <w:szCs w:val="19"/>
          <w:color w:val="auto"/>
        </w:rPr>
        <w:t>) an amount equal to (A) the product of (i) [***] and</w:t>
      </w:r>
    </w:p>
    <w:p>
      <w:pPr>
        <w:spacing w:after="0" w:line="4" w:lineRule="exact"/>
        <w:rPr>
          <w:rFonts w:ascii="Arial" w:cs="Arial" w:eastAsia="Arial" w:hAnsi="Arial"/>
          <w:sz w:val="19"/>
          <w:szCs w:val="19"/>
          <w:color w:val="auto"/>
        </w:rPr>
      </w:pPr>
    </w:p>
    <w:p>
      <w:pPr>
        <w:ind w:left="940" w:hanging="316"/>
        <w:spacing w:after="0"/>
        <w:tabs>
          <w:tab w:leader="none" w:pos="940" w:val="left"/>
        </w:tabs>
        <w:numPr>
          <w:ilvl w:val="0"/>
          <w:numId w:val="81"/>
        </w:numPr>
        <w:rPr>
          <w:rFonts w:ascii="Arial" w:cs="Arial" w:eastAsia="Arial" w:hAnsi="Arial"/>
          <w:sz w:val="19"/>
          <w:szCs w:val="19"/>
          <w:color w:val="auto"/>
        </w:rPr>
      </w:pPr>
      <w:r>
        <w:rPr>
          <w:rFonts w:ascii="Arial" w:cs="Arial" w:eastAsia="Arial" w:hAnsi="Arial"/>
          <w:sz w:val="19"/>
          <w:szCs w:val="19"/>
          <w:color w:val="auto"/>
        </w:rPr>
        <w:t>the total number of subservicers that were servicing Mortgage Loans at any time during such calendar month, divided by</w:t>
      </w:r>
    </w:p>
    <w:p>
      <w:pPr>
        <w:spacing w:after="0" w:line="14" w:lineRule="exact"/>
        <w:rPr>
          <w:rFonts w:ascii="Arial" w:cs="Arial" w:eastAsia="Arial" w:hAnsi="Arial"/>
          <w:sz w:val="19"/>
          <w:szCs w:val="19"/>
          <w:color w:val="auto"/>
        </w:rPr>
      </w:pPr>
    </w:p>
    <w:p>
      <w:pPr>
        <w:ind w:left="620"/>
        <w:spacing w:after="0"/>
        <w:rPr>
          <w:rFonts w:ascii="Arial" w:cs="Arial" w:eastAsia="Arial" w:hAnsi="Arial"/>
          <w:sz w:val="19"/>
          <w:szCs w:val="19"/>
          <w:color w:val="auto"/>
        </w:rPr>
      </w:pPr>
      <w:r>
        <w:rPr>
          <w:rFonts w:ascii="Arial" w:cs="Arial" w:eastAsia="Arial" w:hAnsi="Arial"/>
          <w:sz w:val="21"/>
          <w:szCs w:val="21"/>
          <w:color w:val="auto"/>
        </w:rPr>
        <w:t>(B) twelve (12).</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Amend 3 - New RMSR Agree FINAL (5-2-2022)(3)</w:t>
      </w:r>
    </w:p>
    <w:p>
      <w:pPr>
        <w:sectPr>
          <w:pgSz w:w="11900" w:h="16838" w:orient="portrait"/>
          <w:cols w:equalWidth="0" w:num="1">
            <w:col w:w="11240"/>
          </w:cols>
          <w:pgMar w:left="320" w:top="1440" w:right="339" w:bottom="1440" w:gutter="0" w:footer="0" w:header="0"/>
        </w:sectPr>
      </w:pPr>
    </w:p>
    <w:bookmarkStart w:id="107" w:name="page108"/>
    <w:bookmarkEnd w:id="107"/>
    <w:p>
      <w:pPr>
        <w:spacing w:after="0" w:line="126" w:lineRule="exact"/>
        <w:rPr>
          <w:sz w:val="20"/>
          <w:szCs w:val="20"/>
          <w:color w:val="auto"/>
        </w:rPr>
      </w:pPr>
    </w:p>
    <w:p>
      <w:pPr>
        <w:ind w:firstLine="624"/>
        <w:spacing w:after="0" w:line="253" w:lineRule="auto"/>
        <w:tabs>
          <w:tab w:leader="none" w:pos="1106" w:val="left"/>
        </w:tabs>
        <w:numPr>
          <w:ilvl w:val="0"/>
          <w:numId w:val="82"/>
        </w:numPr>
        <w:rPr>
          <w:rFonts w:ascii="Arial" w:cs="Arial" w:eastAsia="Arial" w:hAnsi="Arial"/>
          <w:sz w:val="21"/>
          <w:szCs w:val="21"/>
          <w:color w:val="auto"/>
        </w:rPr>
      </w:pPr>
      <w:r>
        <w:rPr>
          <w:rFonts w:ascii="Arial" w:cs="Arial" w:eastAsia="Arial" w:hAnsi="Arial"/>
          <w:sz w:val="21"/>
          <w:szCs w:val="21"/>
          <w:color w:val="auto"/>
        </w:rPr>
        <w:t>The parties agree to cooperate in good faith to amend and/or replace Exhibit E-1 and Exhibit E-2 to Annex 1 in order to potentially streamline certain servicing reports and formats.</w:t>
      </w:r>
    </w:p>
    <w:p>
      <w:pPr>
        <w:spacing w:after="0" w:line="170" w:lineRule="exact"/>
        <w:rPr>
          <w:sz w:val="20"/>
          <w:szCs w:val="20"/>
          <w:color w:val="auto"/>
        </w:rPr>
      </w:pPr>
    </w:p>
    <w:p>
      <w:pPr>
        <w:jc w:val="both"/>
        <w:ind w:firstLine="620"/>
        <w:spacing w:after="0" w:line="245" w:lineRule="auto"/>
        <w:rPr>
          <w:sz w:val="20"/>
          <w:szCs w:val="20"/>
          <w:color w:val="auto"/>
        </w:rPr>
      </w:pPr>
      <w:r>
        <w:rPr>
          <w:rFonts w:ascii="Arial" w:cs="Arial" w:eastAsia="Arial" w:hAnsi="Arial"/>
          <w:sz w:val="21"/>
          <w:szCs w:val="21"/>
          <w:b w:val="1"/>
          <w:bCs w:val="1"/>
          <w:color w:val="auto"/>
        </w:rPr>
        <w:t xml:space="preserve">SECTION 2. </w:t>
      </w:r>
      <w:r>
        <w:rPr>
          <w:rFonts w:ascii="Arial" w:cs="Arial" w:eastAsia="Arial" w:hAnsi="Arial"/>
          <w:sz w:val="21"/>
          <w:szCs w:val="21"/>
          <w:u w:val="single" w:color="auto"/>
          <w:color w:val="auto"/>
        </w:rPr>
        <w:t>Termination/Exit Fee.</w:t>
      </w:r>
      <w:r>
        <w:rPr>
          <w:rFonts w:ascii="Arial" w:cs="Arial" w:eastAsia="Arial" w:hAnsi="Arial"/>
          <w:sz w:val="21"/>
          <w:szCs w:val="21"/>
          <w:b w:val="1"/>
          <w:bCs w:val="1"/>
          <w:color w:val="auto"/>
        </w:rPr>
        <w:t xml:space="preserve"> </w:t>
      </w:r>
      <w:r>
        <w:rPr>
          <w:rFonts w:ascii="Arial" w:cs="Arial" w:eastAsia="Arial" w:hAnsi="Arial"/>
          <w:sz w:val="21"/>
          <w:szCs w:val="21"/>
          <w:color w:val="auto"/>
        </w:rPr>
        <w:t>For purposes of clarification, notwithstanding anything to the contrary contained in the</w:t>
      </w:r>
      <w:r>
        <w:rPr>
          <w:rFonts w:ascii="Arial" w:cs="Arial" w:eastAsia="Arial" w:hAnsi="Arial"/>
          <w:sz w:val="21"/>
          <w:szCs w:val="21"/>
          <w:b w:val="1"/>
          <w:bCs w:val="1"/>
          <w:color w:val="auto"/>
        </w:rPr>
        <w:t xml:space="preserve"> </w:t>
      </w:r>
      <w:r>
        <w:rPr>
          <w:rFonts w:ascii="Arial" w:cs="Arial" w:eastAsia="Arial" w:hAnsi="Arial"/>
          <w:sz w:val="21"/>
          <w:szCs w:val="21"/>
          <w:color w:val="auto"/>
        </w:rPr>
        <w:t>Agreement, no Termination Fee or Exit Fee shall be payable to Seller for any termination of the Agreement after the date hereof (e.g. the end of the Initial Term).</w:t>
      </w:r>
    </w:p>
    <w:p>
      <w:pPr>
        <w:spacing w:after="0" w:line="191" w:lineRule="exact"/>
        <w:rPr>
          <w:sz w:val="20"/>
          <w:szCs w:val="20"/>
          <w:color w:val="auto"/>
        </w:rPr>
      </w:pPr>
    </w:p>
    <w:p>
      <w:pPr>
        <w:jc w:val="both"/>
        <w:ind w:firstLine="620"/>
        <w:spacing w:after="0" w:line="274" w:lineRule="auto"/>
        <w:rPr>
          <w:sz w:val="20"/>
          <w:szCs w:val="20"/>
          <w:color w:val="auto"/>
        </w:rPr>
      </w:pPr>
      <w:r>
        <w:rPr>
          <w:rFonts w:ascii="Arial" w:cs="Arial" w:eastAsia="Arial" w:hAnsi="Arial"/>
          <w:sz w:val="19"/>
          <w:szCs w:val="19"/>
          <w:b w:val="1"/>
          <w:bCs w:val="1"/>
          <w:color w:val="auto"/>
        </w:rPr>
        <w:t xml:space="preserve">SECTION 3. </w:t>
      </w:r>
      <w:r>
        <w:rPr>
          <w:rFonts w:ascii="Arial" w:cs="Arial" w:eastAsia="Arial" w:hAnsi="Arial"/>
          <w:sz w:val="19"/>
          <w:szCs w:val="19"/>
          <w:u w:val="single" w:color="auto"/>
          <w:color w:val="auto"/>
        </w:rPr>
        <w:t>Limited Effect.</w:t>
      </w:r>
      <w:r>
        <w:rPr>
          <w:rFonts w:ascii="Arial" w:cs="Arial" w:eastAsia="Arial" w:hAnsi="Arial"/>
          <w:sz w:val="19"/>
          <w:szCs w:val="19"/>
          <w:b w:val="1"/>
          <w:bCs w:val="1"/>
          <w:color w:val="auto"/>
        </w:rPr>
        <w:t xml:space="preserve"> </w:t>
      </w:r>
      <w:r>
        <w:rPr>
          <w:rFonts w:ascii="Arial" w:cs="Arial" w:eastAsia="Arial" w:hAnsi="Arial"/>
          <w:sz w:val="19"/>
          <w:szCs w:val="19"/>
          <w:color w:val="auto"/>
        </w:rPr>
        <w:t>Except as amended hereby, the Agreement shall continue in full force and effect in accordance</w:t>
      </w:r>
      <w:r>
        <w:rPr>
          <w:rFonts w:ascii="Arial" w:cs="Arial" w:eastAsia="Arial" w:hAnsi="Arial"/>
          <w:sz w:val="19"/>
          <w:szCs w:val="19"/>
          <w:b w:val="1"/>
          <w:bCs w:val="1"/>
          <w:color w:val="auto"/>
        </w:rPr>
        <w:t xml:space="preserve"> </w:t>
      </w:r>
      <w:r>
        <w:rPr>
          <w:rFonts w:ascii="Arial" w:cs="Arial" w:eastAsia="Arial" w:hAnsi="Arial"/>
          <w:sz w:val="19"/>
          <w:szCs w:val="19"/>
          <w:color w:val="auto"/>
        </w:rPr>
        <w:t>with its terms. Reference to this Amendment Number Three need not be made in the Agreement or any other instrument or document executed in connection therewith, or in any certificate, letter or communication issued or made pursuant to, or with respect to, the Agreement, any reference in any of such items to the Agreement being sufficient to refer to the Agreement as amended hereby.</w:t>
      </w:r>
    </w:p>
    <w:p>
      <w:pPr>
        <w:spacing w:after="0" w:line="165" w:lineRule="exact"/>
        <w:rPr>
          <w:sz w:val="20"/>
          <w:szCs w:val="20"/>
          <w:color w:val="auto"/>
        </w:rPr>
      </w:pPr>
    </w:p>
    <w:p>
      <w:pPr>
        <w:jc w:val="both"/>
        <w:ind w:firstLine="620"/>
        <w:spacing w:after="0"/>
        <w:rPr>
          <w:sz w:val="20"/>
          <w:szCs w:val="20"/>
          <w:color w:val="auto"/>
        </w:rPr>
      </w:pPr>
      <w:r>
        <w:rPr>
          <w:rFonts w:ascii="Arial" w:cs="Arial" w:eastAsia="Arial" w:hAnsi="Arial"/>
          <w:sz w:val="21"/>
          <w:szCs w:val="21"/>
          <w:b w:val="1"/>
          <w:bCs w:val="1"/>
          <w:color w:val="auto"/>
        </w:rPr>
        <w:t xml:space="preserve">SECTION 4. </w:t>
      </w:r>
      <w:r>
        <w:rPr>
          <w:rFonts w:ascii="Arial" w:cs="Arial" w:eastAsia="Arial" w:hAnsi="Arial"/>
          <w:sz w:val="21"/>
          <w:szCs w:val="21"/>
          <w:u w:val="single" w:color="auto"/>
          <w:color w:val="auto"/>
        </w:rPr>
        <w:t>Governing Law.</w:t>
      </w:r>
      <w:r>
        <w:rPr>
          <w:rFonts w:ascii="Arial" w:cs="Arial" w:eastAsia="Arial" w:hAnsi="Arial"/>
          <w:sz w:val="21"/>
          <w:szCs w:val="21"/>
          <w:b w:val="1"/>
          <w:bCs w:val="1"/>
          <w:color w:val="auto"/>
        </w:rPr>
        <w:t xml:space="preserve"> </w:t>
      </w:r>
      <w:r>
        <w:rPr>
          <w:rFonts w:ascii="Arial" w:cs="Arial" w:eastAsia="Arial" w:hAnsi="Arial"/>
          <w:sz w:val="21"/>
          <w:szCs w:val="21"/>
          <w:color w:val="auto"/>
        </w:rPr>
        <w:t>This Amendment Number Three shall be construed in accordance with the laws of the State of</w:t>
      </w:r>
      <w:r>
        <w:rPr>
          <w:rFonts w:ascii="Arial" w:cs="Arial" w:eastAsia="Arial" w:hAnsi="Arial"/>
          <w:sz w:val="21"/>
          <w:szCs w:val="21"/>
          <w:b w:val="1"/>
          <w:bCs w:val="1"/>
          <w:color w:val="auto"/>
        </w:rPr>
        <w:t xml:space="preserve"> </w:t>
      </w:r>
      <w:r>
        <w:rPr>
          <w:rFonts w:ascii="Arial" w:cs="Arial" w:eastAsia="Arial" w:hAnsi="Arial"/>
          <w:sz w:val="21"/>
          <w:szCs w:val="21"/>
          <w:color w:val="auto"/>
        </w:rPr>
        <w:t>New York and the obligations, rights, and remedies of the parties hereunder shall be determined in accordance with such laws without regard to conflict of laws doctrine applied in such state (other than Section 5-1401 or 5-1402 of the New York General Obligations Law which shall govern).</w:t>
      </w:r>
    </w:p>
    <w:p>
      <w:pPr>
        <w:spacing w:after="0" w:line="210" w:lineRule="exact"/>
        <w:rPr>
          <w:sz w:val="20"/>
          <w:szCs w:val="20"/>
          <w:color w:val="auto"/>
        </w:rPr>
      </w:pPr>
    </w:p>
    <w:p>
      <w:pPr>
        <w:jc w:val="both"/>
        <w:ind w:firstLine="620"/>
        <w:spacing w:after="0" w:line="253" w:lineRule="auto"/>
        <w:rPr>
          <w:sz w:val="20"/>
          <w:szCs w:val="20"/>
          <w:color w:val="auto"/>
        </w:rPr>
      </w:pPr>
      <w:r>
        <w:rPr>
          <w:rFonts w:ascii="Arial" w:cs="Arial" w:eastAsia="Arial" w:hAnsi="Arial"/>
          <w:sz w:val="20"/>
          <w:szCs w:val="20"/>
          <w:b w:val="1"/>
          <w:bCs w:val="1"/>
          <w:color w:val="auto"/>
        </w:rPr>
        <w:t xml:space="preserve">SECTION 5. </w:t>
      </w:r>
      <w:r>
        <w:rPr>
          <w:rFonts w:ascii="Arial" w:cs="Arial" w:eastAsia="Arial" w:hAnsi="Arial"/>
          <w:sz w:val="20"/>
          <w:szCs w:val="20"/>
          <w:u w:val="single" w:color="auto"/>
          <w:color w:val="auto"/>
        </w:rPr>
        <w:t>Counterparts.</w:t>
      </w:r>
      <w:r>
        <w:rPr>
          <w:rFonts w:ascii="Arial" w:cs="Arial" w:eastAsia="Arial" w:hAnsi="Arial"/>
          <w:sz w:val="20"/>
          <w:szCs w:val="20"/>
          <w:b w:val="1"/>
          <w:bCs w:val="1"/>
          <w:color w:val="auto"/>
        </w:rPr>
        <w:t xml:space="preserve"> </w:t>
      </w:r>
      <w:r>
        <w:rPr>
          <w:rFonts w:ascii="Arial" w:cs="Arial" w:eastAsia="Arial" w:hAnsi="Arial"/>
          <w:sz w:val="20"/>
          <w:szCs w:val="20"/>
          <w:color w:val="auto"/>
        </w:rPr>
        <w:t>This Amendment Number Three may be executed by each of the parties hereto on any number of</w:t>
      </w:r>
      <w:r>
        <w:rPr>
          <w:rFonts w:ascii="Arial" w:cs="Arial" w:eastAsia="Arial" w:hAnsi="Arial"/>
          <w:sz w:val="20"/>
          <w:szCs w:val="20"/>
          <w:b w:val="1"/>
          <w:bCs w:val="1"/>
          <w:color w:val="auto"/>
        </w:rPr>
        <w:t xml:space="preserve"> </w:t>
      </w:r>
      <w:r>
        <w:rPr>
          <w:rFonts w:ascii="Arial" w:cs="Arial" w:eastAsia="Arial" w:hAnsi="Arial"/>
          <w:sz w:val="20"/>
          <w:szCs w:val="20"/>
          <w:color w:val="auto"/>
        </w:rPr>
        <w:t>separate counterparts, each of which shall be an original and all of which taken together shall constitute one and the same instrument. The parties agree that this Amendment Number Three and signature pages may be transmitted between them by facsimile or by electronic mail and that faxed and PDF signatures may constitute original signatures and that a faxed or PDF signature page containing the signature (faxed, PDF or original) is binding upon the parties.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Amend 3 - New RMSR Agree FINAL (5-2-2022)(3)</w:t>
      </w:r>
    </w:p>
    <w:p>
      <w:pPr>
        <w:sectPr>
          <w:pgSz w:w="11900" w:h="16838" w:orient="portrait"/>
          <w:cols w:equalWidth="0" w:num="1">
            <w:col w:w="11240"/>
          </w:cols>
          <w:pgMar w:left="320" w:top="1440" w:right="339" w:bottom="1440" w:gutter="0" w:footer="0" w:header="0"/>
        </w:sectPr>
      </w:pPr>
    </w:p>
    <w:bookmarkStart w:id="108" w:name="page109"/>
    <w:bookmarkEnd w:id="108"/>
    <w:p>
      <w:pPr>
        <w:ind w:firstLine="439"/>
        <w:spacing w:after="0" w:line="237" w:lineRule="auto"/>
        <w:rPr>
          <w:sz w:val="20"/>
          <w:szCs w:val="20"/>
          <w:color w:val="auto"/>
        </w:rPr>
      </w:pPr>
      <w:r>
        <w:rPr>
          <w:rFonts w:ascii="Arial" w:cs="Arial" w:eastAsia="Arial" w:hAnsi="Arial"/>
          <w:sz w:val="21"/>
          <w:szCs w:val="21"/>
          <w:b w:val="1"/>
          <w:bCs w:val="1"/>
          <w:color w:val="auto"/>
        </w:rPr>
        <w:t>IN WITNESS WHEREOF</w:t>
      </w:r>
      <w:r>
        <w:rPr>
          <w:rFonts w:ascii="Arial" w:cs="Arial" w:eastAsia="Arial" w:hAnsi="Arial"/>
          <w:sz w:val="21"/>
          <w:szCs w:val="21"/>
          <w:color w:val="auto"/>
        </w:rPr>
        <w:t>, the parties hereto have caused this Amendment Number Three to be executed and delivered by their</w:t>
      </w:r>
      <w:r>
        <w:rPr>
          <w:rFonts w:ascii="Arial" w:cs="Arial" w:eastAsia="Arial" w:hAnsi="Arial"/>
          <w:sz w:val="21"/>
          <w:szCs w:val="21"/>
          <w:b w:val="1"/>
          <w:bCs w:val="1"/>
          <w:color w:val="auto"/>
        </w:rPr>
        <w:t xml:space="preserve"> </w:t>
      </w:r>
      <w:r>
        <w:rPr>
          <w:rFonts w:ascii="Arial" w:cs="Arial" w:eastAsia="Arial" w:hAnsi="Arial"/>
          <w:sz w:val="21"/>
          <w:szCs w:val="21"/>
          <w:color w:val="auto"/>
        </w:rPr>
        <w:t>duly authorized officers as of the day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3560"/>
        <w:spacing w:after="0"/>
        <w:rPr>
          <w:sz w:val="20"/>
          <w:szCs w:val="20"/>
          <w:color w:val="auto"/>
        </w:rPr>
      </w:pPr>
      <w:r>
        <w:rPr>
          <w:rFonts w:ascii="Arial" w:cs="Arial" w:eastAsia="Arial" w:hAnsi="Arial"/>
          <w:sz w:val="19"/>
          <w:szCs w:val="19"/>
          <w:b w:val="1"/>
          <w:bCs w:val="1"/>
          <w:color w:val="auto"/>
        </w:rPr>
        <w:t>PHH MORTGAGE CORPORATION</w:t>
      </w:r>
    </w:p>
    <w:p>
      <w:pPr>
        <w:spacing w:after="0" w:line="200" w:lineRule="exact"/>
        <w:rPr>
          <w:sz w:val="20"/>
          <w:szCs w:val="20"/>
          <w:color w:val="auto"/>
        </w:rPr>
      </w:pPr>
    </w:p>
    <w:p>
      <w:pPr>
        <w:spacing w:after="0" w:line="289" w:lineRule="exact"/>
        <w:rPr>
          <w:sz w:val="20"/>
          <w:szCs w:val="20"/>
          <w:color w:val="auto"/>
        </w:rPr>
      </w:pPr>
    </w:p>
    <w:p>
      <w:pPr>
        <w:ind w:left="3560"/>
        <w:spacing w:after="0"/>
        <w:tabs>
          <w:tab w:leader="none" w:pos="402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7"/>
          <w:szCs w:val="17"/>
          <w:color w:val="auto"/>
        </w:rPr>
        <w:t>/s/ John V. Britti</w:t>
      </w:r>
    </w:p>
    <w:p>
      <w:pPr>
        <w:ind w:left="3560"/>
        <w:spacing w:after="0" w:line="198" w:lineRule="auto"/>
        <w:rPr>
          <w:sz w:val="20"/>
          <w:szCs w:val="20"/>
          <w:color w:val="auto"/>
        </w:rPr>
      </w:pPr>
      <w:r>
        <w:rPr>
          <w:rFonts w:ascii="Arial" w:cs="Arial" w:eastAsia="Arial" w:hAnsi="Arial"/>
          <w:sz w:val="19"/>
          <w:szCs w:val="19"/>
          <w:color w:val="auto"/>
        </w:rPr>
        <w:t>Name: John V. Britti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2440305</wp:posOffset>
            </wp:positionH>
            <wp:positionV relativeFrom="paragraph">
              <wp:posOffset>-113030</wp:posOffset>
            </wp:positionV>
            <wp:extent cx="102679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9">
                      <a:extLst>
                        <a:ext uri="{28A0092B-C50C-407E-A947-70E740481C1C}"/>
                      </a:extLst>
                    </a:blip>
                    <a:srcRect/>
                    <a:stretch>
                      <a:fillRect/>
                    </a:stretch>
                  </pic:blipFill>
                  <pic:spPr bwMode="auto">
                    <a:xfrm>
                      <a:off x="0" y="0"/>
                      <a:ext cx="1026795" cy="8255"/>
                    </a:xfrm>
                    <a:prstGeom prst="rect">
                      <a:avLst/>
                    </a:prstGeom>
                    <a:noFill/>
                  </pic:spPr>
                </pic:pic>
              </a:graphicData>
            </a:graphic>
          </wp:anchor>
        </w:drawing>
      </w:r>
    </w:p>
    <w:p>
      <w:pPr>
        <w:ind w:left="3560"/>
        <w:spacing w:after="0"/>
        <w:rPr>
          <w:sz w:val="20"/>
          <w:szCs w:val="20"/>
          <w:color w:val="auto"/>
        </w:rPr>
      </w:pPr>
      <w:r>
        <w:rPr>
          <w:rFonts w:ascii="Arial" w:cs="Arial" w:eastAsia="Arial" w:hAnsi="Arial"/>
          <w:sz w:val="19"/>
          <w:szCs w:val="19"/>
          <w:color w:val="auto"/>
        </w:rPr>
        <w:t>Title: EVP &amp; Chief Investment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Signature Page to Amendment Number Three to New RMSR Agreement</w:t>
      </w:r>
    </w:p>
    <w:p>
      <w:pPr>
        <w:sectPr>
          <w:pgSz w:w="11900" w:h="16838" w:orient="portrait"/>
          <w:cols w:equalWidth="0" w:num="1">
            <w:col w:w="11240"/>
          </w:cols>
          <w:pgMar w:left="320" w:top="1340" w:right="339" w:bottom="1440" w:gutter="0" w:footer="0" w:header="0"/>
        </w:sectPr>
      </w:pPr>
    </w:p>
    <w:bookmarkStart w:id="109" w:name="page110"/>
    <w:bookmarkEnd w:id="109"/>
    <w:p>
      <w:pPr>
        <w:spacing w:after="0" w:line="318" w:lineRule="exact"/>
        <w:rPr>
          <w:sz w:val="20"/>
          <w:szCs w:val="20"/>
          <w:color w:val="auto"/>
        </w:rPr>
      </w:pPr>
    </w:p>
    <w:p>
      <w:pPr>
        <w:ind w:left="2440"/>
        <w:spacing w:after="0"/>
        <w:rPr>
          <w:sz w:val="20"/>
          <w:szCs w:val="20"/>
          <w:color w:val="auto"/>
        </w:rPr>
      </w:pPr>
      <w:r>
        <w:rPr>
          <w:rFonts w:ascii="Arial" w:cs="Arial" w:eastAsia="Arial" w:hAnsi="Arial"/>
          <w:sz w:val="19"/>
          <w:szCs w:val="19"/>
          <w:b w:val="1"/>
          <w:bCs w:val="1"/>
          <w:color w:val="auto"/>
        </w:rPr>
        <w:t>HLSS HOLDINGS, LLC</w:t>
      </w:r>
    </w:p>
    <w:p>
      <w:pPr>
        <w:spacing w:after="0" w:line="382" w:lineRule="exact"/>
        <w:rPr>
          <w:sz w:val="20"/>
          <w:szCs w:val="20"/>
          <w:color w:val="auto"/>
        </w:rPr>
      </w:pPr>
    </w:p>
    <w:p>
      <w:pPr>
        <w:ind w:left="2440"/>
        <w:spacing w:after="0"/>
        <w:rPr>
          <w:sz w:val="20"/>
          <w:szCs w:val="20"/>
          <w:color w:val="auto"/>
        </w:rPr>
      </w:pPr>
      <w:r>
        <w:rPr>
          <w:rFonts w:ascii="Arial" w:cs="Arial" w:eastAsia="Arial" w:hAnsi="Arial"/>
          <w:sz w:val="19"/>
          <w:szCs w:val="19"/>
          <w:color w:val="auto"/>
        </w:rPr>
        <w:t>By: HLSS Roswell, LLC, its sole member</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2440"/>
        <w:spacing w:after="0"/>
        <w:rPr>
          <w:sz w:val="20"/>
          <w:szCs w:val="20"/>
          <w:color w:val="auto"/>
        </w:rPr>
      </w:pPr>
      <w:r>
        <w:rPr>
          <w:rFonts w:ascii="Arial" w:cs="Arial" w:eastAsia="Arial" w:hAnsi="Arial"/>
          <w:sz w:val="19"/>
          <w:szCs w:val="19"/>
          <w:color w:val="auto"/>
        </w:rPr>
        <w:t>By: /s/ Nicola Santoro, Jr.</w:t>
      </w:r>
    </w:p>
    <w:p>
      <w:pPr>
        <w:ind w:left="2440"/>
        <w:spacing w:after="0" w:line="198" w:lineRule="auto"/>
        <w:rPr>
          <w:sz w:val="20"/>
          <w:szCs w:val="20"/>
          <w:color w:val="auto"/>
        </w:rPr>
      </w:pPr>
      <w:r>
        <w:rPr>
          <w:rFonts w:ascii="Arial" w:cs="Arial" w:eastAsia="Arial" w:hAnsi="Arial"/>
          <w:sz w:val="19"/>
          <w:szCs w:val="19"/>
          <w:color w:val="auto"/>
        </w:rPr>
        <w:t>Name: Nicola Santoro,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1758950</wp:posOffset>
            </wp:positionH>
            <wp:positionV relativeFrom="paragraph">
              <wp:posOffset>-113030</wp:posOffset>
            </wp:positionV>
            <wp:extent cx="127889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0">
                      <a:extLst>
                        <a:ext uri="{28A0092B-C50C-407E-A947-70E740481C1C}"/>
                      </a:extLst>
                    </a:blip>
                    <a:srcRect/>
                    <a:stretch>
                      <a:fillRect/>
                    </a:stretch>
                  </pic:blipFill>
                  <pic:spPr bwMode="auto">
                    <a:xfrm>
                      <a:off x="0" y="0"/>
                      <a:ext cx="1278890" cy="8255"/>
                    </a:xfrm>
                    <a:prstGeom prst="rect">
                      <a:avLst/>
                    </a:prstGeom>
                    <a:noFill/>
                  </pic:spPr>
                </pic:pic>
              </a:graphicData>
            </a:graphic>
          </wp:anchor>
        </w:drawing>
      </w:r>
    </w:p>
    <w:p>
      <w:pPr>
        <w:ind w:left="2440"/>
        <w:spacing w:after="0"/>
        <w:rPr>
          <w:sz w:val="20"/>
          <w:szCs w:val="20"/>
          <w:color w:val="auto"/>
        </w:rPr>
      </w:pPr>
      <w:r>
        <w:rPr>
          <w:rFonts w:ascii="Arial" w:cs="Arial" w:eastAsia="Arial" w:hAnsi="Arial"/>
          <w:sz w:val="19"/>
          <w:szCs w:val="19"/>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Signature Page to Amendment Number Three to New RMSR Agreement</w:t>
      </w:r>
    </w:p>
    <w:p>
      <w:pPr>
        <w:sectPr>
          <w:pgSz w:w="11900" w:h="16838" w:orient="portrait"/>
          <w:cols w:equalWidth="0" w:num="1">
            <w:col w:w="9019"/>
          </w:cols>
          <w:pgMar w:left="1440" w:top="1440" w:right="1440" w:bottom="1440" w:gutter="0" w:footer="0" w:header="0"/>
        </w:sectPr>
      </w:pPr>
    </w:p>
    <w:bookmarkStart w:id="110" w:name="page111"/>
    <w:bookmarkEnd w:id="110"/>
    <w:p>
      <w:pPr>
        <w:spacing w:after="0" w:line="318" w:lineRule="exact"/>
        <w:rPr>
          <w:sz w:val="20"/>
          <w:szCs w:val="20"/>
          <w:color w:val="auto"/>
        </w:rPr>
      </w:pPr>
    </w:p>
    <w:p>
      <w:pPr>
        <w:ind w:left="2440"/>
        <w:spacing w:after="0"/>
        <w:rPr>
          <w:sz w:val="20"/>
          <w:szCs w:val="20"/>
          <w:color w:val="auto"/>
        </w:rPr>
      </w:pPr>
      <w:r>
        <w:rPr>
          <w:rFonts w:ascii="Arial" w:cs="Arial" w:eastAsia="Arial" w:hAnsi="Arial"/>
          <w:sz w:val="19"/>
          <w:szCs w:val="19"/>
          <w:b w:val="1"/>
          <w:bCs w:val="1"/>
          <w:color w:val="auto"/>
        </w:rPr>
        <w:t>HLSS MSR – EBO ACQUISITION LLC</w:t>
      </w:r>
    </w:p>
    <w:p>
      <w:pPr>
        <w:spacing w:after="0" w:line="149" w:lineRule="exact"/>
        <w:rPr>
          <w:sz w:val="20"/>
          <w:szCs w:val="20"/>
          <w:color w:val="auto"/>
        </w:rPr>
      </w:pPr>
    </w:p>
    <w:p>
      <w:pPr>
        <w:ind w:left="2440"/>
        <w:spacing w:after="0"/>
        <w:tabs>
          <w:tab w:leader="none" w:pos="2900" w:val="left"/>
          <w:tab w:leader="none" w:pos="6380" w:val="left"/>
        </w:tabs>
        <w:rPr>
          <w:sz w:val="20"/>
          <w:szCs w:val="20"/>
          <w:color w:val="auto"/>
        </w:rPr>
      </w:pPr>
      <w:r>
        <w:rPr>
          <w:rFonts w:ascii="Arial" w:cs="Arial" w:eastAsia="Arial" w:hAnsi="Arial"/>
          <w:sz w:val="19"/>
          <w:szCs w:val="19"/>
          <w:color w:val="auto"/>
        </w:rPr>
        <w:t>By:</w:t>
        <w:tab/>
        <w:t>New Residential Investment Corp., its sole</w:t>
      </w:r>
      <w:r>
        <w:rPr>
          <w:sz w:val="20"/>
          <w:szCs w:val="20"/>
          <w:color w:val="auto"/>
        </w:rPr>
        <w:tab/>
      </w:r>
      <w:r>
        <w:rPr>
          <w:rFonts w:ascii="Arial" w:cs="Arial" w:eastAsia="Arial" w:hAnsi="Arial"/>
          <w:sz w:val="16"/>
          <w:szCs w:val="16"/>
          <w:color w:val="auto"/>
        </w:rPr>
        <w:t>member</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2440"/>
        <w:spacing w:after="0"/>
        <w:tabs>
          <w:tab w:leader="none" w:pos="290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6"/>
          <w:szCs w:val="16"/>
          <w:color w:val="auto"/>
        </w:rPr>
        <w:t>/s/ Nicola Santoro, Jr.</w:t>
      </w:r>
    </w:p>
    <w:p>
      <w:pPr>
        <w:ind w:left="2440"/>
        <w:spacing w:after="0" w:line="198" w:lineRule="auto"/>
        <w:rPr>
          <w:sz w:val="20"/>
          <w:szCs w:val="20"/>
          <w:color w:val="auto"/>
        </w:rPr>
      </w:pPr>
      <w:r>
        <w:rPr>
          <w:rFonts w:ascii="Arial" w:cs="Arial" w:eastAsia="Arial" w:hAnsi="Arial"/>
          <w:sz w:val="19"/>
          <w:szCs w:val="19"/>
          <w:color w:val="auto"/>
        </w:rPr>
        <w:t>Name: Nicola Santoro,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1729105</wp:posOffset>
            </wp:positionH>
            <wp:positionV relativeFrom="paragraph">
              <wp:posOffset>-113030</wp:posOffset>
            </wp:positionV>
            <wp:extent cx="127889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1">
                      <a:extLst>
                        <a:ext uri="{28A0092B-C50C-407E-A947-70E740481C1C}"/>
                      </a:extLst>
                    </a:blip>
                    <a:srcRect/>
                    <a:stretch>
                      <a:fillRect/>
                    </a:stretch>
                  </pic:blipFill>
                  <pic:spPr bwMode="auto">
                    <a:xfrm>
                      <a:off x="0" y="0"/>
                      <a:ext cx="1278890" cy="8255"/>
                    </a:xfrm>
                    <a:prstGeom prst="rect">
                      <a:avLst/>
                    </a:prstGeom>
                    <a:noFill/>
                  </pic:spPr>
                </pic:pic>
              </a:graphicData>
            </a:graphic>
          </wp:anchor>
        </w:drawing>
      </w:r>
    </w:p>
    <w:p>
      <w:pPr>
        <w:ind w:left="2440"/>
        <w:spacing w:after="0"/>
        <w:rPr>
          <w:sz w:val="20"/>
          <w:szCs w:val="20"/>
          <w:color w:val="auto"/>
        </w:rPr>
      </w:pPr>
      <w:r>
        <w:rPr>
          <w:rFonts w:ascii="Arial" w:cs="Arial" w:eastAsia="Arial" w:hAnsi="Arial"/>
          <w:sz w:val="19"/>
          <w:szCs w:val="19"/>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Signature Page to Amendment Number Three to New RMSR Agreement</w:t>
      </w:r>
    </w:p>
    <w:p>
      <w:pPr>
        <w:sectPr>
          <w:pgSz w:w="11900" w:h="16838" w:orient="portrait"/>
          <w:cols w:equalWidth="0" w:num="1">
            <w:col w:w="9019"/>
          </w:cols>
          <w:pgMar w:left="1440" w:top="1440" w:right="1440" w:bottom="1440" w:gutter="0" w:footer="0" w:header="0"/>
        </w:sectPr>
      </w:pPr>
    </w:p>
    <w:bookmarkStart w:id="111" w:name="page112"/>
    <w:bookmarkEnd w:id="111"/>
    <w:p>
      <w:pPr>
        <w:spacing w:after="0" w:line="318" w:lineRule="exact"/>
        <w:rPr>
          <w:sz w:val="20"/>
          <w:szCs w:val="20"/>
          <w:color w:val="auto"/>
        </w:rPr>
      </w:pPr>
    </w:p>
    <w:p>
      <w:pPr>
        <w:ind w:left="2440"/>
        <w:spacing w:after="0"/>
        <w:rPr>
          <w:sz w:val="20"/>
          <w:szCs w:val="20"/>
          <w:color w:val="auto"/>
        </w:rPr>
      </w:pPr>
      <w:r>
        <w:rPr>
          <w:rFonts w:ascii="Arial" w:cs="Arial" w:eastAsia="Arial" w:hAnsi="Arial"/>
          <w:sz w:val="19"/>
          <w:szCs w:val="19"/>
          <w:b w:val="1"/>
          <w:bCs w:val="1"/>
          <w:color w:val="auto"/>
        </w:rPr>
        <w:t>NEW RESIDENTIAL MORTGAGE LLC</w:t>
      </w:r>
    </w:p>
    <w:p>
      <w:pPr>
        <w:spacing w:after="0" w:line="149" w:lineRule="exact"/>
        <w:rPr>
          <w:sz w:val="20"/>
          <w:szCs w:val="20"/>
          <w:color w:val="auto"/>
        </w:rPr>
      </w:pPr>
    </w:p>
    <w:p>
      <w:pPr>
        <w:ind w:left="2440"/>
        <w:spacing w:after="0"/>
        <w:tabs>
          <w:tab w:leader="none" w:pos="2900" w:val="left"/>
          <w:tab w:leader="none" w:pos="6380" w:val="left"/>
        </w:tabs>
        <w:rPr>
          <w:sz w:val="20"/>
          <w:szCs w:val="20"/>
          <w:color w:val="auto"/>
        </w:rPr>
      </w:pPr>
      <w:r>
        <w:rPr>
          <w:rFonts w:ascii="Arial" w:cs="Arial" w:eastAsia="Arial" w:hAnsi="Arial"/>
          <w:sz w:val="19"/>
          <w:szCs w:val="19"/>
          <w:color w:val="auto"/>
        </w:rPr>
        <w:t>By:</w:t>
        <w:tab/>
        <w:t>New Residential Investment Corp., its sole</w:t>
      </w:r>
      <w:r>
        <w:rPr>
          <w:sz w:val="20"/>
          <w:szCs w:val="20"/>
          <w:color w:val="auto"/>
        </w:rPr>
        <w:tab/>
      </w:r>
      <w:r>
        <w:rPr>
          <w:rFonts w:ascii="Arial" w:cs="Arial" w:eastAsia="Arial" w:hAnsi="Arial"/>
          <w:sz w:val="16"/>
          <w:szCs w:val="16"/>
          <w:color w:val="auto"/>
        </w:rPr>
        <w:t>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2440"/>
        <w:spacing w:after="0"/>
        <w:tabs>
          <w:tab w:leader="none" w:pos="290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6"/>
          <w:szCs w:val="16"/>
          <w:color w:val="auto"/>
        </w:rPr>
        <w:t>/s/ Nicola Santoro, Jr.</w:t>
      </w:r>
    </w:p>
    <w:p>
      <w:pPr>
        <w:ind w:left="2440"/>
        <w:spacing w:after="0" w:line="198" w:lineRule="auto"/>
        <w:rPr>
          <w:sz w:val="20"/>
          <w:szCs w:val="20"/>
          <w:color w:val="auto"/>
        </w:rPr>
      </w:pPr>
      <w:r>
        <w:rPr>
          <w:rFonts w:ascii="Arial" w:cs="Arial" w:eastAsia="Arial" w:hAnsi="Arial"/>
          <w:sz w:val="19"/>
          <w:szCs w:val="19"/>
          <w:color w:val="auto"/>
        </w:rPr>
        <w:t>Name: Nicola Santoro,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1729105</wp:posOffset>
            </wp:positionH>
            <wp:positionV relativeFrom="paragraph">
              <wp:posOffset>-113030</wp:posOffset>
            </wp:positionV>
            <wp:extent cx="127889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2">
                      <a:extLst>
                        <a:ext uri="{28A0092B-C50C-407E-A947-70E740481C1C}"/>
                      </a:extLst>
                    </a:blip>
                    <a:srcRect/>
                    <a:stretch>
                      <a:fillRect/>
                    </a:stretch>
                  </pic:blipFill>
                  <pic:spPr bwMode="auto">
                    <a:xfrm>
                      <a:off x="0" y="0"/>
                      <a:ext cx="1278890" cy="8255"/>
                    </a:xfrm>
                    <a:prstGeom prst="rect">
                      <a:avLst/>
                    </a:prstGeom>
                    <a:noFill/>
                  </pic:spPr>
                </pic:pic>
              </a:graphicData>
            </a:graphic>
          </wp:anchor>
        </w:drawing>
      </w:r>
    </w:p>
    <w:p>
      <w:pPr>
        <w:ind w:left="2440"/>
        <w:spacing w:after="0"/>
        <w:rPr>
          <w:sz w:val="20"/>
          <w:szCs w:val="20"/>
          <w:color w:val="auto"/>
        </w:rPr>
      </w:pPr>
      <w:r>
        <w:rPr>
          <w:rFonts w:ascii="Arial" w:cs="Arial" w:eastAsia="Arial" w:hAnsi="Arial"/>
          <w:sz w:val="19"/>
          <w:szCs w:val="19"/>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Signature Page to Amendment Number Three to New RMSR Agreement</w:t>
      </w:r>
    </w:p>
    <w:p>
      <w:pPr>
        <w:sectPr>
          <w:pgSz w:w="11900" w:h="16838" w:orient="portrait"/>
          <w:cols w:equalWidth="0" w:num="1">
            <w:col w:w="9019"/>
          </w:cols>
          <w:pgMar w:left="1440" w:top="1440" w:right="1440" w:bottom="1440" w:gutter="0" w:footer="0" w:header="0"/>
        </w:sectPr>
      </w:pPr>
    </w:p>
    <w:bookmarkStart w:id="112" w:name="page113"/>
    <w:bookmarkEnd w:id="112"/>
    <w:p>
      <w:pPr>
        <w:jc w:val="right"/>
        <w:spacing w:after="0"/>
        <w:rPr>
          <w:sz w:val="20"/>
          <w:szCs w:val="20"/>
          <w:color w:val="auto"/>
        </w:rPr>
      </w:pPr>
      <w:r>
        <w:rPr>
          <w:rFonts w:ascii="Arial" w:cs="Arial" w:eastAsia="Arial" w:hAnsi="Arial"/>
          <w:sz w:val="21"/>
          <w:szCs w:val="21"/>
          <w:b w:val="1"/>
          <w:bCs w:val="1"/>
          <w:color w:val="auto"/>
        </w:rPr>
        <w:t>EXECUTION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line="242" w:lineRule="auto"/>
        <w:rPr>
          <w:sz w:val="20"/>
          <w:szCs w:val="20"/>
          <w:color w:val="auto"/>
        </w:rPr>
      </w:pPr>
      <w:r>
        <w:rPr>
          <w:rFonts w:ascii="Arial" w:cs="Arial" w:eastAsia="Arial" w:hAnsi="Arial"/>
          <w:sz w:val="21"/>
          <w:szCs w:val="21"/>
          <w:color w:val="auto"/>
        </w:rPr>
        <w:t>Certain information has been omitted in accordance with Item 601(b)(10) of Regulation S-K because it is both not material and is the type of information that the registrant treats as private or confidential. An unredacted copy will be furnished supplementally to the SEC upon request.</w:t>
      </w:r>
    </w:p>
    <w:p>
      <w:pPr>
        <w:spacing w:after="0" w:line="200" w:lineRule="exact"/>
        <w:rPr>
          <w:sz w:val="20"/>
          <w:szCs w:val="20"/>
          <w:color w:val="auto"/>
        </w:rPr>
      </w:pPr>
    </w:p>
    <w:p>
      <w:pPr>
        <w:jc w:val="center"/>
        <w:ind w:right="40"/>
        <w:spacing w:after="0"/>
        <w:rPr>
          <w:sz w:val="20"/>
          <w:szCs w:val="20"/>
          <w:color w:val="auto"/>
        </w:rPr>
      </w:pPr>
      <w:r>
        <w:rPr>
          <w:rFonts w:ascii="Arial" w:cs="Arial" w:eastAsia="Arial" w:hAnsi="Arial"/>
          <w:sz w:val="21"/>
          <w:szCs w:val="21"/>
          <w:color w:val="auto"/>
        </w:rPr>
        <w:t>AMENDMENT NUMBER THREE</w:t>
      </w:r>
    </w:p>
    <w:p>
      <w:pPr>
        <w:jc w:val="center"/>
        <w:ind w:right="40"/>
        <w:spacing w:after="0"/>
        <w:rPr>
          <w:sz w:val="20"/>
          <w:szCs w:val="20"/>
          <w:color w:val="auto"/>
        </w:rPr>
      </w:pPr>
      <w:r>
        <w:rPr>
          <w:rFonts w:ascii="Arial" w:cs="Arial" w:eastAsia="Arial" w:hAnsi="Arial"/>
          <w:sz w:val="21"/>
          <w:szCs w:val="21"/>
          <w:color w:val="auto"/>
        </w:rPr>
        <w:t>Subservicing Agreement</w:t>
      </w:r>
    </w:p>
    <w:p>
      <w:pPr>
        <w:jc w:val="center"/>
        <w:ind w:right="40"/>
        <w:spacing w:after="0" w:line="231" w:lineRule="auto"/>
        <w:rPr>
          <w:sz w:val="20"/>
          <w:szCs w:val="20"/>
          <w:color w:val="auto"/>
        </w:rPr>
      </w:pPr>
      <w:r>
        <w:rPr>
          <w:rFonts w:ascii="Arial" w:cs="Arial" w:eastAsia="Arial" w:hAnsi="Arial"/>
          <w:sz w:val="21"/>
          <w:szCs w:val="21"/>
          <w:color w:val="auto"/>
        </w:rPr>
        <w:t>by and between</w:t>
      </w:r>
    </w:p>
    <w:p>
      <w:pPr>
        <w:jc w:val="center"/>
        <w:ind w:right="40"/>
        <w:spacing w:after="0" w:line="231" w:lineRule="auto"/>
        <w:rPr>
          <w:sz w:val="20"/>
          <w:szCs w:val="20"/>
          <w:color w:val="auto"/>
        </w:rPr>
      </w:pPr>
      <w:r>
        <w:rPr>
          <w:rFonts w:ascii="Arial" w:cs="Arial" w:eastAsia="Arial" w:hAnsi="Arial"/>
          <w:sz w:val="21"/>
          <w:szCs w:val="21"/>
          <w:color w:val="auto"/>
        </w:rPr>
        <w:t>NEW RESIDENTIAL MORTGAGE LLC</w:t>
      </w:r>
    </w:p>
    <w:p>
      <w:pPr>
        <w:jc w:val="center"/>
        <w:ind w:right="40"/>
        <w:spacing w:after="0" w:line="231" w:lineRule="auto"/>
        <w:rPr>
          <w:sz w:val="20"/>
          <w:szCs w:val="20"/>
          <w:color w:val="auto"/>
        </w:rPr>
      </w:pPr>
      <w:r>
        <w:rPr>
          <w:rFonts w:ascii="Arial" w:cs="Arial" w:eastAsia="Arial" w:hAnsi="Arial"/>
          <w:sz w:val="21"/>
          <w:szCs w:val="21"/>
          <w:color w:val="auto"/>
        </w:rPr>
        <w:t>and</w:t>
      </w:r>
    </w:p>
    <w:p>
      <w:pPr>
        <w:jc w:val="center"/>
        <w:spacing w:after="0" w:line="231" w:lineRule="auto"/>
        <w:rPr>
          <w:sz w:val="20"/>
          <w:szCs w:val="20"/>
          <w:color w:val="auto"/>
        </w:rPr>
      </w:pPr>
      <w:r>
        <w:rPr>
          <w:rFonts w:ascii="Arial" w:cs="Arial" w:eastAsia="Arial" w:hAnsi="Arial"/>
          <w:sz w:val="21"/>
          <w:szCs w:val="21"/>
          <w:color w:val="auto"/>
        </w:rPr>
        <w:t>PHH MORTGAGE CORPORATION (as successor by merger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OCWEN LOAN SERVICING, LLC)</w:t>
      </w:r>
    </w:p>
    <w:p>
      <w:pPr>
        <w:spacing w:after="0" w:line="219" w:lineRule="exact"/>
        <w:rPr>
          <w:sz w:val="20"/>
          <w:szCs w:val="20"/>
          <w:color w:val="auto"/>
        </w:rPr>
      </w:pPr>
    </w:p>
    <w:p>
      <w:pPr>
        <w:jc w:val="both"/>
        <w:ind w:firstLine="1240"/>
        <w:spacing w:after="0" w:line="272" w:lineRule="auto"/>
        <w:rPr>
          <w:sz w:val="20"/>
          <w:szCs w:val="20"/>
          <w:color w:val="auto"/>
        </w:rPr>
      </w:pPr>
      <w:r>
        <w:rPr>
          <w:rFonts w:ascii="Arial" w:cs="Arial" w:eastAsia="Arial" w:hAnsi="Arial"/>
          <w:sz w:val="19"/>
          <w:szCs w:val="19"/>
          <w:color w:val="auto"/>
        </w:rPr>
        <w:t>This AMENDMENT NUMBER THREE is dated as of May 2, 2022, by and between PHH MORTGAGE CORPORATION (as successor by merger to OCWEN LOAN SERVICING, LLC), as subservicer (the “</w:t>
      </w:r>
      <w:r>
        <w:rPr>
          <w:rFonts w:ascii="Arial" w:cs="Arial" w:eastAsia="Arial" w:hAnsi="Arial"/>
          <w:sz w:val="19"/>
          <w:szCs w:val="19"/>
          <w:u w:val="single" w:color="auto"/>
          <w:color w:val="auto"/>
        </w:rPr>
        <w:t>Subservicer</w:t>
      </w:r>
      <w:r>
        <w:rPr>
          <w:rFonts w:ascii="Arial" w:cs="Arial" w:eastAsia="Arial" w:hAnsi="Arial"/>
          <w:sz w:val="19"/>
          <w:szCs w:val="19"/>
          <w:color w:val="auto"/>
        </w:rPr>
        <w:t>”), and NEW RESIDENTIAL MORTGAGE LLC, as owner/servicer (the “</w:t>
      </w:r>
      <w:r>
        <w:rPr>
          <w:rFonts w:ascii="Arial" w:cs="Arial" w:eastAsia="Arial" w:hAnsi="Arial"/>
          <w:sz w:val="19"/>
          <w:szCs w:val="19"/>
          <w:u w:val="single" w:color="auto"/>
          <w:color w:val="auto"/>
        </w:rPr>
        <w:t>Owner/Servicer</w:t>
      </w:r>
      <w:r>
        <w:rPr>
          <w:rFonts w:ascii="Arial" w:cs="Arial" w:eastAsia="Arial" w:hAnsi="Arial"/>
          <w:sz w:val="19"/>
          <w:szCs w:val="19"/>
          <w:color w:val="auto"/>
        </w:rPr>
        <w:t>”), to that certain Subservicing Agreement, dated as of July 23, 2017 (as amended through the date hereof, the “</w:t>
      </w:r>
      <w:r>
        <w:rPr>
          <w:rFonts w:ascii="Arial" w:cs="Arial" w:eastAsia="Arial" w:hAnsi="Arial"/>
          <w:sz w:val="19"/>
          <w:szCs w:val="19"/>
          <w:u w:val="single" w:color="auto"/>
          <w:color w:val="auto"/>
        </w:rPr>
        <w:t>Agreement</w:t>
      </w:r>
      <w:r>
        <w:rPr>
          <w:rFonts w:ascii="Arial" w:cs="Arial" w:eastAsia="Arial" w:hAnsi="Arial"/>
          <w:sz w:val="19"/>
          <w:szCs w:val="19"/>
          <w:color w:val="auto"/>
        </w:rPr>
        <w:t>”), by and between the Subservicer and the Owner/Servicer.</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1"/>
          <w:szCs w:val="21"/>
          <w:b w:val="1"/>
          <w:bCs w:val="1"/>
          <w:u w:val="single" w:color="auto"/>
          <w:color w:val="auto"/>
        </w:rPr>
        <w:t>RECITALS</w:t>
      </w:r>
    </w:p>
    <w:p>
      <w:pPr>
        <w:spacing w:after="0" w:line="237" w:lineRule="exact"/>
        <w:rPr>
          <w:sz w:val="20"/>
          <w:szCs w:val="20"/>
          <w:color w:val="auto"/>
        </w:rPr>
      </w:pPr>
    </w:p>
    <w:p>
      <w:pPr>
        <w:jc w:val="both"/>
        <w:ind w:firstLine="1240"/>
        <w:spacing w:after="0" w:line="259" w:lineRule="auto"/>
        <w:rPr>
          <w:sz w:val="20"/>
          <w:szCs w:val="20"/>
          <w:color w:val="auto"/>
        </w:rPr>
      </w:pPr>
      <w:r>
        <w:rPr>
          <w:rFonts w:ascii="Arial" w:cs="Arial" w:eastAsia="Arial" w:hAnsi="Arial"/>
          <w:sz w:val="21"/>
          <w:szCs w:val="21"/>
          <w:b w:val="1"/>
          <w:bCs w:val="1"/>
          <w:color w:val="auto"/>
        </w:rPr>
        <w:t>WHEREAS</w:t>
      </w:r>
      <w:r>
        <w:rPr>
          <w:rFonts w:ascii="Arial" w:cs="Arial" w:eastAsia="Arial" w:hAnsi="Arial"/>
          <w:sz w:val="21"/>
          <w:szCs w:val="21"/>
          <w:color w:val="auto"/>
        </w:rPr>
        <w:t>, the Subservicer and the Owner/Servicer desire to amend and modify the Agreement, subject to the terms</w:t>
      </w:r>
      <w:r>
        <w:rPr>
          <w:rFonts w:ascii="Arial" w:cs="Arial" w:eastAsia="Arial" w:hAnsi="Arial"/>
          <w:sz w:val="21"/>
          <w:szCs w:val="21"/>
          <w:b w:val="1"/>
          <w:bCs w:val="1"/>
          <w:color w:val="auto"/>
        </w:rPr>
        <w:t xml:space="preserve"> </w:t>
      </w:r>
      <w:r>
        <w:rPr>
          <w:rFonts w:ascii="Arial" w:cs="Arial" w:eastAsia="Arial" w:hAnsi="Arial"/>
          <w:sz w:val="21"/>
          <w:szCs w:val="21"/>
          <w:color w:val="auto"/>
        </w:rPr>
        <w:t>hereof and as specified herein;</w:t>
      </w:r>
    </w:p>
    <w:p>
      <w:pPr>
        <w:spacing w:after="0" w:line="177" w:lineRule="exact"/>
        <w:rPr>
          <w:sz w:val="20"/>
          <w:szCs w:val="20"/>
          <w:color w:val="auto"/>
        </w:rPr>
      </w:pPr>
    </w:p>
    <w:p>
      <w:pPr>
        <w:jc w:val="both"/>
        <w:ind w:firstLine="1240"/>
        <w:spacing w:after="0" w:line="259" w:lineRule="auto"/>
        <w:rPr>
          <w:sz w:val="20"/>
          <w:szCs w:val="20"/>
          <w:color w:val="auto"/>
        </w:rPr>
      </w:pPr>
      <w:r>
        <w:rPr>
          <w:rFonts w:ascii="Arial" w:cs="Arial" w:eastAsia="Arial" w:hAnsi="Arial"/>
          <w:sz w:val="21"/>
          <w:szCs w:val="21"/>
          <w:b w:val="1"/>
          <w:bCs w:val="1"/>
          <w:color w:val="auto"/>
        </w:rPr>
        <w:t>WHEREAS</w:t>
      </w:r>
      <w:r>
        <w:rPr>
          <w:rFonts w:ascii="Arial" w:cs="Arial" w:eastAsia="Arial" w:hAnsi="Arial"/>
          <w:sz w:val="21"/>
          <w:szCs w:val="21"/>
          <w:color w:val="auto"/>
        </w:rPr>
        <w:t>, the Subservicer and the Owner/Servicer each have agreed to execute and deliver this Amendment Number</w:t>
      </w:r>
      <w:r>
        <w:rPr>
          <w:rFonts w:ascii="Arial" w:cs="Arial" w:eastAsia="Arial" w:hAnsi="Arial"/>
          <w:sz w:val="21"/>
          <w:szCs w:val="21"/>
          <w:b w:val="1"/>
          <w:bCs w:val="1"/>
          <w:color w:val="auto"/>
        </w:rPr>
        <w:t xml:space="preserve"> </w:t>
      </w:r>
      <w:r>
        <w:rPr>
          <w:rFonts w:ascii="Arial" w:cs="Arial" w:eastAsia="Arial" w:hAnsi="Arial"/>
          <w:sz w:val="21"/>
          <w:szCs w:val="21"/>
          <w:color w:val="auto"/>
        </w:rPr>
        <w:t>Three on the terms and conditions set forth herein; and</w:t>
      </w:r>
    </w:p>
    <w:p>
      <w:pPr>
        <w:spacing w:after="0" w:line="177" w:lineRule="exact"/>
        <w:rPr>
          <w:sz w:val="20"/>
          <w:szCs w:val="20"/>
          <w:color w:val="auto"/>
        </w:rPr>
      </w:pPr>
    </w:p>
    <w:p>
      <w:pPr>
        <w:ind w:left="1240"/>
        <w:spacing w:after="0"/>
        <w:rPr>
          <w:sz w:val="20"/>
          <w:szCs w:val="20"/>
          <w:color w:val="auto"/>
        </w:rPr>
      </w:pPr>
      <w:r>
        <w:rPr>
          <w:rFonts w:ascii="Arial" w:cs="Arial" w:eastAsia="Arial" w:hAnsi="Arial"/>
          <w:sz w:val="19"/>
          <w:szCs w:val="19"/>
          <w:b w:val="1"/>
          <w:bCs w:val="1"/>
          <w:color w:val="auto"/>
        </w:rPr>
        <w:t xml:space="preserve">WHEREAS, </w:t>
      </w:r>
      <w:r>
        <w:rPr>
          <w:rFonts w:ascii="Arial" w:cs="Arial" w:eastAsia="Arial" w:hAnsi="Arial"/>
          <w:sz w:val="19"/>
          <w:szCs w:val="19"/>
          <w:color w:val="auto"/>
        </w:rPr>
        <w:t>capitalized terms used herein but not defined shall have the meaning ascribed to them as set forth in the</w:t>
      </w:r>
    </w:p>
    <w:p>
      <w:pPr>
        <w:spacing w:after="0" w:line="38" w:lineRule="exact"/>
        <w:rPr>
          <w:sz w:val="20"/>
          <w:szCs w:val="20"/>
          <w:color w:val="auto"/>
        </w:rPr>
      </w:pPr>
    </w:p>
    <w:p>
      <w:pPr>
        <w:spacing w:after="0"/>
        <w:rPr>
          <w:sz w:val="20"/>
          <w:szCs w:val="20"/>
          <w:color w:val="auto"/>
        </w:rPr>
      </w:pPr>
      <w:r>
        <w:rPr>
          <w:rFonts w:ascii="Arial" w:cs="Arial" w:eastAsia="Arial" w:hAnsi="Arial"/>
          <w:sz w:val="21"/>
          <w:szCs w:val="21"/>
          <w:color w:val="auto"/>
        </w:rPr>
        <w:t>Agreement.</w:t>
      </w:r>
    </w:p>
    <w:p>
      <w:pPr>
        <w:spacing w:after="0" w:line="213" w:lineRule="exact"/>
        <w:rPr>
          <w:sz w:val="20"/>
          <w:szCs w:val="20"/>
          <w:color w:val="auto"/>
        </w:rPr>
      </w:pPr>
    </w:p>
    <w:p>
      <w:pPr>
        <w:jc w:val="both"/>
        <w:ind w:firstLine="1240"/>
        <w:spacing w:after="0" w:line="259" w:lineRule="auto"/>
        <w:rPr>
          <w:sz w:val="20"/>
          <w:szCs w:val="20"/>
          <w:color w:val="auto"/>
        </w:rPr>
      </w:pPr>
      <w:r>
        <w:rPr>
          <w:rFonts w:ascii="Arial" w:cs="Arial" w:eastAsia="Arial" w:hAnsi="Arial"/>
          <w:sz w:val="21"/>
          <w:szCs w:val="21"/>
          <w:b w:val="1"/>
          <w:bCs w:val="1"/>
          <w:color w:val="auto"/>
        </w:rPr>
        <w:t>NOW THEREFORE</w:t>
      </w:r>
      <w:r>
        <w:rPr>
          <w:rFonts w:ascii="Arial" w:cs="Arial" w:eastAsia="Arial" w:hAnsi="Arial"/>
          <w:sz w:val="21"/>
          <w:szCs w:val="21"/>
          <w:color w:val="auto"/>
        </w:rPr>
        <w:t>, for good and valuable consideration, the receipt and sufficiency of which are hereby</w:t>
      </w:r>
      <w:r>
        <w:rPr>
          <w:rFonts w:ascii="Arial" w:cs="Arial" w:eastAsia="Arial" w:hAnsi="Arial"/>
          <w:sz w:val="21"/>
          <w:szCs w:val="21"/>
          <w:b w:val="1"/>
          <w:bCs w:val="1"/>
          <w:color w:val="auto"/>
        </w:rPr>
        <w:t xml:space="preserve"> </w:t>
      </w:r>
      <w:r>
        <w:rPr>
          <w:rFonts w:ascii="Arial" w:cs="Arial" w:eastAsia="Arial" w:hAnsi="Arial"/>
          <w:sz w:val="21"/>
          <w:szCs w:val="21"/>
          <w:color w:val="auto"/>
        </w:rPr>
        <w:t>acknowledged, and of the mutual covenants herein contained, the parties hereto hereby agree as follows:</w:t>
      </w:r>
    </w:p>
    <w:p>
      <w:pPr>
        <w:spacing w:after="0" w:line="177" w:lineRule="exact"/>
        <w:rPr>
          <w:sz w:val="20"/>
          <w:szCs w:val="20"/>
          <w:color w:val="auto"/>
        </w:rPr>
      </w:pPr>
    </w:p>
    <w:p>
      <w:pPr>
        <w:ind w:left="620"/>
        <w:spacing w:after="0"/>
        <w:rPr>
          <w:sz w:val="20"/>
          <w:szCs w:val="20"/>
          <w:color w:val="auto"/>
        </w:rPr>
      </w:pPr>
      <w:r>
        <w:rPr>
          <w:rFonts w:ascii="Arial" w:cs="Arial" w:eastAsia="Arial" w:hAnsi="Arial"/>
          <w:sz w:val="21"/>
          <w:szCs w:val="21"/>
          <w:b w:val="1"/>
          <w:bCs w:val="1"/>
          <w:color w:val="auto"/>
        </w:rPr>
        <w:t>SECTION 1</w:t>
      </w:r>
      <w:r>
        <w:rPr>
          <w:rFonts w:ascii="Arial" w:cs="Arial" w:eastAsia="Arial" w:hAnsi="Arial"/>
          <w:sz w:val="21"/>
          <w:szCs w:val="21"/>
          <w:color w:val="auto"/>
        </w:rPr>
        <w:t>.</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Amendments.</w:t>
      </w:r>
      <w:r>
        <w:rPr>
          <w:rFonts w:ascii="Arial" w:cs="Arial" w:eastAsia="Arial" w:hAnsi="Arial"/>
          <w:sz w:val="21"/>
          <w:szCs w:val="21"/>
          <w:b w:val="1"/>
          <w:bCs w:val="1"/>
          <w:color w:val="auto"/>
        </w:rPr>
        <w:t xml:space="preserve"> </w:t>
      </w:r>
      <w:r>
        <w:rPr>
          <w:rFonts w:ascii="Arial" w:cs="Arial" w:eastAsia="Arial" w:hAnsi="Arial"/>
          <w:sz w:val="21"/>
          <w:szCs w:val="21"/>
          <w:color w:val="auto"/>
        </w:rPr>
        <w:t>Effective as of May 2, 2022, the Agreement is hereby amended as follows:</w:t>
      </w:r>
    </w:p>
    <w:p>
      <w:pPr>
        <w:spacing w:after="0" w:line="243" w:lineRule="exact"/>
        <w:rPr>
          <w:sz w:val="20"/>
          <w:szCs w:val="20"/>
          <w:color w:val="auto"/>
        </w:rPr>
      </w:pPr>
    </w:p>
    <w:p>
      <w:pPr>
        <w:jc w:val="both"/>
        <w:ind w:firstLine="624"/>
        <w:spacing w:after="0" w:line="242" w:lineRule="auto"/>
        <w:tabs>
          <w:tab w:leader="none" w:pos="906" w:val="left"/>
        </w:tabs>
        <w:numPr>
          <w:ilvl w:val="0"/>
          <w:numId w:val="83"/>
        </w:numPr>
        <w:rPr>
          <w:rFonts w:ascii="Arial" w:cs="Arial" w:eastAsia="Arial" w:hAnsi="Arial"/>
          <w:sz w:val="21"/>
          <w:szCs w:val="21"/>
          <w:color w:val="auto"/>
        </w:rPr>
      </w:pPr>
      <w:r>
        <w:rPr>
          <w:rFonts w:ascii="Arial" w:cs="Arial" w:eastAsia="Arial" w:hAnsi="Arial"/>
          <w:sz w:val="21"/>
          <w:szCs w:val="21"/>
          <w:color w:val="auto"/>
        </w:rPr>
        <w:t>The Agreement is hereby amended by adding the definitions of “Owner/Servicer Ancillary Income”, “Incentive Fees”, “Net Incentive Fees”, “Payment Convenience Fees” and “Second Amendment Effective Date” in the appropriate alphabetical order as follows:</w:t>
      </w:r>
    </w:p>
    <w:p>
      <w:pPr>
        <w:spacing w:after="0" w:line="174" w:lineRule="exact"/>
        <w:rPr>
          <w:sz w:val="20"/>
          <w:szCs w:val="20"/>
          <w:color w:val="auto"/>
        </w:rPr>
      </w:pPr>
    </w:p>
    <w:p>
      <w:pPr>
        <w:jc w:val="both"/>
        <w:ind w:left="620" w:firstLine="620"/>
        <w:spacing w:after="0" w:line="253" w:lineRule="auto"/>
        <w:rPr>
          <w:sz w:val="20"/>
          <w:szCs w:val="20"/>
          <w:color w:val="auto"/>
        </w:rPr>
      </w:pPr>
      <w:r>
        <w:rPr>
          <w:rFonts w:ascii="Arial" w:cs="Arial" w:eastAsia="Arial" w:hAnsi="Arial"/>
          <w:sz w:val="21"/>
          <w:szCs w:val="21"/>
          <w:u w:val="single" w:color="auto"/>
          <w:color w:val="auto"/>
        </w:rPr>
        <w:t>Owner/Servicer Ancillary Income</w:t>
      </w:r>
      <w:r>
        <w:rPr>
          <w:rFonts w:ascii="Arial" w:cs="Arial" w:eastAsia="Arial" w:hAnsi="Arial"/>
          <w:sz w:val="21"/>
          <w:szCs w:val="21"/>
          <w:color w:val="auto"/>
        </w:rPr>
        <w:t>: An amount equal to [***] of the amount actually collected by Subservicer with respect to [***] derived from the Mortgage Loans.</w:t>
      </w:r>
    </w:p>
    <w:p>
      <w:pPr>
        <w:spacing w:after="0" w:line="163" w:lineRule="exact"/>
        <w:rPr>
          <w:sz w:val="20"/>
          <w:szCs w:val="20"/>
          <w:color w:val="auto"/>
        </w:rPr>
      </w:pPr>
    </w:p>
    <w:p>
      <w:pPr>
        <w:jc w:val="both"/>
        <w:ind w:left="620" w:firstLine="620"/>
        <w:spacing w:after="0" w:line="242" w:lineRule="auto"/>
        <w:rPr>
          <w:sz w:val="20"/>
          <w:szCs w:val="20"/>
          <w:color w:val="auto"/>
        </w:rPr>
      </w:pPr>
      <w:r>
        <w:rPr>
          <w:rFonts w:ascii="Arial" w:cs="Arial" w:eastAsia="Arial" w:hAnsi="Arial"/>
          <w:sz w:val="21"/>
          <w:szCs w:val="21"/>
          <w:u w:val="single" w:color="auto"/>
          <w:color w:val="auto"/>
        </w:rPr>
        <w:t>Incentive Fees</w:t>
      </w:r>
      <w:r>
        <w:rPr>
          <w:rFonts w:ascii="Arial" w:cs="Arial" w:eastAsia="Arial" w:hAnsi="Arial"/>
          <w:sz w:val="21"/>
          <w:szCs w:val="21"/>
          <w:color w:val="auto"/>
        </w:rPr>
        <w:t>: Loss mitigation, loan modification or other such incentive fees payable by third parties to Subservicer (in connection with HAMP, or other incentive fees associated with private label securities) in connection with any Mortgage Loan, in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color w:val="auto"/>
        </w:rPr>
        <w:t>NRM – PHH Amend 3 to SSA FINAL (5-2-2022)(4)</w:t>
      </w:r>
    </w:p>
    <w:p>
      <w:pPr>
        <w:sectPr>
          <w:pgSz w:w="11900" w:h="16838" w:orient="portrait"/>
          <w:cols w:equalWidth="0" w:num="1">
            <w:col w:w="11240"/>
          </w:cols>
          <w:pgMar w:left="320" w:top="100" w:right="339" w:bottom="1440" w:gutter="0" w:footer="0" w:header="0"/>
        </w:sectPr>
      </w:pPr>
    </w:p>
    <w:bookmarkStart w:id="113" w:name="page114"/>
    <w:bookmarkEnd w:id="113"/>
    <w:p>
      <w:pPr>
        <w:spacing w:after="0" w:line="126" w:lineRule="exact"/>
        <w:rPr>
          <w:sz w:val="20"/>
          <w:szCs w:val="20"/>
          <w:color w:val="auto"/>
        </w:rPr>
      </w:pPr>
    </w:p>
    <w:p>
      <w:pPr>
        <w:ind w:left="620"/>
        <w:spacing w:after="0"/>
        <w:rPr>
          <w:sz w:val="20"/>
          <w:szCs w:val="20"/>
          <w:color w:val="auto"/>
        </w:rPr>
      </w:pPr>
      <w:r>
        <w:rPr>
          <w:rFonts w:ascii="Arial" w:cs="Arial" w:eastAsia="Arial" w:hAnsi="Arial"/>
          <w:sz w:val="20"/>
          <w:szCs w:val="20"/>
          <w:color w:val="auto"/>
        </w:rPr>
        <w:t>case to the extent not exceeding or violating any applicable amounts or limitations under Applicable Requirements.</w:t>
      </w:r>
    </w:p>
    <w:p>
      <w:pPr>
        <w:spacing w:after="0" w:line="222" w:lineRule="exact"/>
        <w:rPr>
          <w:sz w:val="20"/>
          <w:szCs w:val="20"/>
          <w:color w:val="auto"/>
        </w:rPr>
      </w:pPr>
    </w:p>
    <w:p>
      <w:pPr>
        <w:jc w:val="both"/>
        <w:ind w:left="620" w:firstLine="620"/>
        <w:spacing w:after="0" w:line="253" w:lineRule="auto"/>
        <w:rPr>
          <w:sz w:val="20"/>
          <w:szCs w:val="20"/>
          <w:color w:val="auto"/>
        </w:rPr>
      </w:pPr>
      <w:r>
        <w:rPr>
          <w:rFonts w:ascii="Arial" w:cs="Arial" w:eastAsia="Arial" w:hAnsi="Arial"/>
          <w:sz w:val="21"/>
          <w:szCs w:val="21"/>
          <w:u w:val="single" w:color="auto"/>
          <w:color w:val="auto"/>
        </w:rPr>
        <w:t>Net Incentive Fees</w:t>
      </w:r>
      <w:r>
        <w:rPr>
          <w:rFonts w:ascii="Arial" w:cs="Arial" w:eastAsia="Arial" w:hAnsi="Arial"/>
          <w:sz w:val="21"/>
          <w:szCs w:val="21"/>
          <w:color w:val="auto"/>
        </w:rPr>
        <w:t xml:space="preserve"> : Incentive Fees actually collected and retained by Subservicer, net of Subservicer’s associated direct costs related to earning or otherwise becoming entitled to such incentive fees [***].</w:t>
      </w:r>
    </w:p>
    <w:p>
      <w:pPr>
        <w:spacing w:after="0" w:line="163" w:lineRule="exact"/>
        <w:rPr>
          <w:sz w:val="20"/>
          <w:szCs w:val="20"/>
          <w:color w:val="auto"/>
        </w:rPr>
      </w:pPr>
    </w:p>
    <w:p>
      <w:pPr>
        <w:jc w:val="both"/>
        <w:ind w:left="620" w:firstLine="620"/>
        <w:spacing w:after="0" w:line="242" w:lineRule="auto"/>
        <w:rPr>
          <w:sz w:val="20"/>
          <w:szCs w:val="20"/>
          <w:color w:val="auto"/>
        </w:rPr>
      </w:pPr>
      <w:r>
        <w:rPr>
          <w:rFonts w:ascii="Arial" w:cs="Arial" w:eastAsia="Arial" w:hAnsi="Arial"/>
          <w:sz w:val="21"/>
          <w:szCs w:val="21"/>
          <w:u w:val="single" w:color="auto"/>
          <w:color w:val="auto"/>
        </w:rPr>
        <w:t>Payment Convenience Fees</w:t>
      </w:r>
      <w:r>
        <w:rPr>
          <w:rFonts w:ascii="Arial" w:cs="Arial" w:eastAsia="Arial" w:hAnsi="Arial"/>
          <w:sz w:val="21"/>
          <w:szCs w:val="21"/>
          <w:color w:val="auto"/>
        </w:rPr>
        <w:t>: Fees charged to borrowers for utilizing optional payment methods including making a payment over the telephone with the assistance of Subservicer’s agent, making a payment utilizing Subservicer’s automated telephony system, and making a payment utilizing Subservicer’s website.</w:t>
      </w:r>
    </w:p>
    <w:p>
      <w:pPr>
        <w:spacing w:after="0" w:line="174" w:lineRule="exact"/>
        <w:rPr>
          <w:sz w:val="20"/>
          <w:szCs w:val="20"/>
          <w:color w:val="auto"/>
        </w:rPr>
      </w:pPr>
    </w:p>
    <w:p>
      <w:pPr>
        <w:ind w:left="1240"/>
        <w:spacing w:after="0"/>
        <w:rPr>
          <w:sz w:val="20"/>
          <w:szCs w:val="20"/>
          <w:color w:val="auto"/>
        </w:rPr>
      </w:pPr>
      <w:r>
        <w:rPr>
          <w:rFonts w:ascii="Arial" w:cs="Arial" w:eastAsia="Arial" w:hAnsi="Arial"/>
          <w:sz w:val="21"/>
          <w:szCs w:val="21"/>
          <w:u w:val="single" w:color="auto"/>
          <w:color w:val="auto"/>
        </w:rPr>
        <w:t>Third Amendment Effective Date</w:t>
      </w:r>
      <w:r>
        <w:rPr>
          <w:rFonts w:ascii="Arial" w:cs="Arial" w:eastAsia="Arial" w:hAnsi="Arial"/>
          <w:sz w:val="21"/>
          <w:szCs w:val="21"/>
          <w:color w:val="auto"/>
        </w:rPr>
        <w:t>: May 2, 2022.</w:t>
      </w:r>
    </w:p>
    <w:p>
      <w:pPr>
        <w:spacing w:after="0" w:line="198" w:lineRule="exact"/>
        <w:rPr>
          <w:sz w:val="20"/>
          <w:szCs w:val="20"/>
          <w:color w:val="auto"/>
        </w:rPr>
      </w:pPr>
    </w:p>
    <w:p>
      <w:pPr>
        <w:ind w:left="620"/>
        <w:spacing w:after="0"/>
        <w:tabs>
          <w:tab w:leader="none" w:pos="1040" w:val="left"/>
        </w:tabs>
        <w:rPr>
          <w:sz w:val="20"/>
          <w:szCs w:val="20"/>
          <w:color w:val="auto"/>
        </w:rPr>
      </w:pPr>
      <w:r>
        <w:rPr>
          <w:rFonts w:ascii="Arial" w:cs="Arial" w:eastAsia="Arial" w:hAnsi="Arial"/>
          <w:sz w:val="21"/>
          <w:szCs w:val="21"/>
          <w:color w:val="auto"/>
        </w:rPr>
        <w:t>(b)</w:t>
      </w:r>
      <w:r>
        <w:rPr>
          <w:sz w:val="20"/>
          <w:szCs w:val="20"/>
          <w:color w:val="auto"/>
        </w:rPr>
        <w:tab/>
      </w:r>
      <w:r>
        <w:rPr>
          <w:rFonts w:ascii="Arial" w:cs="Arial" w:eastAsia="Arial" w:hAnsi="Arial"/>
          <w:sz w:val="19"/>
          <w:szCs w:val="19"/>
          <w:color w:val="auto"/>
        </w:rPr>
        <w:t>The Agreement is hereby amended by deleting the definition of “Ancillary Income” and replacing it with the following:</w:t>
      </w:r>
    </w:p>
    <w:p>
      <w:pPr>
        <w:spacing w:after="0" w:line="200" w:lineRule="exact"/>
        <w:rPr>
          <w:sz w:val="20"/>
          <w:szCs w:val="20"/>
          <w:color w:val="auto"/>
        </w:rPr>
      </w:pPr>
    </w:p>
    <w:p>
      <w:pPr>
        <w:spacing w:after="0" w:line="230" w:lineRule="exact"/>
        <w:rPr>
          <w:sz w:val="20"/>
          <w:szCs w:val="20"/>
          <w:color w:val="auto"/>
        </w:rPr>
      </w:pPr>
    </w:p>
    <w:p>
      <w:pPr>
        <w:jc w:val="both"/>
        <w:ind w:left="620"/>
        <w:spacing w:after="0" w:line="234" w:lineRule="auto"/>
        <w:rPr>
          <w:sz w:val="20"/>
          <w:szCs w:val="20"/>
          <w:color w:val="auto"/>
        </w:rPr>
      </w:pPr>
      <w:r>
        <w:rPr>
          <w:rFonts w:ascii="Arial" w:cs="Arial" w:eastAsia="Arial" w:hAnsi="Arial"/>
          <w:sz w:val="19"/>
          <w:szCs w:val="19"/>
          <w:u w:val="single" w:color="auto"/>
          <w:color w:val="auto"/>
        </w:rPr>
        <w:t>Ancillary Income</w:t>
      </w:r>
      <w:r>
        <w:rPr>
          <w:rFonts w:ascii="Arial" w:cs="Arial" w:eastAsia="Arial" w:hAnsi="Arial"/>
          <w:sz w:val="19"/>
          <w:szCs w:val="19"/>
          <w:color w:val="auto"/>
        </w:rPr>
        <w:t xml:space="preserve">: All income, fees, charges derived from the Mortgage Loans and REO Properties (other than (i) Servicing Compensation, (ii) any Float Benefit, (iii) any prepayment premiums attributable to the Mortgage Loans not payable to an Investor, (iv) any Downstream Ancillary Income and (v) Owner/Servicer Ancillary Income), which the Subservicer is entitled to collect (for the Owner/Servicer) solely from third parties (and not from the Owner/Servicer) under Applicable Requirements and </w:t>
      </w:r>
      <w:r>
        <w:rPr>
          <w:rFonts w:ascii="Arial" w:cs="Arial" w:eastAsia="Arial" w:hAnsi="Arial"/>
          <w:sz w:val="19"/>
          <w:szCs w:val="19"/>
          <w:u w:val="single" w:color="auto"/>
          <w:color w:val="auto"/>
        </w:rPr>
        <w:t>Section 4.1</w:t>
      </w:r>
      <w:r>
        <w:rPr>
          <w:rFonts w:ascii="Arial" w:cs="Arial" w:eastAsia="Arial" w:hAnsi="Arial"/>
          <w:sz w:val="19"/>
          <w:szCs w:val="19"/>
          <w:color w:val="auto"/>
        </w:rPr>
        <w:t>, including but not limited to late fees, Payment Convenient Fees, Incentive Fees (other than [***]), payoff fees, assumption fees, reinstatement fees, fees received with respect to checks on bank drafts returned by the related bank for insufficient funds, and similar types of fees arising from or in connection with any Mortgage Loan, in any case to the extent not exceeding or violating any applicable amounts or limitations under Applicable Requirements. In no event shall any Ancillary Income be paid from Owner/Servicer Economics, reimbursed Servicing Advances or reimbursed P&amp;I Advances.</w:t>
      </w:r>
    </w:p>
    <w:p>
      <w:pPr>
        <w:spacing w:after="0" w:line="163" w:lineRule="exact"/>
        <w:rPr>
          <w:sz w:val="20"/>
          <w:szCs w:val="20"/>
          <w:color w:val="auto"/>
        </w:rPr>
      </w:pPr>
    </w:p>
    <w:p>
      <w:pPr>
        <w:ind w:left="1140" w:hanging="516"/>
        <w:spacing w:after="0"/>
        <w:tabs>
          <w:tab w:leader="none" w:pos="1140" w:val="left"/>
        </w:tabs>
        <w:numPr>
          <w:ilvl w:val="0"/>
          <w:numId w:val="84"/>
        </w:numPr>
        <w:rPr>
          <w:rFonts w:ascii="Arial" w:cs="Arial" w:eastAsia="Arial" w:hAnsi="Arial"/>
          <w:sz w:val="19"/>
          <w:szCs w:val="19"/>
          <w:color w:val="auto"/>
        </w:rPr>
      </w:pPr>
      <w:r>
        <w:rPr>
          <w:rFonts w:ascii="Arial" w:cs="Arial" w:eastAsia="Arial" w:hAnsi="Arial"/>
          <w:sz w:val="19"/>
          <w:szCs w:val="19"/>
          <w:color w:val="auto"/>
        </w:rPr>
        <w:t>The Agreement is hereby amended by deleting the definition of “Effective Date of Termination” and replacing it with the</w:t>
      </w:r>
    </w:p>
    <w:p>
      <w:pPr>
        <w:spacing w:after="0" w:line="3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1"/>
          <w:szCs w:val="21"/>
          <w:color w:val="auto"/>
        </w:rPr>
        <w:t>following:</w:t>
      </w:r>
    </w:p>
    <w:p>
      <w:pPr>
        <w:spacing w:after="0" w:line="193" w:lineRule="exact"/>
        <w:rPr>
          <w:sz w:val="20"/>
          <w:szCs w:val="20"/>
          <w:color w:val="auto"/>
        </w:rPr>
      </w:pPr>
    </w:p>
    <w:p>
      <w:pPr>
        <w:jc w:val="both"/>
        <w:ind w:left="620"/>
        <w:spacing w:after="0" w:line="227" w:lineRule="auto"/>
        <w:rPr>
          <w:sz w:val="20"/>
          <w:szCs w:val="20"/>
          <w:color w:val="auto"/>
        </w:rPr>
      </w:pPr>
      <w:r>
        <w:rPr>
          <w:rFonts w:ascii="Arial" w:cs="Arial" w:eastAsia="Arial" w:hAnsi="Arial"/>
          <w:sz w:val="20"/>
          <w:szCs w:val="20"/>
          <w:u w:val="single" w:color="auto"/>
          <w:color w:val="auto"/>
        </w:rPr>
        <w:t>Effective Date of Termination</w:t>
      </w:r>
      <w:r>
        <w:rPr>
          <w:rFonts w:ascii="Arial" w:cs="Arial" w:eastAsia="Arial" w:hAnsi="Arial"/>
          <w:sz w:val="20"/>
          <w:szCs w:val="20"/>
          <w:color w:val="auto"/>
        </w:rPr>
        <w:t>: With respect to the termination of Subservicer, (i) if terminated pursuant to Section 5.1(b), as of 11:59 pm ET of the last day of the then-current term and (ii) if terminated pursuant to Section 5.1(d) or Section 5.3, the date Owner/Servicer notifies Subservicer of its termination. With respect to a termination of Owner/Servicer, (i) if terminated pursuant to Section 5.1(c), as of 11:59 pm ET of the last day of the then-current term and (ii) if terminated pursuant to Section 5.6, the date Subservicer notifies Owner/Servicer of the termination of the Owner/Servicer.</w:t>
      </w:r>
    </w:p>
    <w:p>
      <w:pPr>
        <w:spacing w:after="0" w:line="166" w:lineRule="exact"/>
        <w:rPr>
          <w:sz w:val="20"/>
          <w:szCs w:val="20"/>
          <w:color w:val="auto"/>
        </w:rPr>
      </w:pPr>
    </w:p>
    <w:p>
      <w:pPr>
        <w:ind w:left="1140" w:hanging="516"/>
        <w:spacing w:after="0"/>
        <w:tabs>
          <w:tab w:leader="none" w:pos="1140" w:val="left"/>
        </w:tabs>
        <w:numPr>
          <w:ilvl w:val="0"/>
          <w:numId w:val="85"/>
        </w:numPr>
        <w:rPr>
          <w:rFonts w:ascii="Arial" w:cs="Arial" w:eastAsia="Arial" w:hAnsi="Arial"/>
          <w:sz w:val="19"/>
          <w:szCs w:val="19"/>
          <w:color w:val="auto"/>
        </w:rPr>
      </w:pPr>
      <w:r>
        <w:rPr>
          <w:rFonts w:ascii="Arial" w:cs="Arial" w:eastAsia="Arial" w:hAnsi="Arial"/>
          <w:sz w:val="19"/>
          <w:szCs w:val="19"/>
          <w:color w:val="auto"/>
        </w:rPr>
        <w:t>The Agreement is hereby amended by deleting the definition of “Owner/Servicer Economics” and replacing it with the</w:t>
      </w:r>
    </w:p>
    <w:p>
      <w:pPr>
        <w:spacing w:after="0" w:line="3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1"/>
          <w:szCs w:val="21"/>
          <w:color w:val="auto"/>
        </w:rPr>
        <w:t>following:</w:t>
      </w:r>
    </w:p>
    <w:p>
      <w:pPr>
        <w:spacing w:after="0" w:line="193" w:lineRule="exact"/>
        <w:rPr>
          <w:sz w:val="20"/>
          <w:szCs w:val="20"/>
          <w:color w:val="auto"/>
        </w:rPr>
      </w:pPr>
    </w:p>
    <w:p>
      <w:pPr>
        <w:jc w:val="both"/>
        <w:ind w:left="620"/>
        <w:spacing w:after="0" w:line="219" w:lineRule="auto"/>
        <w:rPr>
          <w:sz w:val="20"/>
          <w:szCs w:val="20"/>
          <w:color w:val="auto"/>
        </w:rPr>
      </w:pPr>
      <w:r>
        <w:rPr>
          <w:rFonts w:ascii="Arial" w:cs="Arial" w:eastAsia="Arial" w:hAnsi="Arial"/>
          <w:sz w:val="21"/>
          <w:szCs w:val="21"/>
          <w:u w:val="single" w:color="auto"/>
          <w:color w:val="auto"/>
        </w:rPr>
        <w:t>Owner/Servicer Economics</w:t>
      </w:r>
      <w:r>
        <w:rPr>
          <w:rFonts w:ascii="Arial" w:cs="Arial" w:eastAsia="Arial" w:hAnsi="Arial"/>
          <w:sz w:val="21"/>
          <w:szCs w:val="21"/>
          <w:color w:val="auto"/>
        </w:rPr>
        <w:t>: The sum of the following, without duplication, (i) all Servicing Compensation payable to the Owner/Servicer as servicer of the Mortgage Loans under the applicable Servicing Agreement and/or received during the applicable Investor accounting cycle, (ii) all amounts payable to the Owner/Servicer as the Investor of any Mortgage Loans during the related collection period, (iii) all recoveries 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w:t>
      </w:r>
    </w:p>
    <w:p>
      <w:pPr>
        <w:spacing w:after="0"/>
        <w:rPr>
          <w:sz w:val="20"/>
          <w:szCs w:val="20"/>
          <w:color w:val="auto"/>
        </w:rPr>
      </w:pPr>
      <w:r>
        <w:rPr>
          <w:rFonts w:ascii="Arial" w:cs="Arial" w:eastAsia="Arial" w:hAnsi="Arial"/>
          <w:sz w:val="16"/>
          <w:szCs w:val="16"/>
          <w:color w:val="auto"/>
        </w:rPr>
        <w:t>NRM – PHH Amend 3 to SSA FINAL (5-2-2022)(4)</w:t>
      </w:r>
    </w:p>
    <w:p>
      <w:pPr>
        <w:sectPr>
          <w:pgSz w:w="11900" w:h="16838" w:orient="portrait"/>
          <w:cols w:equalWidth="0" w:num="1">
            <w:col w:w="11240"/>
          </w:cols>
          <w:pgMar w:left="320" w:top="1440" w:right="339" w:bottom="1440" w:gutter="0" w:footer="0" w:header="0"/>
        </w:sectPr>
      </w:pPr>
    </w:p>
    <w:bookmarkStart w:id="114" w:name="page115"/>
    <w:bookmarkEnd w:id="114"/>
    <w:p>
      <w:pPr>
        <w:jc w:val="both"/>
        <w:ind w:left="620"/>
        <w:spacing w:after="0" w:line="239" w:lineRule="auto"/>
        <w:rPr>
          <w:sz w:val="20"/>
          <w:szCs w:val="20"/>
          <w:color w:val="auto"/>
        </w:rPr>
      </w:pPr>
      <w:r>
        <w:rPr>
          <w:rFonts w:ascii="Arial" w:cs="Arial" w:eastAsia="Arial" w:hAnsi="Arial"/>
          <w:sz w:val="19"/>
          <w:szCs w:val="19"/>
          <w:color w:val="auto"/>
        </w:rPr>
        <w:t xml:space="preserve">Mortgage Loans of Servicing Advances and P&amp;I Advances previously funded or reimbursed by the Owner/Servicer to the Subservicer or the prior servicer, (iv) if positive, the excess of all penalties assessed pursuant to </w:t>
      </w:r>
      <w:r>
        <w:rPr>
          <w:rFonts w:ascii="Arial" w:cs="Arial" w:eastAsia="Arial" w:hAnsi="Arial"/>
          <w:sz w:val="19"/>
          <w:szCs w:val="19"/>
          <w:u w:val="single" w:color="auto"/>
          <w:color w:val="auto"/>
        </w:rPr>
        <w:t>Section 2.7(d)</w:t>
      </w:r>
      <w:r>
        <w:rPr>
          <w:rFonts w:ascii="Arial" w:cs="Arial" w:eastAsia="Arial" w:hAnsi="Arial"/>
          <w:sz w:val="19"/>
          <w:szCs w:val="19"/>
          <w:color w:val="auto"/>
        </w:rPr>
        <w:t xml:space="preserve"> minus all bonuses payable pursuant to </w:t>
      </w:r>
      <w:r>
        <w:rPr>
          <w:rFonts w:ascii="Arial" w:cs="Arial" w:eastAsia="Arial" w:hAnsi="Arial"/>
          <w:sz w:val="19"/>
          <w:szCs w:val="19"/>
          <w:u w:val="single" w:color="auto"/>
          <w:color w:val="auto"/>
        </w:rPr>
        <w:t>Section 2.7(d)</w:t>
      </w:r>
      <w:r>
        <w:rPr>
          <w:rFonts w:ascii="Arial" w:cs="Arial" w:eastAsia="Arial" w:hAnsi="Arial"/>
          <w:sz w:val="19"/>
          <w:szCs w:val="19"/>
          <w:color w:val="auto"/>
        </w:rPr>
        <w:t xml:space="preserve">, (v) all Owner/Servicer Ancillary Income (provided that, notwithstanding Section 2.8(f), it being agreed that such amounts shall be remitted monthly) and (vi) all other outstanding amounts collected and payable to the Owner/Servicer under this Agreement (including Float Benefit pursuant to </w:t>
      </w:r>
      <w:r>
        <w:rPr>
          <w:rFonts w:ascii="Arial" w:cs="Arial" w:eastAsia="Arial" w:hAnsi="Arial"/>
          <w:sz w:val="19"/>
          <w:szCs w:val="19"/>
          <w:u w:val="single" w:color="auto"/>
          <w:color w:val="auto"/>
        </w:rPr>
        <w:t>Section 2.8(h)</w:t>
      </w:r>
      <w:r>
        <w:rPr>
          <w:rFonts w:ascii="Arial" w:cs="Arial" w:eastAsia="Arial" w:hAnsi="Arial"/>
          <w:sz w:val="19"/>
          <w:szCs w:val="19"/>
          <w:color w:val="auto"/>
        </w:rPr>
        <w:t>).</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060" w:type="dxa"/>
            <w:vAlign w:val="bottom"/>
          </w:tcPr>
          <w:p>
            <w:pPr>
              <w:ind w:left="620"/>
              <w:spacing w:after="0"/>
              <w:rPr>
                <w:sz w:val="20"/>
                <w:szCs w:val="20"/>
                <w:color w:val="auto"/>
              </w:rPr>
            </w:pPr>
            <w:r>
              <w:rPr>
                <w:rFonts w:ascii="Arial" w:cs="Arial" w:eastAsia="Arial" w:hAnsi="Arial"/>
                <w:sz w:val="21"/>
                <w:szCs w:val="21"/>
                <w:color w:val="auto"/>
              </w:rPr>
              <w:t>(e)</w:t>
            </w:r>
          </w:p>
        </w:tc>
        <w:tc>
          <w:tcPr>
            <w:tcW w:w="10180" w:type="dxa"/>
            <w:vAlign w:val="bottom"/>
            <w:gridSpan w:val="5"/>
          </w:tcPr>
          <w:p>
            <w:pPr>
              <w:ind w:left="180"/>
              <w:spacing w:after="0"/>
              <w:rPr>
                <w:sz w:val="20"/>
                <w:szCs w:val="20"/>
                <w:color w:val="auto"/>
              </w:rPr>
            </w:pPr>
            <w:r>
              <w:rPr>
                <w:rFonts w:ascii="Arial" w:cs="Arial" w:eastAsia="Arial" w:hAnsi="Arial"/>
                <w:sz w:val="21"/>
                <w:szCs w:val="21"/>
                <w:color w:val="auto"/>
                <w:w w:val="94"/>
              </w:rPr>
              <w:t>The Agreement is hereby amended by deleting the last four rows in the table in Exhibit C-1 (Termination Fee) and</w:t>
            </w:r>
          </w:p>
        </w:tc>
      </w:tr>
      <w:tr>
        <w:trPr>
          <w:trHeight w:val="264"/>
        </w:trPr>
        <w:tc>
          <w:tcPr>
            <w:tcW w:w="3580" w:type="dxa"/>
            <w:vAlign w:val="bottom"/>
            <w:gridSpan w:val="3"/>
          </w:tcPr>
          <w:p>
            <w:pPr>
              <w:spacing w:after="0"/>
              <w:rPr>
                <w:sz w:val="20"/>
                <w:szCs w:val="20"/>
                <w:color w:val="auto"/>
              </w:rPr>
            </w:pPr>
            <w:r>
              <w:rPr>
                <w:rFonts w:ascii="Arial" w:cs="Arial" w:eastAsia="Arial" w:hAnsi="Arial"/>
                <w:sz w:val="21"/>
                <w:szCs w:val="21"/>
                <w:color w:val="auto"/>
              </w:rPr>
              <w:t>replacing with the following:</w:t>
            </w:r>
          </w:p>
        </w:tc>
        <w:tc>
          <w:tcPr>
            <w:tcW w:w="12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5200" w:type="dxa"/>
            <w:vAlign w:val="bottom"/>
          </w:tcPr>
          <w:p>
            <w:pPr>
              <w:spacing w:after="0"/>
              <w:rPr>
                <w:sz w:val="22"/>
                <w:szCs w:val="22"/>
                <w:color w:val="auto"/>
              </w:rPr>
            </w:pPr>
          </w:p>
        </w:tc>
      </w:tr>
      <w:tr>
        <w:trPr>
          <w:trHeight w:val="455"/>
        </w:trPr>
        <w:tc>
          <w:tcPr>
            <w:tcW w:w="10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5200" w:type="dxa"/>
            <w:vAlign w:val="bottom"/>
          </w:tcPr>
          <w:p>
            <w:pPr>
              <w:spacing w:after="0"/>
              <w:rPr>
                <w:sz w:val="24"/>
                <w:szCs w:val="24"/>
                <w:color w:val="auto"/>
              </w:rPr>
            </w:pPr>
          </w:p>
        </w:tc>
      </w:tr>
      <w:tr>
        <w:trPr>
          <w:trHeight w:val="251"/>
        </w:trPr>
        <w:tc>
          <w:tcPr>
            <w:tcW w:w="1060" w:type="dxa"/>
            <w:vAlign w:val="bottom"/>
          </w:tcPr>
          <w:p>
            <w:pPr>
              <w:spacing w:after="0"/>
              <w:rPr>
                <w:sz w:val="21"/>
                <w:szCs w:val="21"/>
                <w:color w:val="auto"/>
              </w:rPr>
            </w:pPr>
          </w:p>
        </w:tc>
        <w:tc>
          <w:tcPr>
            <w:tcW w:w="1340" w:type="dxa"/>
            <w:vAlign w:val="bottom"/>
            <w:tcBorders>
              <w:right w:val="single" w:sz="8" w:color="auto"/>
            </w:tcBorders>
          </w:tcPr>
          <w:p>
            <w:pPr>
              <w:spacing w:after="0"/>
              <w:rPr>
                <w:sz w:val="21"/>
                <w:szCs w:val="21"/>
                <w:color w:val="auto"/>
              </w:rPr>
            </w:pP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1"/>
                <w:szCs w:val="21"/>
                <w:b w:val="1"/>
                <w:bCs w:val="1"/>
                <w:color w:val="auto"/>
              </w:rPr>
              <w:t>Period</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1"/>
                <w:szCs w:val="21"/>
                <w:b w:val="1"/>
                <w:bCs w:val="1"/>
                <w:color w:val="auto"/>
              </w:rPr>
              <w:t>Primary</w:t>
            </w:r>
          </w:p>
        </w:tc>
        <w:tc>
          <w:tcPr>
            <w:tcW w:w="1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1"/>
                <w:szCs w:val="21"/>
                <w:b w:val="1"/>
                <w:bCs w:val="1"/>
                <w:color w:val="auto"/>
              </w:rPr>
              <w:t>Master</w:t>
            </w:r>
          </w:p>
        </w:tc>
        <w:tc>
          <w:tcPr>
            <w:tcW w:w="5200" w:type="dxa"/>
            <w:vAlign w:val="bottom"/>
          </w:tcPr>
          <w:p>
            <w:pPr>
              <w:spacing w:after="0"/>
              <w:rPr>
                <w:sz w:val="21"/>
                <w:szCs w:val="21"/>
                <w:color w:val="auto"/>
              </w:rPr>
            </w:pPr>
          </w:p>
        </w:tc>
      </w:tr>
      <w:tr>
        <w:trPr>
          <w:trHeight w:val="191"/>
        </w:trPr>
        <w:tc>
          <w:tcPr>
            <w:tcW w:w="1060" w:type="dxa"/>
            <w:vAlign w:val="bottom"/>
          </w:tcPr>
          <w:p>
            <w:pPr>
              <w:spacing w:after="0"/>
              <w:rPr>
                <w:sz w:val="16"/>
                <w:szCs w:val="16"/>
                <w:color w:val="auto"/>
              </w:rPr>
            </w:pPr>
          </w:p>
        </w:tc>
        <w:tc>
          <w:tcPr>
            <w:tcW w:w="1340" w:type="dxa"/>
            <w:vAlign w:val="bottom"/>
            <w:tcBorders>
              <w:right w:val="single" w:sz="8" w:color="auto"/>
            </w:tcBorders>
          </w:tcPr>
          <w:p>
            <w:pPr>
              <w:spacing w:after="0"/>
              <w:rPr>
                <w:sz w:val="16"/>
                <w:szCs w:val="16"/>
                <w:color w:val="auto"/>
              </w:rPr>
            </w:pPr>
          </w:p>
        </w:tc>
        <w:tc>
          <w:tcPr>
            <w:tcW w:w="1180" w:type="dxa"/>
            <w:vAlign w:val="bottom"/>
            <w:tcBorders>
              <w:right w:val="single" w:sz="8" w:color="auto"/>
            </w:tcBorders>
          </w:tcPr>
          <w:p>
            <w:pPr>
              <w:ind w:left="20"/>
              <w:spacing w:after="0" w:line="192" w:lineRule="exact"/>
              <w:rPr>
                <w:sz w:val="20"/>
                <w:szCs w:val="20"/>
                <w:color w:val="auto"/>
              </w:rPr>
            </w:pPr>
            <w:r>
              <w:rPr>
                <w:rFonts w:ascii="Arial" w:cs="Arial" w:eastAsia="Arial" w:hAnsi="Arial"/>
                <w:sz w:val="21"/>
                <w:szCs w:val="21"/>
                <w:color w:val="auto"/>
              </w:rPr>
              <w:t>May-22 &amp;</w:t>
            </w:r>
          </w:p>
        </w:tc>
        <w:tc>
          <w:tcPr>
            <w:tcW w:w="1260" w:type="dxa"/>
            <w:vAlign w:val="bottom"/>
            <w:tcBorders>
              <w:right w:val="single" w:sz="8" w:color="auto"/>
            </w:tcBorders>
          </w:tcPr>
          <w:p>
            <w:pPr>
              <w:ind w:left="20"/>
              <w:spacing w:after="0" w:line="192" w:lineRule="exact"/>
              <w:rPr>
                <w:sz w:val="20"/>
                <w:szCs w:val="20"/>
                <w:color w:val="auto"/>
              </w:rPr>
            </w:pPr>
            <w:r>
              <w:rPr>
                <w:rFonts w:ascii="Arial" w:cs="Arial" w:eastAsia="Arial" w:hAnsi="Arial"/>
                <w:sz w:val="21"/>
                <w:szCs w:val="21"/>
                <w:color w:val="auto"/>
              </w:rPr>
              <w:t>0</w:t>
            </w:r>
          </w:p>
        </w:tc>
        <w:tc>
          <w:tcPr>
            <w:tcW w:w="1200" w:type="dxa"/>
            <w:vAlign w:val="bottom"/>
            <w:tcBorders>
              <w:right w:val="single" w:sz="8" w:color="auto"/>
            </w:tcBorders>
          </w:tcPr>
          <w:p>
            <w:pPr>
              <w:ind w:left="20"/>
              <w:spacing w:after="0" w:line="192" w:lineRule="exact"/>
              <w:rPr>
                <w:sz w:val="20"/>
                <w:szCs w:val="20"/>
                <w:color w:val="auto"/>
              </w:rPr>
            </w:pPr>
            <w:r>
              <w:rPr>
                <w:rFonts w:ascii="Arial" w:cs="Arial" w:eastAsia="Arial" w:hAnsi="Arial"/>
                <w:sz w:val="21"/>
                <w:szCs w:val="21"/>
                <w:color w:val="auto"/>
              </w:rPr>
              <w:t>0</w:t>
            </w:r>
          </w:p>
        </w:tc>
        <w:tc>
          <w:tcPr>
            <w:tcW w:w="5200" w:type="dxa"/>
            <w:vAlign w:val="bottom"/>
          </w:tcPr>
          <w:p>
            <w:pPr>
              <w:spacing w:after="0"/>
              <w:rPr>
                <w:sz w:val="16"/>
                <w:szCs w:val="16"/>
                <w:color w:val="auto"/>
              </w:rPr>
            </w:pPr>
          </w:p>
        </w:tc>
      </w:tr>
      <w:tr>
        <w:trPr>
          <w:trHeight w:val="266"/>
        </w:trPr>
        <w:tc>
          <w:tcPr>
            <w:tcW w:w="1060" w:type="dxa"/>
            <w:vAlign w:val="bottom"/>
          </w:tcPr>
          <w:p>
            <w:pPr>
              <w:spacing w:after="0"/>
              <w:rPr>
                <w:sz w:val="23"/>
                <w:szCs w:val="23"/>
                <w:color w:val="auto"/>
              </w:rPr>
            </w:pPr>
          </w:p>
        </w:tc>
        <w:tc>
          <w:tcPr>
            <w:tcW w:w="1340" w:type="dxa"/>
            <w:vAlign w:val="bottom"/>
            <w:tcBorders>
              <w:right w:val="single" w:sz="8" w:color="auto"/>
            </w:tcBorders>
          </w:tcPr>
          <w:p>
            <w:pPr>
              <w:spacing w:after="0"/>
              <w:rPr>
                <w:sz w:val="23"/>
                <w:szCs w:val="23"/>
                <w:color w:val="auto"/>
              </w:rPr>
            </w:pP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1"/>
                <w:szCs w:val="21"/>
                <w:color w:val="auto"/>
              </w:rPr>
              <w:t>After</w:t>
            </w:r>
          </w:p>
        </w:tc>
        <w:tc>
          <w:tcPr>
            <w:tcW w:w="1260" w:type="dxa"/>
            <w:vAlign w:val="bottom"/>
            <w:tcBorders>
              <w:bottom w:val="single" w:sz="8" w:color="auto"/>
              <w:right w:val="single" w:sz="8" w:color="auto"/>
            </w:tcBorders>
          </w:tcPr>
          <w:p>
            <w:pPr>
              <w:spacing w:after="0"/>
              <w:rPr>
                <w:sz w:val="23"/>
                <w:szCs w:val="23"/>
                <w:color w:val="auto"/>
              </w:rPr>
            </w:pPr>
          </w:p>
        </w:tc>
        <w:tc>
          <w:tcPr>
            <w:tcW w:w="1200" w:type="dxa"/>
            <w:vAlign w:val="bottom"/>
            <w:tcBorders>
              <w:bottom w:val="single" w:sz="8" w:color="auto"/>
              <w:right w:val="single" w:sz="8" w:color="auto"/>
            </w:tcBorders>
          </w:tcPr>
          <w:p>
            <w:pPr>
              <w:spacing w:after="0"/>
              <w:rPr>
                <w:sz w:val="23"/>
                <w:szCs w:val="23"/>
                <w:color w:val="auto"/>
              </w:rPr>
            </w:pPr>
          </w:p>
        </w:tc>
        <w:tc>
          <w:tcPr>
            <w:tcW w:w="5200" w:type="dxa"/>
            <w:vAlign w:val="bottom"/>
          </w:tcPr>
          <w:p>
            <w:pPr>
              <w:spacing w:after="0"/>
              <w:rPr>
                <w:sz w:val="23"/>
                <w:szCs w:val="23"/>
                <w:color w:val="auto"/>
              </w:rPr>
            </w:pPr>
          </w:p>
        </w:tc>
      </w:tr>
    </w:tbl>
    <w:p>
      <w:pPr>
        <w:spacing w:after="0" w:line="276" w:lineRule="exact"/>
        <w:rPr>
          <w:sz w:val="20"/>
          <w:szCs w:val="20"/>
          <w:color w:val="auto"/>
        </w:rPr>
      </w:pPr>
    </w:p>
    <w:p>
      <w:pPr>
        <w:jc w:val="both"/>
        <w:ind w:firstLine="620"/>
        <w:spacing w:after="0" w:line="253" w:lineRule="auto"/>
        <w:rPr>
          <w:sz w:val="20"/>
          <w:szCs w:val="20"/>
          <w:color w:val="auto"/>
        </w:rPr>
      </w:pPr>
      <w:r>
        <w:rPr>
          <w:rFonts w:ascii="Arial" w:cs="Arial" w:eastAsia="Arial" w:hAnsi="Arial"/>
          <w:sz w:val="21"/>
          <w:szCs w:val="21"/>
          <w:color w:val="auto"/>
        </w:rPr>
        <w:t>(f) The Agreement is hereby amended by deleting the last three rows in the table in Exhibit D (Exit Fee Percentage) and replacing such rows with the following:</w:t>
      </w:r>
    </w:p>
    <w:p>
      <w:pPr>
        <w:spacing w:after="0" w:line="200" w:lineRule="exact"/>
        <w:rPr>
          <w:sz w:val="20"/>
          <w:szCs w:val="20"/>
          <w:color w:val="auto"/>
        </w:rPr>
      </w:pPr>
    </w:p>
    <w:p>
      <w:pPr>
        <w:spacing w:after="0" w:line="222" w:lineRule="exact"/>
        <w:rPr>
          <w:sz w:val="20"/>
          <w:szCs w:val="20"/>
          <w:color w:val="auto"/>
        </w:rPr>
      </w:pPr>
    </w:p>
    <w:tbl>
      <w:tblPr>
        <w:tblLayout w:type="fixed"/>
        <w:tblInd w:w="2570" w:type="dxa"/>
        <w:tblCellMar>
          <w:top w:w="0" w:type="dxa"/>
          <w:left w:w="0" w:type="dxa"/>
          <w:bottom w:w="0" w:type="dxa"/>
          <w:right w:w="0" w:type="dxa"/>
        </w:tblCellMar>
      </w:tblPr>
      <w:tr>
        <w:trPr>
          <w:trHeight w:val="207"/>
        </w:trPr>
        <w:tc>
          <w:tcPr>
            <w:tcW w:w="176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21"/>
                <w:szCs w:val="21"/>
                <w:b w:val="1"/>
                <w:bCs w:val="1"/>
                <w:color w:val="auto"/>
                <w:w w:val="88"/>
              </w:rPr>
              <w:t>Period</w:t>
            </w:r>
          </w:p>
        </w:tc>
        <w:tc>
          <w:tcPr>
            <w:tcW w:w="1700" w:type="dxa"/>
            <w:vAlign w:val="bottom"/>
            <w:tcBorders>
              <w:top w:val="single" w:sz="8" w:color="auto"/>
              <w:right w:val="single" w:sz="8" w:color="auto"/>
            </w:tcBorders>
          </w:tcPr>
          <w:p>
            <w:pPr>
              <w:jc w:val="center"/>
              <w:spacing w:after="0" w:line="207" w:lineRule="exact"/>
              <w:rPr>
                <w:sz w:val="20"/>
                <w:szCs w:val="20"/>
                <w:color w:val="auto"/>
              </w:rPr>
            </w:pPr>
            <w:r>
              <w:rPr>
                <w:rFonts w:ascii="Arial" w:cs="Arial" w:eastAsia="Arial" w:hAnsi="Arial"/>
                <w:sz w:val="21"/>
                <w:szCs w:val="21"/>
                <w:b w:val="1"/>
                <w:bCs w:val="1"/>
                <w:color w:val="auto"/>
                <w:w w:val="91"/>
              </w:rPr>
              <w:t>Exit Fee</w:t>
            </w:r>
          </w:p>
        </w:tc>
        <w:tc>
          <w:tcPr>
            <w:tcW w:w="0" w:type="dxa"/>
            <w:vAlign w:val="bottom"/>
          </w:tcPr>
          <w:p>
            <w:pPr>
              <w:spacing w:after="0"/>
              <w:rPr>
                <w:sz w:val="1"/>
                <w:szCs w:val="1"/>
                <w:color w:val="auto"/>
              </w:rPr>
            </w:pPr>
          </w:p>
        </w:tc>
      </w:tr>
      <w:tr>
        <w:trPr>
          <w:trHeight w:val="207"/>
        </w:trPr>
        <w:tc>
          <w:tcPr>
            <w:tcW w:w="1760" w:type="dxa"/>
            <w:vAlign w:val="bottom"/>
            <w:tcBorders>
              <w:left w:val="single" w:sz="8" w:color="auto"/>
              <w:right w:val="single" w:sz="8" w:color="auto"/>
            </w:tcBorders>
            <w:vMerge w:val="continue"/>
          </w:tcPr>
          <w:p>
            <w:pPr>
              <w:spacing w:after="0"/>
              <w:rPr>
                <w:sz w:val="17"/>
                <w:szCs w:val="17"/>
                <w:color w:val="auto"/>
              </w:rPr>
            </w:pPr>
          </w:p>
        </w:tc>
        <w:tc>
          <w:tcPr>
            <w:tcW w:w="1700" w:type="dxa"/>
            <w:vAlign w:val="bottom"/>
            <w:tcBorders>
              <w:right w:val="single" w:sz="8" w:color="auto"/>
            </w:tcBorders>
          </w:tcPr>
          <w:p>
            <w:pPr>
              <w:jc w:val="center"/>
              <w:spacing w:after="0" w:line="207" w:lineRule="exact"/>
              <w:rPr>
                <w:sz w:val="20"/>
                <w:szCs w:val="20"/>
                <w:color w:val="auto"/>
              </w:rPr>
            </w:pPr>
            <w:r>
              <w:rPr>
                <w:rFonts w:ascii="Arial" w:cs="Arial" w:eastAsia="Arial" w:hAnsi="Arial"/>
                <w:sz w:val="21"/>
                <w:szCs w:val="21"/>
                <w:b w:val="1"/>
                <w:bCs w:val="1"/>
                <w:color w:val="auto"/>
                <w:w w:val="85"/>
              </w:rPr>
              <w:t>Percentage (basis</w:t>
            </w:r>
          </w:p>
        </w:tc>
        <w:tc>
          <w:tcPr>
            <w:tcW w:w="0" w:type="dxa"/>
            <w:vAlign w:val="bottom"/>
          </w:tcPr>
          <w:p>
            <w:pPr>
              <w:spacing w:after="0"/>
              <w:rPr>
                <w:sz w:val="1"/>
                <w:szCs w:val="1"/>
                <w:color w:val="auto"/>
              </w:rPr>
            </w:pPr>
          </w:p>
        </w:tc>
      </w:tr>
      <w:tr>
        <w:trPr>
          <w:trHeight w:val="271"/>
        </w:trPr>
        <w:tc>
          <w:tcPr>
            <w:tcW w:w="1760" w:type="dxa"/>
            <w:vAlign w:val="bottom"/>
            <w:tcBorders>
              <w:left w:val="single" w:sz="8" w:color="auto"/>
              <w:bottom w:val="single" w:sz="8" w:color="auto"/>
              <w:right w:val="single" w:sz="8" w:color="auto"/>
            </w:tcBorders>
          </w:tcPr>
          <w:p>
            <w:pPr>
              <w:spacing w:after="0"/>
              <w:rPr>
                <w:sz w:val="23"/>
                <w:szCs w:val="23"/>
                <w:color w:val="auto"/>
              </w:rPr>
            </w:pP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1"/>
                <w:szCs w:val="21"/>
                <w:b w:val="1"/>
                <w:bCs w:val="1"/>
                <w:color w:val="auto"/>
                <w:w w:val="85"/>
              </w:rPr>
              <w:t>points)</w:t>
            </w:r>
          </w:p>
        </w:tc>
        <w:tc>
          <w:tcPr>
            <w:tcW w:w="0" w:type="dxa"/>
            <w:vAlign w:val="bottom"/>
          </w:tcPr>
          <w:p>
            <w:pPr>
              <w:spacing w:after="0"/>
              <w:rPr>
                <w:sz w:val="1"/>
                <w:szCs w:val="1"/>
                <w:color w:val="auto"/>
              </w:rPr>
            </w:pPr>
          </w:p>
        </w:tc>
      </w:tr>
      <w:tr>
        <w:trPr>
          <w:trHeight w:val="252"/>
        </w:trPr>
        <w:tc>
          <w:tcPr>
            <w:tcW w:w="17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1"/>
                <w:szCs w:val="21"/>
                <w:color w:val="auto"/>
                <w:w w:val="96"/>
              </w:rPr>
              <w:t>May–22 &amp; After</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1"/>
                <w:szCs w:val="21"/>
                <w:color w:val="auto"/>
                <w:w w:val="87"/>
              </w:rPr>
              <w:t>0.00</w:t>
            </w:r>
          </w:p>
        </w:tc>
        <w:tc>
          <w:tcPr>
            <w:tcW w:w="0" w:type="dxa"/>
            <w:vAlign w:val="bottom"/>
          </w:tcPr>
          <w:p>
            <w:pPr>
              <w:spacing w:after="0"/>
              <w:rPr>
                <w:sz w:val="1"/>
                <w:szCs w:val="1"/>
                <w:color w:val="auto"/>
              </w:rPr>
            </w:pPr>
          </w:p>
        </w:tc>
      </w:tr>
    </w:tbl>
    <w:p>
      <w:pPr>
        <w:spacing w:after="0" w:line="276" w:lineRule="exact"/>
        <w:rPr>
          <w:sz w:val="20"/>
          <w:szCs w:val="20"/>
          <w:color w:val="auto"/>
        </w:rPr>
      </w:pPr>
    </w:p>
    <w:p>
      <w:pPr>
        <w:ind w:left="1060" w:hanging="436"/>
        <w:spacing w:after="0"/>
        <w:tabs>
          <w:tab w:leader="none" w:pos="1060" w:val="left"/>
        </w:tabs>
        <w:numPr>
          <w:ilvl w:val="0"/>
          <w:numId w:val="86"/>
        </w:numPr>
        <w:rPr>
          <w:rFonts w:ascii="Arial" w:cs="Arial" w:eastAsia="Arial" w:hAnsi="Arial"/>
          <w:sz w:val="21"/>
          <w:szCs w:val="21"/>
          <w:color w:val="auto"/>
        </w:rPr>
      </w:pPr>
      <w:r>
        <w:rPr>
          <w:rFonts w:ascii="Arial" w:cs="Arial" w:eastAsia="Arial" w:hAnsi="Arial"/>
          <w:sz w:val="21"/>
          <w:szCs w:val="21"/>
          <w:color w:val="auto"/>
        </w:rPr>
        <w:t>The Agreement is hereby amended by deleting Section 5.1(a) and replacing it in its entirety with the following:</w:t>
      </w:r>
    </w:p>
    <w:p>
      <w:pPr>
        <w:spacing w:after="0" w:line="200" w:lineRule="exact"/>
        <w:rPr>
          <w:rFonts w:ascii="Arial" w:cs="Arial" w:eastAsia="Arial" w:hAnsi="Arial"/>
          <w:sz w:val="21"/>
          <w:szCs w:val="21"/>
          <w:color w:val="auto"/>
        </w:rPr>
      </w:pPr>
    </w:p>
    <w:p>
      <w:pPr>
        <w:spacing w:after="0" w:line="230" w:lineRule="exact"/>
        <w:rPr>
          <w:rFonts w:ascii="Arial" w:cs="Arial" w:eastAsia="Arial" w:hAnsi="Arial"/>
          <w:sz w:val="21"/>
          <w:szCs w:val="21"/>
          <w:color w:val="auto"/>
        </w:rPr>
      </w:pPr>
    </w:p>
    <w:p>
      <w:pPr>
        <w:jc w:val="both"/>
        <w:ind w:left="620" w:firstLine="624"/>
        <w:spacing w:after="0" w:line="220" w:lineRule="auto"/>
        <w:tabs>
          <w:tab w:leader="none" w:pos="1824" w:val="left"/>
        </w:tabs>
        <w:numPr>
          <w:ilvl w:val="1"/>
          <w:numId w:val="86"/>
        </w:numPr>
        <w:rPr>
          <w:rFonts w:ascii="Arial" w:cs="Arial" w:eastAsia="Arial" w:hAnsi="Arial"/>
          <w:sz w:val="20"/>
          <w:szCs w:val="20"/>
          <w:color w:val="auto"/>
        </w:rPr>
      </w:pPr>
      <w:r>
        <w:rPr>
          <w:rFonts w:ascii="Arial" w:cs="Arial" w:eastAsia="Arial" w:hAnsi="Arial"/>
          <w:sz w:val="20"/>
          <w:szCs w:val="20"/>
          <w:color w:val="auto"/>
        </w:rPr>
        <w:t>The initial term of this Agreement shall be from the Effective Date to and including May 1, 2022 (the “</w:t>
      </w:r>
      <w:r>
        <w:rPr>
          <w:rFonts w:ascii="Arial" w:cs="Arial" w:eastAsia="Arial" w:hAnsi="Arial"/>
          <w:sz w:val="20"/>
          <w:szCs w:val="20"/>
          <w:u w:val="single" w:color="auto"/>
          <w:color w:val="auto"/>
        </w:rPr>
        <w:t>Initial</w:t>
      </w:r>
      <w:r>
        <w:rPr>
          <w:rFonts w:ascii="Arial" w:cs="Arial" w:eastAsia="Arial" w:hAnsi="Arial"/>
          <w:sz w:val="20"/>
          <w:szCs w:val="20"/>
          <w:color w:val="auto"/>
        </w:rPr>
        <w:t xml:space="preserve"> </w:t>
      </w:r>
      <w:r>
        <w:rPr>
          <w:rFonts w:ascii="Arial" w:cs="Arial" w:eastAsia="Arial" w:hAnsi="Arial"/>
          <w:sz w:val="20"/>
          <w:szCs w:val="20"/>
          <w:u w:val="single" w:color="auto"/>
          <w:color w:val="auto"/>
        </w:rPr>
        <w:t>Term</w:t>
      </w:r>
      <w:r>
        <w:rPr>
          <w:rFonts w:ascii="Arial" w:cs="Arial" w:eastAsia="Arial" w:hAnsi="Arial"/>
          <w:sz w:val="20"/>
          <w:szCs w:val="20"/>
          <w:color w:val="auto"/>
        </w:rPr>
        <w:t xml:space="preserve">”). The term of this Agreement shall be extended from and including the Third Amendment Effective Date to and including December 31, 2023 (the “Second Term”). Except as otherwise set forth in this </w:t>
      </w:r>
      <w:r>
        <w:rPr>
          <w:rFonts w:ascii="Arial" w:cs="Arial" w:eastAsia="Arial" w:hAnsi="Arial"/>
          <w:sz w:val="20"/>
          <w:szCs w:val="20"/>
          <w:u w:val="single" w:color="auto"/>
          <w:color w:val="auto"/>
        </w:rPr>
        <w:t>Section 5.1</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Section 5.6</w:t>
      </w:r>
      <w:r>
        <w:rPr>
          <w:rFonts w:ascii="Arial" w:cs="Arial" w:eastAsia="Arial" w:hAnsi="Arial"/>
          <w:sz w:val="20"/>
          <w:szCs w:val="20"/>
          <w:color w:val="auto"/>
        </w:rPr>
        <w:t xml:space="preserve">, the Subservicer shall not be permitted to terminate this Agreement prior to the expiration of the Second Term. If this Agreement has not otherwise been terminated pursuant to this </w:t>
      </w:r>
      <w:r>
        <w:rPr>
          <w:rFonts w:ascii="Arial" w:cs="Arial" w:eastAsia="Arial" w:hAnsi="Arial"/>
          <w:sz w:val="20"/>
          <w:szCs w:val="20"/>
          <w:u w:val="single" w:color="auto"/>
          <w:color w:val="auto"/>
        </w:rPr>
        <w:t>Article V</w:t>
      </w:r>
      <w:r>
        <w:rPr>
          <w:rFonts w:ascii="Arial" w:cs="Arial" w:eastAsia="Arial" w:hAnsi="Arial"/>
          <w:sz w:val="20"/>
          <w:szCs w:val="20"/>
          <w:color w:val="auto"/>
        </w:rPr>
        <w:t>, then the term of this Agreement shall automatically renew for successive one (1) year terms after the expiration of the Second Term, from and including January 1 immediately following the last day of the applicable prior term to and including December 31 of such year. The Subservicer shall not resign from the obligations and duties under any Servicing Agreement, except upon determination that its duties hereunder are no longer permissible under applicable law and such incapacity cannot be cured by Subservicer or the Owner/Servicer. If Subservicer resigns, such resignation shall be treated as a termination for cause by Owner/Servicer under this Agreement. Any such determination that Subservicer’s duties hereunder are no longer permissible under applicable law shall be evidenced by an opinion of counsel written by a law firm reasonably acceptable to Owner/Servicer to such effect in form and substance reasonably acceptable to Owner/Servicer.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w:t>
      </w:r>
    </w:p>
    <w:p>
      <w:pPr>
        <w:spacing w:after="0"/>
        <w:rPr>
          <w:sz w:val="20"/>
          <w:szCs w:val="20"/>
          <w:color w:val="auto"/>
        </w:rPr>
      </w:pPr>
      <w:r>
        <w:rPr>
          <w:rFonts w:ascii="Arial" w:cs="Arial" w:eastAsia="Arial" w:hAnsi="Arial"/>
          <w:sz w:val="16"/>
          <w:szCs w:val="16"/>
          <w:color w:val="auto"/>
        </w:rPr>
        <w:t>NRM – PHH Amend 3 to SSA FINAL (5-2-2022)(4)</w:t>
      </w:r>
    </w:p>
    <w:p>
      <w:pPr>
        <w:sectPr>
          <w:pgSz w:w="11900" w:h="16838" w:orient="portrait"/>
          <w:cols w:equalWidth="0" w:num="1">
            <w:col w:w="11240"/>
          </w:cols>
          <w:pgMar w:left="320" w:top="1346" w:right="339" w:bottom="1440" w:gutter="0" w:footer="0" w:header="0"/>
        </w:sectPr>
      </w:pPr>
    </w:p>
    <w:bookmarkStart w:id="115" w:name="page116"/>
    <w:bookmarkEnd w:id="115"/>
    <w:p>
      <w:pPr>
        <w:spacing w:after="0" w:line="126" w:lineRule="exact"/>
        <w:rPr>
          <w:sz w:val="20"/>
          <w:szCs w:val="20"/>
          <w:color w:val="auto"/>
        </w:rPr>
      </w:pPr>
    </w:p>
    <w:p>
      <w:pPr>
        <w:ind w:firstLine="624"/>
        <w:spacing w:after="0" w:line="253" w:lineRule="auto"/>
        <w:tabs>
          <w:tab w:leader="none" w:pos="1088" w:val="left"/>
        </w:tabs>
        <w:numPr>
          <w:ilvl w:val="0"/>
          <w:numId w:val="87"/>
        </w:numPr>
        <w:rPr>
          <w:rFonts w:ascii="Arial" w:cs="Arial" w:eastAsia="Arial" w:hAnsi="Arial"/>
          <w:sz w:val="21"/>
          <w:szCs w:val="21"/>
          <w:color w:val="auto"/>
        </w:rPr>
      </w:pPr>
      <w:r>
        <w:rPr>
          <w:rFonts w:ascii="Arial" w:cs="Arial" w:eastAsia="Arial" w:hAnsi="Arial"/>
          <w:sz w:val="21"/>
          <w:szCs w:val="21"/>
          <w:color w:val="auto"/>
        </w:rPr>
        <w:t xml:space="preserve">The Agreement is hereby amended by deleting </w:t>
      </w:r>
      <w:r>
        <w:rPr>
          <w:rFonts w:ascii="Arial" w:cs="Arial" w:eastAsia="Arial" w:hAnsi="Arial"/>
          <w:sz w:val="21"/>
          <w:szCs w:val="21"/>
          <w:u w:val="single" w:color="auto"/>
          <w:color w:val="auto"/>
        </w:rPr>
        <w:t>Section 5.1(b)</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Section 5.1(c)</w:t>
      </w:r>
      <w:r>
        <w:rPr>
          <w:rFonts w:ascii="Arial" w:cs="Arial" w:eastAsia="Arial" w:hAnsi="Arial"/>
          <w:sz w:val="21"/>
          <w:szCs w:val="21"/>
          <w:color w:val="auto"/>
        </w:rPr>
        <w:t xml:space="preserve"> and replacing them in their entirety with the following:</w:t>
      </w:r>
    </w:p>
    <w:p>
      <w:pPr>
        <w:spacing w:after="0" w:line="395" w:lineRule="exact"/>
        <w:rPr>
          <w:rFonts w:ascii="Arial" w:cs="Arial" w:eastAsia="Arial" w:hAnsi="Arial"/>
          <w:sz w:val="21"/>
          <w:szCs w:val="21"/>
          <w:color w:val="auto"/>
        </w:rPr>
      </w:pPr>
    </w:p>
    <w:p>
      <w:pPr>
        <w:ind w:left="1780" w:hanging="536"/>
        <w:spacing w:after="0"/>
        <w:tabs>
          <w:tab w:leader="none" w:pos="1780" w:val="left"/>
        </w:tabs>
        <w:numPr>
          <w:ilvl w:val="1"/>
          <w:numId w:val="87"/>
        </w:numPr>
        <w:rPr>
          <w:rFonts w:ascii="Arial" w:cs="Arial" w:eastAsia="Arial" w:hAnsi="Arial"/>
          <w:sz w:val="18"/>
          <w:szCs w:val="18"/>
          <w:color w:val="auto"/>
        </w:rPr>
      </w:pPr>
      <w:r>
        <w:rPr>
          <w:rFonts w:ascii="Arial" w:cs="Arial" w:eastAsia="Arial" w:hAnsi="Arial"/>
          <w:sz w:val="18"/>
          <w:szCs w:val="18"/>
          <w:color w:val="auto"/>
        </w:rPr>
        <w:t>Owner/Servicer may terminate this Agreement at the end of the Second Term or at the end of any subsequent one</w:t>
      </w:r>
    </w:p>
    <w:p>
      <w:pPr>
        <w:spacing w:after="0" w:line="17" w:lineRule="exact"/>
        <w:rPr>
          <w:rFonts w:ascii="Arial" w:cs="Arial" w:eastAsia="Arial" w:hAnsi="Arial"/>
          <w:sz w:val="18"/>
          <w:szCs w:val="18"/>
          <w:color w:val="auto"/>
        </w:rPr>
      </w:pPr>
    </w:p>
    <w:p>
      <w:pPr>
        <w:jc w:val="both"/>
        <w:ind w:left="620"/>
        <w:spacing w:after="0" w:line="202" w:lineRule="auto"/>
        <w:rPr>
          <w:rFonts w:ascii="Arial" w:cs="Arial" w:eastAsia="Arial" w:hAnsi="Arial"/>
          <w:sz w:val="18"/>
          <w:szCs w:val="18"/>
          <w:color w:val="auto"/>
        </w:rPr>
      </w:pPr>
      <w:r>
        <w:rPr>
          <w:rFonts w:ascii="Arial" w:cs="Arial" w:eastAsia="Arial" w:hAnsi="Arial"/>
          <w:sz w:val="21"/>
          <w:szCs w:val="21"/>
          <w:color w:val="auto"/>
        </w:rPr>
        <w:t>(1) year term, in whole but not in part, (unless otherwise expressly permitted pursuant to this Agreement) by delivering written notice of such termination to Subservicer by October 1</w:t>
      </w:r>
      <w:r>
        <w:rPr>
          <w:rFonts w:ascii="Arial" w:cs="Arial" w:eastAsia="Arial" w:hAnsi="Arial"/>
          <w:sz w:val="26"/>
          <w:szCs w:val="26"/>
          <w:color w:val="auto"/>
          <w:vertAlign w:val="superscript"/>
        </w:rPr>
        <w:t>st</w:t>
      </w:r>
      <w:r>
        <w:rPr>
          <w:rFonts w:ascii="Arial" w:cs="Arial" w:eastAsia="Arial" w:hAnsi="Arial"/>
          <w:sz w:val="21"/>
          <w:szCs w:val="21"/>
          <w:color w:val="auto"/>
        </w:rPr>
        <w:t xml:space="preserve"> (or if such day is not a Business Day, the first Business Day immediately following such day) of such applicable term.</w:t>
      </w:r>
    </w:p>
    <w:p>
      <w:pPr>
        <w:spacing w:after="0" w:line="150" w:lineRule="exact"/>
        <w:rPr>
          <w:rFonts w:ascii="Arial" w:cs="Arial" w:eastAsia="Arial" w:hAnsi="Arial"/>
          <w:sz w:val="18"/>
          <w:szCs w:val="18"/>
          <w:color w:val="auto"/>
        </w:rPr>
      </w:pPr>
    </w:p>
    <w:p>
      <w:pPr>
        <w:ind w:left="1700" w:hanging="456"/>
        <w:spacing w:after="0"/>
        <w:tabs>
          <w:tab w:leader="none" w:pos="1700" w:val="left"/>
        </w:tabs>
        <w:numPr>
          <w:ilvl w:val="1"/>
          <w:numId w:val="87"/>
        </w:numPr>
        <w:rPr>
          <w:rFonts w:ascii="Arial" w:cs="Arial" w:eastAsia="Arial" w:hAnsi="Arial"/>
          <w:sz w:val="18"/>
          <w:szCs w:val="18"/>
          <w:color w:val="auto"/>
        </w:rPr>
      </w:pPr>
      <w:r>
        <w:rPr>
          <w:rFonts w:ascii="Arial" w:cs="Arial" w:eastAsia="Arial" w:hAnsi="Arial"/>
          <w:sz w:val="18"/>
          <w:szCs w:val="18"/>
          <w:color w:val="auto"/>
        </w:rPr>
        <w:t>The Subservicer may terminate this Agreement at the end of the Second Term or at the end of any subsequent one</w:t>
      </w:r>
    </w:p>
    <w:p>
      <w:pPr>
        <w:spacing w:after="0" w:line="17" w:lineRule="exact"/>
        <w:rPr>
          <w:rFonts w:ascii="Arial" w:cs="Arial" w:eastAsia="Arial" w:hAnsi="Arial"/>
          <w:sz w:val="18"/>
          <w:szCs w:val="18"/>
          <w:color w:val="auto"/>
        </w:rPr>
      </w:pPr>
    </w:p>
    <w:p>
      <w:pPr>
        <w:ind w:left="620"/>
        <w:spacing w:after="0" w:line="210" w:lineRule="auto"/>
        <w:rPr>
          <w:rFonts w:ascii="Arial" w:cs="Arial" w:eastAsia="Arial" w:hAnsi="Arial"/>
          <w:sz w:val="18"/>
          <w:szCs w:val="18"/>
          <w:color w:val="auto"/>
        </w:rPr>
      </w:pPr>
      <w:r>
        <w:rPr>
          <w:rFonts w:ascii="Arial" w:cs="Arial" w:eastAsia="Arial" w:hAnsi="Arial"/>
          <w:sz w:val="20"/>
          <w:szCs w:val="20"/>
          <w:b w:val="1"/>
          <w:bCs w:val="1"/>
          <w:color w:val="auto"/>
        </w:rPr>
        <w:t xml:space="preserve">(1) </w:t>
      </w:r>
      <w:r>
        <w:rPr>
          <w:rFonts w:ascii="Arial" w:cs="Arial" w:eastAsia="Arial" w:hAnsi="Arial"/>
          <w:sz w:val="20"/>
          <w:szCs w:val="20"/>
          <w:color w:val="auto"/>
        </w:rPr>
        <w:t>year term, in whole but not in part</w:t>
      </w:r>
      <w:r>
        <w:rPr>
          <w:rFonts w:ascii="Arial" w:cs="Arial" w:eastAsia="Arial" w:hAnsi="Arial"/>
          <w:sz w:val="20"/>
          <w:szCs w:val="20"/>
          <w:b w:val="1"/>
          <w:bCs w:val="1"/>
          <w:u w:val="single" w:color="auto"/>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by delivering written notice of such termination to Owner/Servicer by July 1</w:t>
      </w:r>
      <w:r>
        <w:rPr>
          <w:rFonts w:ascii="Arial" w:cs="Arial" w:eastAsia="Arial" w:hAnsi="Arial"/>
          <w:sz w:val="25"/>
          <w:szCs w:val="25"/>
          <w:color w:val="auto"/>
          <w:vertAlign w:val="superscript"/>
        </w:rPr>
        <w:t>st</w:t>
      </w:r>
      <w:r>
        <w:rPr>
          <w:rFonts w:ascii="Arial" w:cs="Arial" w:eastAsia="Arial" w:hAnsi="Arial"/>
          <w:sz w:val="20"/>
          <w:szCs w:val="20"/>
          <w:b w:val="1"/>
          <w:bCs w:val="1"/>
          <w:color w:val="auto"/>
        </w:rPr>
        <w:t xml:space="preserve"> </w:t>
      </w:r>
      <w:r>
        <w:rPr>
          <w:rFonts w:ascii="Arial" w:cs="Arial" w:eastAsia="Arial" w:hAnsi="Arial"/>
          <w:sz w:val="20"/>
          <w:szCs w:val="20"/>
          <w:color w:val="auto"/>
        </w:rPr>
        <w:t>(or if such</w:t>
      </w:r>
      <w:r>
        <w:rPr>
          <w:rFonts w:ascii="Arial" w:cs="Arial" w:eastAsia="Arial" w:hAnsi="Arial"/>
          <w:sz w:val="20"/>
          <w:szCs w:val="20"/>
          <w:b w:val="1"/>
          <w:bCs w:val="1"/>
          <w:color w:val="auto"/>
        </w:rPr>
        <w:t xml:space="preserve"> </w:t>
      </w:r>
      <w:r>
        <w:rPr>
          <w:rFonts w:ascii="Arial" w:cs="Arial" w:eastAsia="Arial" w:hAnsi="Arial"/>
          <w:sz w:val="20"/>
          <w:szCs w:val="20"/>
          <w:color w:val="auto"/>
        </w:rPr>
        <w:t>day is not a Business Day, the first Business Day immediately following such day) of such applicable term.</w:t>
      </w:r>
    </w:p>
    <w:p>
      <w:pPr>
        <w:spacing w:after="0" w:line="162" w:lineRule="exact"/>
        <w:rPr>
          <w:rFonts w:ascii="Arial" w:cs="Arial" w:eastAsia="Arial" w:hAnsi="Arial"/>
          <w:sz w:val="18"/>
          <w:szCs w:val="18"/>
          <w:color w:val="auto"/>
        </w:rPr>
      </w:pPr>
    </w:p>
    <w:p>
      <w:pPr>
        <w:ind w:left="1020" w:hanging="396"/>
        <w:spacing w:after="0"/>
        <w:tabs>
          <w:tab w:leader="none" w:pos="10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 xml:space="preserve">The Agreement is hereby amended by deleting </w:t>
      </w:r>
      <w:r>
        <w:rPr>
          <w:rFonts w:ascii="Arial" w:cs="Arial" w:eastAsia="Arial" w:hAnsi="Arial"/>
          <w:sz w:val="18"/>
          <w:szCs w:val="18"/>
          <w:u w:val="single" w:color="auto"/>
          <w:color w:val="auto"/>
        </w:rPr>
        <w:t>Section 5.4(a)(ii)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5.4(a)(iii)</w:t>
      </w:r>
      <w:r>
        <w:rPr>
          <w:rFonts w:ascii="Arial" w:cs="Arial" w:eastAsia="Arial" w:hAnsi="Arial"/>
          <w:sz w:val="18"/>
          <w:szCs w:val="18"/>
          <w:color w:val="auto"/>
        </w:rPr>
        <w:t xml:space="preserve"> and replacing them in their entirety with the</w:t>
      </w:r>
    </w:p>
    <w:p>
      <w:pPr>
        <w:spacing w:after="0" w:line="4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1"/>
          <w:szCs w:val="21"/>
          <w:color w:val="auto"/>
        </w:rPr>
        <w:t>following:</w:t>
      </w:r>
    </w:p>
    <w:p>
      <w:pPr>
        <w:spacing w:after="0" w:line="173" w:lineRule="exact"/>
        <w:rPr>
          <w:rFonts w:ascii="Arial" w:cs="Arial" w:eastAsia="Arial" w:hAnsi="Arial"/>
          <w:sz w:val="18"/>
          <w:szCs w:val="18"/>
          <w:color w:val="auto"/>
        </w:rPr>
      </w:pPr>
    </w:p>
    <w:p>
      <w:pPr>
        <w:ind w:left="1700" w:hanging="456"/>
        <w:spacing w:after="0"/>
        <w:tabs>
          <w:tab w:leader="none" w:pos="1700" w:val="left"/>
        </w:tabs>
        <w:numPr>
          <w:ilvl w:val="1"/>
          <w:numId w:val="88"/>
        </w:numPr>
        <w:rPr>
          <w:rFonts w:ascii="Arial" w:cs="Arial" w:eastAsia="Arial" w:hAnsi="Arial"/>
          <w:sz w:val="21"/>
          <w:szCs w:val="21"/>
          <w:color w:val="auto"/>
        </w:rPr>
      </w:pPr>
      <w:r>
        <w:rPr>
          <w:rFonts w:ascii="Arial" w:cs="Arial" w:eastAsia="Arial" w:hAnsi="Arial"/>
          <w:sz w:val="21"/>
          <w:szCs w:val="21"/>
          <w:color w:val="auto"/>
        </w:rPr>
        <w:t>[Reserved]</w:t>
      </w:r>
      <w:r>
        <w:rPr>
          <w:rFonts w:ascii="Arial" w:cs="Arial" w:eastAsia="Arial" w:hAnsi="Arial"/>
          <w:sz w:val="21"/>
          <w:szCs w:val="21"/>
          <w:b w:val="1"/>
          <w:bCs w:val="1"/>
          <w:color w:val="auto"/>
        </w:rPr>
        <w:t>;</w:t>
      </w:r>
      <w:r>
        <w:rPr>
          <w:rFonts w:ascii="Arial" w:cs="Arial" w:eastAsia="Arial" w:hAnsi="Arial"/>
          <w:sz w:val="21"/>
          <w:szCs w:val="21"/>
          <w:color w:val="auto"/>
        </w:rPr>
        <w:t xml:space="preserve"> or</w:t>
      </w:r>
    </w:p>
    <w:p>
      <w:pPr>
        <w:spacing w:after="0" w:line="204" w:lineRule="exact"/>
        <w:rPr>
          <w:sz w:val="20"/>
          <w:szCs w:val="20"/>
          <w:color w:val="auto"/>
        </w:rPr>
      </w:pPr>
    </w:p>
    <w:p>
      <w:pPr>
        <w:jc w:val="both"/>
        <w:ind w:left="620" w:firstLine="624"/>
        <w:spacing w:after="0" w:line="239" w:lineRule="auto"/>
        <w:tabs>
          <w:tab w:leader="none" w:pos="1818" w:val="left"/>
        </w:tabs>
        <w:numPr>
          <w:ilvl w:val="1"/>
          <w:numId w:val="89"/>
        </w:numPr>
        <w:rPr>
          <w:rFonts w:ascii="Arial" w:cs="Arial" w:eastAsia="Arial" w:hAnsi="Arial"/>
          <w:sz w:val="21"/>
          <w:szCs w:val="21"/>
          <w:color w:val="auto"/>
        </w:rPr>
      </w:pPr>
      <w:r>
        <w:rPr>
          <w:rFonts w:ascii="Arial" w:cs="Arial" w:eastAsia="Arial" w:hAnsi="Arial"/>
          <w:sz w:val="21"/>
          <w:szCs w:val="21"/>
          <w:color w:val="auto"/>
        </w:rPr>
        <w:t>terminates this Agreement pursuant to Section 5.1(b), (A) Owner/Servicer and Subservicer shall each pay 50% of the aggregate Servicing Transfer Costs incurred by both parties in connection with transferring the servicing to a successor servicer or subservicer, (B) neither party shall be responsible for paying any deboarding or boarding fees and (C) Subservicer shall not be entitled to any Termination Fee.</w:t>
      </w:r>
    </w:p>
    <w:p>
      <w:pPr>
        <w:spacing w:after="0" w:line="188" w:lineRule="exact"/>
        <w:rPr>
          <w:rFonts w:ascii="Arial" w:cs="Arial" w:eastAsia="Arial" w:hAnsi="Arial"/>
          <w:sz w:val="21"/>
          <w:szCs w:val="21"/>
          <w:color w:val="auto"/>
        </w:rPr>
      </w:pPr>
    </w:p>
    <w:p>
      <w:pPr>
        <w:ind w:left="1020" w:hanging="396"/>
        <w:spacing w:after="0"/>
        <w:tabs>
          <w:tab w:leader="none" w:pos="1020" w:val="left"/>
        </w:tabs>
        <w:numPr>
          <w:ilvl w:val="0"/>
          <w:numId w:val="90"/>
        </w:numPr>
        <w:rPr>
          <w:rFonts w:ascii="Arial" w:cs="Arial" w:eastAsia="Arial" w:hAnsi="Arial"/>
          <w:sz w:val="20"/>
          <w:szCs w:val="20"/>
          <w:color w:val="auto"/>
        </w:rPr>
      </w:pPr>
      <w:r>
        <w:rPr>
          <w:rFonts w:ascii="Arial" w:cs="Arial" w:eastAsia="Arial" w:hAnsi="Arial"/>
          <w:sz w:val="20"/>
          <w:szCs w:val="20"/>
          <w:color w:val="auto"/>
        </w:rPr>
        <w:t xml:space="preserve">The Agreement is hereby amended by deleting </w:t>
      </w:r>
      <w:r>
        <w:rPr>
          <w:rFonts w:ascii="Arial" w:cs="Arial" w:eastAsia="Arial" w:hAnsi="Arial"/>
          <w:sz w:val="20"/>
          <w:szCs w:val="20"/>
          <w:u w:val="single" w:color="auto"/>
          <w:color w:val="auto"/>
        </w:rPr>
        <w:t>Section 5.4(b)(iii)</w:t>
      </w:r>
      <w:r>
        <w:rPr>
          <w:rFonts w:ascii="Arial" w:cs="Arial" w:eastAsia="Arial" w:hAnsi="Arial"/>
          <w:sz w:val="20"/>
          <w:szCs w:val="20"/>
          <w:color w:val="auto"/>
        </w:rPr>
        <w:t xml:space="preserve"> and replacing it in its entirety with the following:</w:t>
      </w:r>
    </w:p>
    <w:p>
      <w:pPr>
        <w:spacing w:after="0" w:line="209" w:lineRule="exact"/>
        <w:rPr>
          <w:rFonts w:ascii="Arial" w:cs="Arial" w:eastAsia="Arial" w:hAnsi="Arial"/>
          <w:sz w:val="20"/>
          <w:szCs w:val="20"/>
          <w:color w:val="auto"/>
        </w:rPr>
      </w:pPr>
    </w:p>
    <w:p>
      <w:pPr>
        <w:jc w:val="both"/>
        <w:ind w:left="620" w:firstLine="624"/>
        <w:spacing w:after="0" w:line="239" w:lineRule="auto"/>
        <w:tabs>
          <w:tab w:leader="none" w:pos="1822" w:val="left"/>
        </w:tabs>
        <w:numPr>
          <w:ilvl w:val="1"/>
          <w:numId w:val="90"/>
        </w:numPr>
        <w:rPr>
          <w:rFonts w:ascii="Arial" w:cs="Arial" w:eastAsia="Arial" w:hAnsi="Arial"/>
          <w:sz w:val="21"/>
          <w:szCs w:val="21"/>
          <w:color w:val="auto"/>
        </w:rPr>
      </w:pPr>
      <w:r>
        <w:rPr>
          <w:rFonts w:ascii="Arial" w:cs="Arial" w:eastAsia="Arial" w:hAnsi="Arial"/>
          <w:sz w:val="21"/>
          <w:szCs w:val="21"/>
          <w:color w:val="auto"/>
        </w:rPr>
        <w:t>terminates this Agreement pursuant to Section 5.1(c), (A) Owner/Servicer and Subservicer shall each pay 50% of the aggregate Servicing Transfer Costs incurred by such parties in connection with transferring the servicing to a successor servicer or subservicer, (B) neither party shall be responsible for paying any deboarding or boarding fees, and (C) Subservicer shall not be entitled to any Termination Fee.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w:t>
      </w:r>
    </w:p>
    <w:p>
      <w:pPr>
        <w:spacing w:after="0"/>
        <w:rPr>
          <w:sz w:val="20"/>
          <w:szCs w:val="20"/>
          <w:color w:val="auto"/>
        </w:rPr>
      </w:pPr>
      <w:r>
        <w:rPr>
          <w:rFonts w:ascii="Arial" w:cs="Arial" w:eastAsia="Arial" w:hAnsi="Arial"/>
          <w:sz w:val="16"/>
          <w:szCs w:val="16"/>
          <w:color w:val="auto"/>
        </w:rPr>
        <w:t>NRM – PHH Amend 3 to SSA FINAL (5-2-2022)(4)</w:t>
      </w:r>
    </w:p>
    <w:p>
      <w:pPr>
        <w:sectPr>
          <w:pgSz w:w="11900" w:h="16838" w:orient="portrait"/>
          <w:cols w:equalWidth="0" w:num="1">
            <w:col w:w="11240"/>
          </w:cols>
          <w:pgMar w:left="320" w:top="1440" w:right="339" w:bottom="1440" w:gutter="0" w:footer="0" w:header="0"/>
        </w:sectPr>
      </w:pPr>
    </w:p>
    <w:bookmarkStart w:id="116" w:name="page117"/>
    <w:bookmarkEnd w:id="116"/>
    <w:p>
      <w:pPr>
        <w:spacing w:after="0" w:line="126" w:lineRule="exact"/>
        <w:rPr>
          <w:sz w:val="20"/>
          <w:szCs w:val="20"/>
          <w:color w:val="auto"/>
        </w:rPr>
      </w:pPr>
    </w:p>
    <w:p>
      <w:pPr>
        <w:ind w:left="1060" w:hanging="436"/>
        <w:spacing w:after="0"/>
        <w:tabs>
          <w:tab w:leader="none" w:pos="1060" w:val="left"/>
        </w:tabs>
        <w:numPr>
          <w:ilvl w:val="0"/>
          <w:numId w:val="91"/>
        </w:numPr>
        <w:rPr>
          <w:rFonts w:ascii="Arial" w:cs="Arial" w:eastAsia="Arial" w:hAnsi="Arial"/>
          <w:sz w:val="21"/>
          <w:szCs w:val="21"/>
          <w:color w:val="auto"/>
        </w:rPr>
      </w:pPr>
      <w:r>
        <w:rPr>
          <w:rFonts w:ascii="Arial" w:cs="Arial" w:eastAsia="Arial" w:hAnsi="Arial"/>
          <w:sz w:val="21"/>
          <w:szCs w:val="21"/>
          <w:color w:val="auto"/>
        </w:rPr>
        <w:t>The Agreement is hereby amended by deleting Section 5.4(d) and replacing it in its entirety with the following:</w:t>
      </w:r>
    </w:p>
    <w:p>
      <w:pPr>
        <w:spacing w:after="0" w:line="210" w:lineRule="exact"/>
        <w:rPr>
          <w:rFonts w:ascii="Arial" w:cs="Arial" w:eastAsia="Arial" w:hAnsi="Arial"/>
          <w:sz w:val="21"/>
          <w:szCs w:val="21"/>
          <w:color w:val="auto"/>
        </w:rPr>
      </w:pPr>
    </w:p>
    <w:p>
      <w:pPr>
        <w:jc w:val="both"/>
        <w:ind w:left="620" w:firstLine="624"/>
        <w:spacing w:after="0" w:line="229" w:lineRule="auto"/>
        <w:tabs>
          <w:tab w:leader="none" w:pos="1798" w:val="left"/>
        </w:tabs>
        <w:numPr>
          <w:ilvl w:val="1"/>
          <w:numId w:val="91"/>
        </w:numPr>
        <w:rPr>
          <w:rFonts w:ascii="Arial" w:cs="Arial" w:eastAsia="Arial" w:hAnsi="Arial"/>
          <w:sz w:val="19"/>
          <w:szCs w:val="19"/>
          <w:color w:val="auto"/>
        </w:rPr>
      </w:pPr>
      <w:r>
        <w:rPr>
          <w:rFonts w:ascii="Arial" w:cs="Arial" w:eastAsia="Arial" w:hAnsi="Arial"/>
          <w:sz w:val="19"/>
          <w:szCs w:val="19"/>
          <w:color w:val="auto"/>
        </w:rPr>
        <w:t>Notwithstanding any provision in this Agreement to the contrary, the termination of this Agreement shall not be effective until a successor servicer or subservicer has been appointed by the Owner/Servicer or an Investor, as applicable, and a servicing transfer of all the Mortgage Loans and REO Properties subserviced pursuant to this Agreement has been completed in accordance with Applicable Requirements, and the Subservicer shall not be relieved of its obligations under this Agreement until such time. If no successor servicer or subservicer shall have been so appointed and have taken steps toward becoming the successor within sixty (60) days after the giving of such notice or resignation, the Subservicer may petition any court of competent jurisdiction for the appointment of a successor servicer or subservicer. In addition, if (i) Owner/Servicer terminates for cause pursuant to Section 5.3 or terminates pursuant to Section 5.1(b) or Subservicer terminates for cause pursuant to Section 5.6 or resigns pursuant to Section 5.1(a), then, if the days elapsed between the Effective Date of Termination and the Successor Transfer Date, (A) exceed 270 days but are less than 365 days, the Subservicer Economics shall be increased to the applicable Step-up Fee for such period and (B) equal or exceed 365 days, the Subservicer Economics shall be increased to the applicable Step-up Fee for such period or (ii) Subservicer terminates this Agreement pursuant to Section 5.1(c), then, if the days elapsed between the Effective Date of Termination and the Successor Transfer Date, (A) exceed 180 days but are less than 365 days, the Subservicer Economics shall be to the applicable Step-up Fee for such period and (B) equal or exceed 365 days, the Subservicer Economics shall be increased to the applicable Step-up Fee for such period; provided that no Step-up Fee shall be payable if the delay in transferring servicing is due to any matter(s) outside of the control of the Owner/Servicer or the successor servicer or subservicer selected by Owner/Servicer. The Owner/Servicer and the Subservicer shall discharge such duties and responsibilities during the period from the date each acquires knowledge of such termination until the effective date thereof with the same degree of diligence and prudence that it is obligated to exercise under this Agreement. In addition, (i) Subservicer and Owner/Servicer shall cooperate in good faith from the date of notice of any such termination to comply with the Transfer Procedures set forth in Exhibit P-1 and Exhibit P-2 hereto and transfer servicing in accordance with industry standard transfer procedures and (ii) Owner/Servicer shall use commercially reasonable efforts to require any successor servicer or subservicer to comply with the Transfer Procedures set forth in Exhibit P-1 and Exhibit P-2 hereto and transfer servicing in accordance with industry standard transfer procedures.</w:t>
      </w:r>
    </w:p>
    <w:p>
      <w:pPr>
        <w:spacing w:after="0" w:line="190" w:lineRule="exact"/>
        <w:rPr>
          <w:rFonts w:ascii="Arial" w:cs="Arial" w:eastAsia="Arial" w:hAnsi="Arial"/>
          <w:sz w:val="19"/>
          <w:szCs w:val="19"/>
          <w:color w:val="auto"/>
        </w:rPr>
      </w:pPr>
    </w:p>
    <w:p>
      <w:pPr>
        <w:ind w:firstLine="624"/>
        <w:spacing w:after="0" w:line="253" w:lineRule="auto"/>
        <w:tabs>
          <w:tab w:leader="none" w:pos="1020" w:val="left"/>
        </w:tabs>
        <w:numPr>
          <w:ilvl w:val="0"/>
          <w:numId w:val="91"/>
        </w:numPr>
        <w:rPr>
          <w:rFonts w:ascii="Arial" w:cs="Arial" w:eastAsia="Arial" w:hAnsi="Arial"/>
          <w:sz w:val="21"/>
          <w:szCs w:val="21"/>
          <w:color w:val="auto"/>
        </w:rPr>
      </w:pPr>
      <w:r>
        <w:rPr>
          <w:rFonts w:ascii="Arial" w:cs="Arial" w:eastAsia="Arial" w:hAnsi="Arial"/>
          <w:sz w:val="21"/>
          <w:szCs w:val="21"/>
          <w:color w:val="auto"/>
        </w:rPr>
        <w:t>The parties agree to cooperate in good faith to amend and/or replace Exhibit E-1 and Exhibit E-2 to the Agreement in order to potentially streamline certain servicing reports and formats.</w:t>
      </w:r>
    </w:p>
    <w:p>
      <w:pPr>
        <w:spacing w:after="0" w:line="157" w:lineRule="exact"/>
        <w:rPr>
          <w:sz w:val="20"/>
          <w:szCs w:val="20"/>
          <w:color w:val="auto"/>
        </w:rPr>
      </w:pPr>
    </w:p>
    <w:p>
      <w:pPr>
        <w:jc w:val="both"/>
        <w:ind w:firstLine="620"/>
        <w:spacing w:after="0" w:line="245" w:lineRule="auto"/>
        <w:rPr>
          <w:sz w:val="20"/>
          <w:szCs w:val="20"/>
          <w:color w:val="auto"/>
        </w:rPr>
      </w:pPr>
      <w:r>
        <w:rPr>
          <w:rFonts w:ascii="Arial" w:cs="Arial" w:eastAsia="Arial" w:hAnsi="Arial"/>
          <w:sz w:val="21"/>
          <w:szCs w:val="21"/>
          <w:b w:val="1"/>
          <w:bCs w:val="1"/>
          <w:color w:val="auto"/>
        </w:rPr>
        <w:t xml:space="preserve">SECTION 2. </w:t>
      </w:r>
      <w:r>
        <w:rPr>
          <w:rFonts w:ascii="Arial" w:cs="Arial" w:eastAsia="Arial" w:hAnsi="Arial"/>
          <w:sz w:val="21"/>
          <w:szCs w:val="21"/>
          <w:u w:val="single" w:color="auto"/>
          <w:color w:val="auto"/>
        </w:rPr>
        <w:t>Termination Fee.</w:t>
      </w:r>
      <w:r>
        <w:rPr>
          <w:rFonts w:ascii="Arial" w:cs="Arial" w:eastAsia="Arial" w:hAnsi="Arial"/>
          <w:sz w:val="21"/>
          <w:szCs w:val="21"/>
          <w:b w:val="1"/>
          <w:bCs w:val="1"/>
          <w:color w:val="auto"/>
        </w:rPr>
        <w:t xml:space="preserve"> </w:t>
      </w:r>
      <w:r>
        <w:rPr>
          <w:rFonts w:ascii="Arial" w:cs="Arial" w:eastAsia="Arial" w:hAnsi="Arial"/>
          <w:sz w:val="21"/>
          <w:szCs w:val="21"/>
          <w:color w:val="auto"/>
        </w:rPr>
        <w:t>For purposes of clarification, notwithstanding anything to the contrary contained in the</w:t>
      </w:r>
      <w:r>
        <w:rPr>
          <w:rFonts w:ascii="Arial" w:cs="Arial" w:eastAsia="Arial" w:hAnsi="Arial"/>
          <w:sz w:val="21"/>
          <w:szCs w:val="21"/>
          <w:b w:val="1"/>
          <w:bCs w:val="1"/>
          <w:color w:val="auto"/>
        </w:rPr>
        <w:t xml:space="preserve"> </w:t>
      </w:r>
      <w:r>
        <w:rPr>
          <w:rFonts w:ascii="Arial" w:cs="Arial" w:eastAsia="Arial" w:hAnsi="Arial"/>
          <w:sz w:val="21"/>
          <w:szCs w:val="21"/>
          <w:color w:val="auto"/>
        </w:rPr>
        <w:t>Agreement, no Termination Fee or Exit Fee shall be payable to Subservicer for any termination of the Agreement after the date hereof (e.g. the end of the Initial Term).</w:t>
      </w:r>
    </w:p>
    <w:p>
      <w:pPr>
        <w:spacing w:after="0" w:line="191" w:lineRule="exact"/>
        <w:rPr>
          <w:sz w:val="20"/>
          <w:szCs w:val="20"/>
          <w:color w:val="auto"/>
        </w:rPr>
      </w:pPr>
    </w:p>
    <w:p>
      <w:pPr>
        <w:jc w:val="both"/>
        <w:ind w:firstLine="620"/>
        <w:spacing w:after="0" w:line="283" w:lineRule="auto"/>
        <w:rPr>
          <w:sz w:val="20"/>
          <w:szCs w:val="20"/>
          <w:color w:val="auto"/>
        </w:rPr>
      </w:pPr>
      <w:r>
        <w:rPr>
          <w:rFonts w:ascii="Arial" w:cs="Arial" w:eastAsia="Arial" w:hAnsi="Arial"/>
          <w:sz w:val="19"/>
          <w:szCs w:val="19"/>
          <w:b w:val="1"/>
          <w:bCs w:val="1"/>
          <w:color w:val="auto"/>
        </w:rPr>
        <w:t xml:space="preserve">SECTION 3. </w:t>
      </w:r>
      <w:r>
        <w:rPr>
          <w:rFonts w:ascii="Arial" w:cs="Arial" w:eastAsia="Arial" w:hAnsi="Arial"/>
          <w:sz w:val="19"/>
          <w:szCs w:val="19"/>
          <w:u w:val="single" w:color="auto"/>
          <w:color w:val="auto"/>
        </w:rPr>
        <w:t>Limited Effect.</w:t>
      </w:r>
      <w:r>
        <w:rPr>
          <w:rFonts w:ascii="Arial" w:cs="Arial" w:eastAsia="Arial" w:hAnsi="Arial"/>
          <w:sz w:val="19"/>
          <w:szCs w:val="19"/>
          <w:b w:val="1"/>
          <w:bCs w:val="1"/>
          <w:color w:val="auto"/>
        </w:rPr>
        <w:t xml:space="preserve"> </w:t>
      </w:r>
      <w:r>
        <w:rPr>
          <w:rFonts w:ascii="Arial" w:cs="Arial" w:eastAsia="Arial" w:hAnsi="Arial"/>
          <w:sz w:val="19"/>
          <w:szCs w:val="19"/>
          <w:color w:val="auto"/>
        </w:rPr>
        <w:t>Except as amended hereby, the Agreement shall continue in full force and effect in accordance</w:t>
      </w:r>
      <w:r>
        <w:rPr>
          <w:rFonts w:ascii="Arial" w:cs="Arial" w:eastAsia="Arial" w:hAnsi="Arial"/>
          <w:sz w:val="19"/>
          <w:szCs w:val="19"/>
          <w:b w:val="1"/>
          <w:bCs w:val="1"/>
          <w:color w:val="auto"/>
        </w:rPr>
        <w:t xml:space="preserve"> </w:t>
      </w:r>
      <w:r>
        <w:rPr>
          <w:rFonts w:ascii="Arial" w:cs="Arial" w:eastAsia="Arial" w:hAnsi="Arial"/>
          <w:sz w:val="19"/>
          <w:szCs w:val="19"/>
          <w:color w:val="auto"/>
        </w:rPr>
        <w:t>with its terms. Reference to this Amendment Number Three need not be made in the Agreement or any other instrument or document executed in connection therewith, or in any certificate, letter or communication issued or made pursuant to, or with</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w:t>
      </w:r>
    </w:p>
    <w:p>
      <w:pPr>
        <w:spacing w:after="0"/>
        <w:rPr>
          <w:sz w:val="20"/>
          <w:szCs w:val="20"/>
          <w:color w:val="auto"/>
        </w:rPr>
      </w:pPr>
      <w:r>
        <w:rPr>
          <w:rFonts w:ascii="Arial" w:cs="Arial" w:eastAsia="Arial" w:hAnsi="Arial"/>
          <w:sz w:val="16"/>
          <w:szCs w:val="16"/>
          <w:color w:val="auto"/>
        </w:rPr>
        <w:t>NRM – PHH Amend 3 to SSA FINAL (5-2-2022)(4)</w:t>
      </w:r>
    </w:p>
    <w:p>
      <w:pPr>
        <w:sectPr>
          <w:pgSz w:w="11900" w:h="16838" w:orient="portrait"/>
          <w:cols w:equalWidth="0" w:num="1">
            <w:col w:w="11240"/>
          </w:cols>
          <w:pgMar w:left="320" w:top="1440" w:right="339" w:bottom="1440" w:gutter="0" w:footer="0" w:header="0"/>
        </w:sectPr>
      </w:pPr>
    </w:p>
    <w:bookmarkStart w:id="117" w:name="page118"/>
    <w:bookmarkEnd w:id="117"/>
    <w:p>
      <w:pPr>
        <w:spacing w:after="0" w:line="165" w:lineRule="exact"/>
        <w:rPr>
          <w:sz w:val="20"/>
          <w:szCs w:val="20"/>
          <w:color w:val="auto"/>
        </w:rPr>
      </w:pPr>
    </w:p>
    <w:p>
      <w:pPr>
        <w:jc w:val="both"/>
        <w:spacing w:after="0" w:line="253" w:lineRule="auto"/>
        <w:rPr>
          <w:sz w:val="20"/>
          <w:szCs w:val="20"/>
          <w:color w:val="auto"/>
        </w:rPr>
      </w:pPr>
      <w:r>
        <w:rPr>
          <w:rFonts w:ascii="Arial" w:cs="Arial" w:eastAsia="Arial" w:hAnsi="Arial"/>
          <w:sz w:val="21"/>
          <w:szCs w:val="21"/>
          <w:color w:val="auto"/>
        </w:rPr>
        <w:t>respect to, the Agreement, any reference in any of such items to the Agreement being sufficient to refer to the Agreement as amended hereby.</w:t>
      </w:r>
    </w:p>
    <w:p>
      <w:pPr>
        <w:spacing w:after="0" w:line="183" w:lineRule="exact"/>
        <w:rPr>
          <w:sz w:val="20"/>
          <w:szCs w:val="20"/>
          <w:color w:val="auto"/>
        </w:rPr>
      </w:pPr>
    </w:p>
    <w:p>
      <w:pPr>
        <w:jc w:val="both"/>
        <w:ind w:firstLine="620"/>
        <w:spacing w:after="0"/>
        <w:rPr>
          <w:sz w:val="20"/>
          <w:szCs w:val="20"/>
          <w:color w:val="auto"/>
        </w:rPr>
      </w:pPr>
      <w:r>
        <w:rPr>
          <w:rFonts w:ascii="Arial" w:cs="Arial" w:eastAsia="Arial" w:hAnsi="Arial"/>
          <w:sz w:val="21"/>
          <w:szCs w:val="21"/>
          <w:b w:val="1"/>
          <w:bCs w:val="1"/>
          <w:color w:val="auto"/>
        </w:rPr>
        <w:t xml:space="preserve">SECTION 4. </w:t>
      </w:r>
      <w:r>
        <w:rPr>
          <w:rFonts w:ascii="Arial" w:cs="Arial" w:eastAsia="Arial" w:hAnsi="Arial"/>
          <w:sz w:val="21"/>
          <w:szCs w:val="21"/>
          <w:u w:val="single" w:color="auto"/>
          <w:color w:val="auto"/>
        </w:rPr>
        <w:t>Governing Law.</w:t>
      </w:r>
      <w:r>
        <w:rPr>
          <w:rFonts w:ascii="Arial" w:cs="Arial" w:eastAsia="Arial" w:hAnsi="Arial"/>
          <w:sz w:val="21"/>
          <w:szCs w:val="21"/>
          <w:b w:val="1"/>
          <w:bCs w:val="1"/>
          <w:color w:val="auto"/>
        </w:rPr>
        <w:t xml:space="preserve"> </w:t>
      </w:r>
      <w:r>
        <w:rPr>
          <w:rFonts w:ascii="Arial" w:cs="Arial" w:eastAsia="Arial" w:hAnsi="Arial"/>
          <w:sz w:val="21"/>
          <w:szCs w:val="21"/>
          <w:color w:val="auto"/>
        </w:rPr>
        <w:t>This Amendment Number Three shall be construed in accordance with the laws of the State of</w:t>
      </w:r>
      <w:r>
        <w:rPr>
          <w:rFonts w:ascii="Arial" w:cs="Arial" w:eastAsia="Arial" w:hAnsi="Arial"/>
          <w:sz w:val="21"/>
          <w:szCs w:val="21"/>
          <w:b w:val="1"/>
          <w:bCs w:val="1"/>
          <w:color w:val="auto"/>
        </w:rPr>
        <w:t xml:space="preserve"> </w:t>
      </w:r>
      <w:r>
        <w:rPr>
          <w:rFonts w:ascii="Arial" w:cs="Arial" w:eastAsia="Arial" w:hAnsi="Arial"/>
          <w:sz w:val="21"/>
          <w:szCs w:val="21"/>
          <w:color w:val="auto"/>
        </w:rPr>
        <w:t>New York and the obligations, rights, and remedies of the parties hereunder shall be determined in accordance with such laws without regard to conflict of laws doctrine applied in such state (other than Section 5-1401 or 5-1402 of the New York General Obligations Law which shall govern).</w:t>
      </w:r>
    </w:p>
    <w:p>
      <w:pPr>
        <w:spacing w:after="0" w:line="197" w:lineRule="exact"/>
        <w:rPr>
          <w:sz w:val="20"/>
          <w:szCs w:val="20"/>
          <w:color w:val="auto"/>
        </w:rPr>
      </w:pPr>
    </w:p>
    <w:p>
      <w:pPr>
        <w:jc w:val="both"/>
        <w:ind w:firstLine="620"/>
        <w:spacing w:after="0" w:line="253" w:lineRule="auto"/>
        <w:rPr>
          <w:sz w:val="20"/>
          <w:szCs w:val="20"/>
          <w:color w:val="auto"/>
        </w:rPr>
      </w:pPr>
      <w:r>
        <w:rPr>
          <w:rFonts w:ascii="Arial" w:cs="Arial" w:eastAsia="Arial" w:hAnsi="Arial"/>
          <w:sz w:val="20"/>
          <w:szCs w:val="20"/>
          <w:b w:val="1"/>
          <w:bCs w:val="1"/>
          <w:color w:val="auto"/>
        </w:rPr>
        <w:t xml:space="preserve">SECTION 5. </w:t>
      </w:r>
      <w:r>
        <w:rPr>
          <w:rFonts w:ascii="Arial" w:cs="Arial" w:eastAsia="Arial" w:hAnsi="Arial"/>
          <w:sz w:val="20"/>
          <w:szCs w:val="20"/>
          <w:u w:val="single" w:color="auto"/>
          <w:color w:val="auto"/>
        </w:rPr>
        <w:t>Counterparts.</w:t>
      </w:r>
      <w:r>
        <w:rPr>
          <w:rFonts w:ascii="Arial" w:cs="Arial" w:eastAsia="Arial" w:hAnsi="Arial"/>
          <w:sz w:val="20"/>
          <w:szCs w:val="20"/>
          <w:b w:val="1"/>
          <w:bCs w:val="1"/>
          <w:color w:val="auto"/>
        </w:rPr>
        <w:t xml:space="preserve"> </w:t>
      </w:r>
      <w:r>
        <w:rPr>
          <w:rFonts w:ascii="Arial" w:cs="Arial" w:eastAsia="Arial" w:hAnsi="Arial"/>
          <w:sz w:val="20"/>
          <w:szCs w:val="20"/>
          <w:color w:val="auto"/>
        </w:rPr>
        <w:t>This Amendment Number Three may be executed by each of the parties hereto on any number of</w:t>
      </w:r>
      <w:r>
        <w:rPr>
          <w:rFonts w:ascii="Arial" w:cs="Arial" w:eastAsia="Arial" w:hAnsi="Arial"/>
          <w:sz w:val="20"/>
          <w:szCs w:val="20"/>
          <w:b w:val="1"/>
          <w:bCs w:val="1"/>
          <w:color w:val="auto"/>
        </w:rPr>
        <w:t xml:space="preserve"> </w:t>
      </w:r>
      <w:r>
        <w:rPr>
          <w:rFonts w:ascii="Arial" w:cs="Arial" w:eastAsia="Arial" w:hAnsi="Arial"/>
          <w:sz w:val="20"/>
          <w:szCs w:val="20"/>
          <w:color w:val="auto"/>
        </w:rPr>
        <w:t>separate counterparts, each of which shall be an original and all of which taken together shall constitute one and the same instrument. The parties agree that this Amendment Number Three and signature pages may be transmitted between them by facsimile or by electronic mail and that faxed and PDF signatures may constitute original signatures and that a faxed or PDF signature page containing the signature (faxed, PDF or original) is binding upon the parties.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w:t>
      </w:r>
    </w:p>
    <w:p>
      <w:pPr>
        <w:spacing w:after="0"/>
        <w:rPr>
          <w:sz w:val="20"/>
          <w:szCs w:val="20"/>
          <w:color w:val="auto"/>
        </w:rPr>
      </w:pPr>
      <w:r>
        <w:rPr>
          <w:rFonts w:ascii="Arial" w:cs="Arial" w:eastAsia="Arial" w:hAnsi="Arial"/>
          <w:sz w:val="16"/>
          <w:szCs w:val="16"/>
          <w:color w:val="auto"/>
        </w:rPr>
        <w:t>NRM – PHH Amend 3 to SSA FINAL (5-2-2022)(4)</w:t>
      </w:r>
    </w:p>
    <w:p>
      <w:pPr>
        <w:sectPr>
          <w:pgSz w:w="11900" w:h="16838" w:orient="portrait"/>
          <w:cols w:equalWidth="0" w:num="1">
            <w:col w:w="11240"/>
          </w:cols>
          <w:pgMar w:left="320" w:top="1440" w:right="339" w:bottom="1440" w:gutter="0" w:footer="0" w:header="0"/>
        </w:sectPr>
      </w:pPr>
    </w:p>
    <w:bookmarkStart w:id="118" w:name="page119"/>
    <w:bookmarkEnd w:id="118"/>
    <w:p>
      <w:pPr>
        <w:ind w:firstLine="439"/>
        <w:spacing w:after="0" w:line="237" w:lineRule="auto"/>
        <w:rPr>
          <w:sz w:val="20"/>
          <w:szCs w:val="20"/>
          <w:color w:val="auto"/>
        </w:rPr>
      </w:pPr>
      <w:r>
        <w:rPr>
          <w:rFonts w:ascii="Arial" w:cs="Arial" w:eastAsia="Arial" w:hAnsi="Arial"/>
          <w:sz w:val="21"/>
          <w:szCs w:val="21"/>
          <w:b w:val="1"/>
          <w:bCs w:val="1"/>
          <w:color w:val="auto"/>
        </w:rPr>
        <w:t>IN WITNESS WHEREOF</w:t>
      </w:r>
      <w:r>
        <w:rPr>
          <w:rFonts w:ascii="Arial" w:cs="Arial" w:eastAsia="Arial" w:hAnsi="Arial"/>
          <w:sz w:val="21"/>
          <w:szCs w:val="21"/>
          <w:color w:val="auto"/>
        </w:rPr>
        <w:t>, the parties hereto have caused this Amendment Number Three to be executed and delivered by their</w:t>
      </w:r>
      <w:r>
        <w:rPr>
          <w:rFonts w:ascii="Arial" w:cs="Arial" w:eastAsia="Arial" w:hAnsi="Arial"/>
          <w:sz w:val="21"/>
          <w:szCs w:val="21"/>
          <w:b w:val="1"/>
          <w:bCs w:val="1"/>
          <w:color w:val="auto"/>
        </w:rPr>
        <w:t xml:space="preserve"> </w:t>
      </w:r>
      <w:r>
        <w:rPr>
          <w:rFonts w:ascii="Arial" w:cs="Arial" w:eastAsia="Arial" w:hAnsi="Arial"/>
          <w:sz w:val="21"/>
          <w:szCs w:val="21"/>
          <w:color w:val="auto"/>
        </w:rPr>
        <w:t>duly authorized officers as of the day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3560"/>
        <w:spacing w:after="0"/>
        <w:rPr>
          <w:sz w:val="20"/>
          <w:szCs w:val="20"/>
          <w:color w:val="auto"/>
        </w:rPr>
      </w:pPr>
      <w:r>
        <w:rPr>
          <w:rFonts w:ascii="Arial" w:cs="Arial" w:eastAsia="Arial" w:hAnsi="Arial"/>
          <w:sz w:val="19"/>
          <w:szCs w:val="19"/>
          <w:b w:val="1"/>
          <w:bCs w:val="1"/>
          <w:color w:val="auto"/>
        </w:rPr>
        <w:t>PHH MORTGAGE CORPORATION</w:t>
      </w:r>
    </w:p>
    <w:p>
      <w:pPr>
        <w:spacing w:after="0" w:line="200" w:lineRule="exact"/>
        <w:rPr>
          <w:sz w:val="20"/>
          <w:szCs w:val="20"/>
          <w:color w:val="auto"/>
        </w:rPr>
      </w:pPr>
    </w:p>
    <w:p>
      <w:pPr>
        <w:spacing w:after="0" w:line="289" w:lineRule="exact"/>
        <w:rPr>
          <w:sz w:val="20"/>
          <w:szCs w:val="20"/>
          <w:color w:val="auto"/>
        </w:rPr>
      </w:pPr>
    </w:p>
    <w:p>
      <w:pPr>
        <w:ind w:left="3560"/>
        <w:spacing w:after="0"/>
        <w:tabs>
          <w:tab w:leader="none" w:pos="402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7"/>
          <w:szCs w:val="17"/>
          <w:color w:val="auto"/>
        </w:rPr>
        <w:t>/s/ John V. Britti</w:t>
      </w:r>
    </w:p>
    <w:p>
      <w:pPr>
        <w:ind w:left="3560"/>
        <w:spacing w:after="0" w:line="198" w:lineRule="auto"/>
        <w:rPr>
          <w:sz w:val="20"/>
          <w:szCs w:val="20"/>
          <w:color w:val="auto"/>
        </w:rPr>
      </w:pPr>
      <w:r>
        <w:rPr>
          <w:rFonts w:ascii="Arial" w:cs="Arial" w:eastAsia="Arial" w:hAnsi="Arial"/>
          <w:sz w:val="19"/>
          <w:szCs w:val="19"/>
          <w:color w:val="auto"/>
        </w:rPr>
        <w:t>Name: John V. Britti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2440305</wp:posOffset>
            </wp:positionH>
            <wp:positionV relativeFrom="paragraph">
              <wp:posOffset>-113030</wp:posOffset>
            </wp:positionV>
            <wp:extent cx="102679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3">
                      <a:extLst>
                        <a:ext uri="{28A0092B-C50C-407E-A947-70E740481C1C}"/>
                      </a:extLst>
                    </a:blip>
                    <a:srcRect/>
                    <a:stretch>
                      <a:fillRect/>
                    </a:stretch>
                  </pic:blipFill>
                  <pic:spPr bwMode="auto">
                    <a:xfrm>
                      <a:off x="0" y="0"/>
                      <a:ext cx="1026795" cy="8255"/>
                    </a:xfrm>
                    <a:prstGeom prst="rect">
                      <a:avLst/>
                    </a:prstGeom>
                    <a:noFill/>
                  </pic:spPr>
                </pic:pic>
              </a:graphicData>
            </a:graphic>
          </wp:anchor>
        </w:drawing>
      </w:r>
    </w:p>
    <w:p>
      <w:pPr>
        <w:ind w:left="3560"/>
        <w:spacing w:after="0"/>
        <w:rPr>
          <w:sz w:val="20"/>
          <w:szCs w:val="20"/>
          <w:color w:val="auto"/>
        </w:rPr>
      </w:pPr>
      <w:r>
        <w:rPr>
          <w:rFonts w:ascii="Arial" w:cs="Arial" w:eastAsia="Arial" w:hAnsi="Arial"/>
          <w:sz w:val="19"/>
          <w:szCs w:val="19"/>
          <w:color w:val="auto"/>
        </w:rPr>
        <w:t>Title: EVP &amp; Chief Investment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Signature Page to Amendment Number Three to NRM- PHH Subservicing Agreement</w:t>
      </w:r>
    </w:p>
    <w:p>
      <w:pPr>
        <w:sectPr>
          <w:pgSz w:w="11900" w:h="16838" w:orient="portrait"/>
          <w:cols w:equalWidth="0" w:num="1">
            <w:col w:w="11240"/>
          </w:cols>
          <w:pgMar w:left="320" w:top="1340" w:right="339" w:bottom="1440" w:gutter="0" w:footer="0" w:header="0"/>
        </w:sectPr>
      </w:pPr>
    </w:p>
    <w:bookmarkStart w:id="119" w:name="page120"/>
    <w:bookmarkEnd w:id="119"/>
    <w:p>
      <w:pPr>
        <w:ind w:left="3220"/>
        <w:spacing w:after="0"/>
        <w:rPr>
          <w:sz w:val="20"/>
          <w:szCs w:val="20"/>
          <w:color w:val="auto"/>
        </w:rPr>
      </w:pPr>
      <w:r>
        <w:rPr>
          <w:rFonts w:ascii="Arial" w:cs="Arial" w:eastAsia="Arial" w:hAnsi="Arial"/>
          <w:sz w:val="21"/>
          <w:szCs w:val="21"/>
          <w:b w:val="1"/>
          <w:bCs w:val="1"/>
          <w:color w:val="auto"/>
        </w:rPr>
        <w:t>NEW RESIDENTIAL MORTGAGE LLC</w:t>
      </w:r>
    </w:p>
    <w:p>
      <w:pPr>
        <w:ind w:left="3220"/>
        <w:spacing w:after="0"/>
        <w:rPr>
          <w:sz w:val="20"/>
          <w:szCs w:val="20"/>
          <w:color w:val="auto"/>
        </w:rPr>
      </w:pPr>
      <w:r>
        <w:rPr>
          <w:rFonts w:ascii="Arial" w:cs="Arial" w:eastAsia="Arial" w:hAnsi="Arial"/>
          <w:sz w:val="21"/>
          <w:szCs w:val="21"/>
          <w:color w:val="auto"/>
        </w:rPr>
        <w:t>(Owner/Servicer)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220"/>
        <w:spacing w:after="0"/>
        <w:rPr>
          <w:sz w:val="20"/>
          <w:szCs w:val="20"/>
          <w:color w:val="auto"/>
        </w:rPr>
      </w:pPr>
      <w:r>
        <w:rPr>
          <w:rFonts w:ascii="Arial" w:cs="Arial" w:eastAsia="Arial" w:hAnsi="Arial"/>
          <w:sz w:val="21"/>
          <w:szCs w:val="21"/>
          <w:color w:val="auto"/>
        </w:rPr>
        <w:t>By:_/s/ Nicola Santoro,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2303145</wp:posOffset>
            </wp:positionH>
            <wp:positionV relativeFrom="paragraph">
              <wp:posOffset>-5715</wp:posOffset>
            </wp:positionV>
            <wp:extent cx="152781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4">
                      <a:extLst>
                        <a:ext uri="{28A0092B-C50C-407E-A947-70E740481C1C}"/>
                      </a:extLst>
                    </a:blip>
                    <a:srcRect/>
                    <a:stretch>
                      <a:fillRect/>
                    </a:stretch>
                  </pic:blipFill>
                  <pic:spPr bwMode="auto">
                    <a:xfrm>
                      <a:off x="0" y="0"/>
                      <a:ext cx="1527810" cy="8255"/>
                    </a:xfrm>
                    <a:prstGeom prst="rect">
                      <a:avLst/>
                    </a:prstGeom>
                    <a:noFill/>
                  </pic:spPr>
                </pic:pic>
              </a:graphicData>
            </a:graphic>
          </wp:anchor>
        </w:drawing>
      </w:r>
    </w:p>
    <w:p>
      <w:pPr>
        <w:ind w:left="3220"/>
        <w:spacing w:after="0" w:line="205" w:lineRule="auto"/>
        <w:tabs>
          <w:tab w:leader="none" w:pos="4020" w:val="left"/>
        </w:tabs>
        <w:rPr>
          <w:sz w:val="20"/>
          <w:szCs w:val="20"/>
          <w:color w:val="auto"/>
        </w:rPr>
      </w:pPr>
      <w:r>
        <w:rPr>
          <w:rFonts w:ascii="Arial" w:cs="Arial" w:eastAsia="Arial" w:hAnsi="Arial"/>
          <w:sz w:val="21"/>
          <w:szCs w:val="21"/>
          <w:color w:val="auto"/>
        </w:rPr>
        <w:t>Name:</w:t>
        <w:tab/>
        <w:t>Nicola Santoro, Jr.</w:t>
      </w:r>
    </w:p>
    <w:p>
      <w:pPr>
        <w:ind w:left="3220"/>
        <w:spacing w:after="0"/>
        <w:tabs>
          <w:tab w:leader="none" w:pos="3900" w:val="left"/>
        </w:tabs>
        <w:rPr>
          <w:sz w:val="20"/>
          <w:szCs w:val="20"/>
          <w:color w:val="auto"/>
        </w:rPr>
      </w:pPr>
      <w:r>
        <w:rPr>
          <w:rFonts w:ascii="Arial" w:cs="Arial" w:eastAsia="Arial" w:hAnsi="Arial"/>
          <w:sz w:val="19"/>
          <w:szCs w:val="19"/>
          <w:color w:val="auto"/>
        </w:rPr>
        <w:t>Title:</w:t>
        <w:tab/>
        <w:t>Chief Financial Officer and Chief Operating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Signature Page to Amendment Number Three to NRM- PHH Subservicing Agreement</w:t>
      </w:r>
    </w:p>
    <w:p>
      <w:pPr>
        <w:sectPr>
          <w:pgSz w:w="11900" w:h="16838" w:orient="portrait"/>
          <w:cols w:equalWidth="0" w:num="1">
            <w:col w:w="9019"/>
          </w:cols>
          <w:pgMar w:left="1440" w:top="1329" w:right="1440" w:bottom="1440" w:gutter="0" w:footer="0" w:header="0"/>
        </w:sectPr>
      </w:pPr>
    </w:p>
    <w:bookmarkStart w:id="120" w:name="page121"/>
    <w:bookmarkEnd w:id="120"/>
    <w:p>
      <w:pPr>
        <w:jc w:val="right"/>
        <w:spacing w:after="0"/>
        <w:rPr>
          <w:sz w:val="20"/>
          <w:szCs w:val="20"/>
          <w:color w:val="auto"/>
        </w:rPr>
      </w:pPr>
      <w:r>
        <w:rPr>
          <w:rFonts w:ascii="Arial" w:cs="Arial" w:eastAsia="Arial" w:hAnsi="Arial"/>
          <w:sz w:val="21"/>
          <w:szCs w:val="21"/>
          <w:b w:val="1"/>
          <w:bCs w:val="1"/>
          <w:color w:val="auto"/>
        </w:rPr>
        <w:t>EXECUTION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line="242" w:lineRule="auto"/>
        <w:rPr>
          <w:sz w:val="20"/>
          <w:szCs w:val="20"/>
          <w:color w:val="auto"/>
        </w:rPr>
      </w:pPr>
      <w:r>
        <w:rPr>
          <w:rFonts w:ascii="Arial" w:cs="Arial" w:eastAsia="Arial" w:hAnsi="Arial"/>
          <w:sz w:val="21"/>
          <w:szCs w:val="21"/>
          <w:color w:val="auto"/>
        </w:rPr>
        <w:t>Certain information has been omitted in accordance with Item 601(b)(10) of Regulation S-K because it is both not material and is the type of information that the registrant treats as private or confidential. An unredacted copy will be furnished supplementally to the SEC upon request.</w:t>
      </w:r>
    </w:p>
    <w:p>
      <w:pPr>
        <w:spacing w:after="0" w:line="200" w:lineRule="exact"/>
        <w:rPr>
          <w:sz w:val="20"/>
          <w:szCs w:val="20"/>
          <w:color w:val="auto"/>
        </w:rPr>
      </w:pPr>
    </w:p>
    <w:p>
      <w:pPr>
        <w:jc w:val="center"/>
        <w:ind w:right="40"/>
        <w:spacing w:after="0"/>
        <w:rPr>
          <w:sz w:val="20"/>
          <w:szCs w:val="20"/>
          <w:color w:val="auto"/>
        </w:rPr>
      </w:pPr>
      <w:r>
        <w:rPr>
          <w:rFonts w:ascii="Arial" w:cs="Arial" w:eastAsia="Arial" w:hAnsi="Arial"/>
          <w:sz w:val="21"/>
          <w:szCs w:val="21"/>
          <w:color w:val="auto"/>
        </w:rPr>
        <w:t>AMENDMENT NUMBER TWO</w:t>
      </w:r>
    </w:p>
    <w:p>
      <w:pPr>
        <w:jc w:val="center"/>
        <w:ind w:right="40"/>
        <w:spacing w:after="0"/>
        <w:rPr>
          <w:sz w:val="20"/>
          <w:szCs w:val="20"/>
          <w:color w:val="auto"/>
        </w:rPr>
      </w:pPr>
      <w:r>
        <w:rPr>
          <w:rFonts w:ascii="Arial" w:cs="Arial" w:eastAsia="Arial" w:hAnsi="Arial"/>
          <w:sz w:val="21"/>
          <w:szCs w:val="21"/>
          <w:color w:val="auto"/>
        </w:rPr>
        <w:t>Subservicing Agreement</w:t>
      </w:r>
    </w:p>
    <w:p>
      <w:pPr>
        <w:jc w:val="center"/>
        <w:ind w:right="40"/>
        <w:spacing w:after="0" w:line="231" w:lineRule="auto"/>
        <w:rPr>
          <w:sz w:val="20"/>
          <w:szCs w:val="20"/>
          <w:color w:val="auto"/>
        </w:rPr>
      </w:pPr>
      <w:r>
        <w:rPr>
          <w:rFonts w:ascii="Arial" w:cs="Arial" w:eastAsia="Arial" w:hAnsi="Arial"/>
          <w:sz w:val="21"/>
          <w:szCs w:val="21"/>
          <w:color w:val="auto"/>
        </w:rPr>
        <w:t>by and between</w:t>
      </w:r>
    </w:p>
    <w:p>
      <w:pPr>
        <w:jc w:val="center"/>
        <w:spacing w:after="0" w:line="231" w:lineRule="auto"/>
        <w:rPr>
          <w:sz w:val="20"/>
          <w:szCs w:val="20"/>
          <w:color w:val="auto"/>
        </w:rPr>
      </w:pPr>
      <w:r>
        <w:rPr>
          <w:rFonts w:ascii="Arial" w:cs="Arial" w:eastAsia="Arial" w:hAnsi="Arial"/>
          <w:sz w:val="21"/>
          <w:szCs w:val="21"/>
          <w:color w:val="auto"/>
        </w:rPr>
        <w:t>PHH MORTGAGE CORPORATION (as successor by merger to</w:t>
      </w:r>
    </w:p>
    <w:p>
      <w:pPr>
        <w:jc w:val="center"/>
        <w:ind w:right="40"/>
        <w:spacing w:after="0" w:line="231" w:lineRule="auto"/>
        <w:rPr>
          <w:sz w:val="20"/>
          <w:szCs w:val="20"/>
          <w:color w:val="auto"/>
        </w:rPr>
      </w:pPr>
      <w:r>
        <w:rPr>
          <w:rFonts w:ascii="Arial" w:cs="Arial" w:eastAsia="Arial" w:hAnsi="Arial"/>
          <w:sz w:val="21"/>
          <w:szCs w:val="21"/>
          <w:color w:val="auto"/>
        </w:rPr>
        <w:t>OCWEN LOAN SERVICING, LLC)</w:t>
      </w:r>
    </w:p>
    <w:p>
      <w:pPr>
        <w:jc w:val="center"/>
        <w:ind w:right="40"/>
        <w:spacing w:after="0" w:line="231" w:lineRule="auto"/>
        <w:rPr>
          <w:sz w:val="20"/>
          <w:szCs w:val="20"/>
          <w:color w:val="auto"/>
        </w:rPr>
      </w:pPr>
      <w:r>
        <w:rPr>
          <w:rFonts w:ascii="Arial" w:cs="Arial" w:eastAsia="Arial" w:hAnsi="Arial"/>
          <w:sz w:val="21"/>
          <w:szCs w:val="21"/>
          <w:color w:val="auto"/>
        </w:rPr>
        <w:t>and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NEWREZ LLC (FORMERLY KNOWN AS NEW PENN FINANCIAL, LLC) D/B/A SHELLPOINT MORTGAGE SERVICING</w:t>
      </w:r>
    </w:p>
    <w:p>
      <w:pPr>
        <w:spacing w:after="0" w:line="213" w:lineRule="exact"/>
        <w:rPr>
          <w:sz w:val="20"/>
          <w:szCs w:val="20"/>
          <w:color w:val="auto"/>
        </w:rPr>
      </w:pPr>
    </w:p>
    <w:p>
      <w:pPr>
        <w:jc w:val="both"/>
        <w:ind w:firstLine="1240"/>
        <w:spacing w:after="0" w:line="238" w:lineRule="auto"/>
        <w:rPr>
          <w:sz w:val="20"/>
          <w:szCs w:val="20"/>
          <w:color w:val="auto"/>
        </w:rPr>
      </w:pPr>
      <w:r>
        <w:rPr>
          <w:rFonts w:ascii="Arial" w:cs="Arial" w:eastAsia="Arial" w:hAnsi="Arial"/>
          <w:sz w:val="21"/>
          <w:szCs w:val="21"/>
          <w:color w:val="auto"/>
        </w:rPr>
        <w:t xml:space="preserve">This AMENDMENT NUMBER TWO is dated as of May 2, 2022, by and between </w:t>
      </w:r>
      <w:r>
        <w:rPr>
          <w:rFonts w:ascii="Arial" w:cs="Arial" w:eastAsia="Arial" w:hAnsi="Arial"/>
          <w:sz w:val="21"/>
          <w:szCs w:val="21"/>
          <w:b w:val="1"/>
          <w:bCs w:val="1"/>
          <w:color w:val="auto"/>
        </w:rPr>
        <w:t>PHH MORTGAGE</w:t>
      </w:r>
      <w:r>
        <w:rPr>
          <w:rFonts w:ascii="Arial" w:cs="Arial" w:eastAsia="Arial" w:hAnsi="Arial"/>
          <w:sz w:val="21"/>
          <w:szCs w:val="21"/>
          <w:color w:val="auto"/>
        </w:rPr>
        <w:t xml:space="preserve"> </w:t>
      </w:r>
      <w:r>
        <w:rPr>
          <w:rFonts w:ascii="Arial" w:cs="Arial" w:eastAsia="Arial" w:hAnsi="Arial"/>
          <w:sz w:val="21"/>
          <w:szCs w:val="21"/>
          <w:b w:val="1"/>
          <w:bCs w:val="1"/>
          <w:color w:val="auto"/>
        </w:rPr>
        <w:t xml:space="preserve">CORPORATION </w:t>
      </w:r>
      <w:r>
        <w:rPr>
          <w:rFonts w:ascii="Arial" w:cs="Arial" w:eastAsia="Arial" w:hAnsi="Arial"/>
          <w:sz w:val="21"/>
          <w:szCs w:val="21"/>
          <w:color w:val="auto"/>
        </w:rPr>
        <w:t>(as successor by merger to OCWEN LOAN SERVICING, LLC), as subservicer (the “</w:t>
      </w:r>
      <w:r>
        <w:rPr>
          <w:rFonts w:ascii="Arial" w:cs="Arial" w:eastAsia="Arial" w:hAnsi="Arial"/>
          <w:sz w:val="21"/>
          <w:szCs w:val="21"/>
          <w:u w:val="single" w:color="auto"/>
          <w:color w:val="auto"/>
        </w:rPr>
        <w:t>Subservicer</w:t>
      </w:r>
      <w:r>
        <w:rPr>
          <w:rFonts w:ascii="Arial" w:cs="Arial" w:eastAsia="Arial" w:hAnsi="Arial"/>
          <w:sz w:val="21"/>
          <w:szCs w:val="21"/>
          <w:color w:val="auto"/>
        </w:rPr>
        <w:t>”), and</w:t>
      </w:r>
      <w:r>
        <w:rPr>
          <w:rFonts w:ascii="Arial" w:cs="Arial" w:eastAsia="Arial" w:hAnsi="Arial"/>
          <w:sz w:val="21"/>
          <w:szCs w:val="21"/>
          <w:b w:val="1"/>
          <w:bCs w:val="1"/>
          <w:color w:val="auto"/>
        </w:rPr>
        <w:t xml:space="preserve"> NEWREZ LLC (FORMERLY KNOWN AS NEW PENN FINANCIAL, LLC) D/B/A SHELLPOINT MORTGAGE SERVICING</w:t>
      </w:r>
      <w:r>
        <w:rPr>
          <w:rFonts w:ascii="Arial" w:cs="Arial" w:eastAsia="Arial" w:hAnsi="Arial"/>
          <w:sz w:val="21"/>
          <w:szCs w:val="21"/>
          <w:color w:val="auto"/>
        </w:rPr>
        <w:t>, as</w:t>
      </w:r>
      <w:r>
        <w:rPr>
          <w:rFonts w:ascii="Arial" w:cs="Arial" w:eastAsia="Arial" w:hAnsi="Arial"/>
          <w:sz w:val="21"/>
          <w:szCs w:val="21"/>
          <w:b w:val="1"/>
          <w:bCs w:val="1"/>
          <w:color w:val="auto"/>
        </w:rPr>
        <w:t xml:space="preserve"> </w:t>
      </w:r>
      <w:r>
        <w:rPr>
          <w:rFonts w:ascii="Arial" w:cs="Arial" w:eastAsia="Arial" w:hAnsi="Arial"/>
          <w:sz w:val="21"/>
          <w:szCs w:val="21"/>
          <w:color w:val="auto"/>
        </w:rPr>
        <w:t>owner/servicer (the “</w:t>
      </w:r>
      <w:r>
        <w:rPr>
          <w:rFonts w:ascii="Arial" w:cs="Arial" w:eastAsia="Arial" w:hAnsi="Arial"/>
          <w:sz w:val="21"/>
          <w:szCs w:val="21"/>
          <w:u w:val="single" w:color="auto"/>
          <w:color w:val="auto"/>
        </w:rPr>
        <w:t>Owner/Servicer</w:t>
      </w:r>
      <w:r>
        <w:rPr>
          <w:rFonts w:ascii="Arial" w:cs="Arial" w:eastAsia="Arial" w:hAnsi="Arial"/>
          <w:sz w:val="21"/>
          <w:szCs w:val="21"/>
          <w:color w:val="auto"/>
        </w:rPr>
        <w:t>”), to that certain Subservicing Agreement, dated as of August 17, 2018 (as amended through the date hereof, the “</w:t>
      </w:r>
      <w:r>
        <w:rPr>
          <w:rFonts w:ascii="Arial" w:cs="Arial" w:eastAsia="Arial" w:hAnsi="Arial"/>
          <w:sz w:val="21"/>
          <w:szCs w:val="21"/>
          <w:u w:val="single" w:color="auto"/>
          <w:color w:val="auto"/>
        </w:rPr>
        <w:t>Agreement</w:t>
      </w:r>
      <w:r>
        <w:rPr>
          <w:rFonts w:ascii="Arial" w:cs="Arial" w:eastAsia="Arial" w:hAnsi="Arial"/>
          <w:sz w:val="21"/>
          <w:szCs w:val="21"/>
          <w:color w:val="auto"/>
        </w:rPr>
        <w:t>”), by and between the Subservicer and the Owner/Servicer.</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21"/>
          <w:szCs w:val="21"/>
          <w:b w:val="1"/>
          <w:bCs w:val="1"/>
          <w:u w:val="single" w:color="auto"/>
          <w:color w:val="auto"/>
        </w:rPr>
        <w:t>RECITALS</w:t>
      </w:r>
    </w:p>
    <w:p>
      <w:pPr>
        <w:spacing w:after="0" w:line="237" w:lineRule="exact"/>
        <w:rPr>
          <w:sz w:val="20"/>
          <w:szCs w:val="20"/>
          <w:color w:val="auto"/>
        </w:rPr>
      </w:pPr>
    </w:p>
    <w:p>
      <w:pPr>
        <w:jc w:val="both"/>
        <w:ind w:firstLine="1240"/>
        <w:spacing w:after="0" w:line="259" w:lineRule="auto"/>
        <w:rPr>
          <w:sz w:val="20"/>
          <w:szCs w:val="20"/>
          <w:color w:val="auto"/>
        </w:rPr>
      </w:pPr>
      <w:r>
        <w:rPr>
          <w:rFonts w:ascii="Arial" w:cs="Arial" w:eastAsia="Arial" w:hAnsi="Arial"/>
          <w:sz w:val="21"/>
          <w:szCs w:val="21"/>
          <w:b w:val="1"/>
          <w:bCs w:val="1"/>
          <w:color w:val="auto"/>
        </w:rPr>
        <w:t>WHEREAS</w:t>
      </w:r>
      <w:r>
        <w:rPr>
          <w:rFonts w:ascii="Arial" w:cs="Arial" w:eastAsia="Arial" w:hAnsi="Arial"/>
          <w:sz w:val="21"/>
          <w:szCs w:val="21"/>
          <w:color w:val="auto"/>
        </w:rPr>
        <w:t>, the Subservicer and the Owner/Servicer desire to amend and modify the Agreement, subject to the terms</w:t>
      </w:r>
      <w:r>
        <w:rPr>
          <w:rFonts w:ascii="Arial" w:cs="Arial" w:eastAsia="Arial" w:hAnsi="Arial"/>
          <w:sz w:val="21"/>
          <w:szCs w:val="21"/>
          <w:b w:val="1"/>
          <w:bCs w:val="1"/>
          <w:color w:val="auto"/>
        </w:rPr>
        <w:t xml:space="preserve"> </w:t>
      </w:r>
      <w:r>
        <w:rPr>
          <w:rFonts w:ascii="Arial" w:cs="Arial" w:eastAsia="Arial" w:hAnsi="Arial"/>
          <w:sz w:val="21"/>
          <w:szCs w:val="21"/>
          <w:color w:val="auto"/>
        </w:rPr>
        <w:t>hereof and as specified herein;</w:t>
      </w:r>
    </w:p>
    <w:p>
      <w:pPr>
        <w:spacing w:after="0" w:line="177" w:lineRule="exact"/>
        <w:rPr>
          <w:sz w:val="20"/>
          <w:szCs w:val="20"/>
          <w:color w:val="auto"/>
        </w:rPr>
      </w:pPr>
    </w:p>
    <w:p>
      <w:pPr>
        <w:jc w:val="both"/>
        <w:ind w:firstLine="1240"/>
        <w:spacing w:after="0" w:line="259" w:lineRule="auto"/>
        <w:rPr>
          <w:sz w:val="20"/>
          <w:szCs w:val="20"/>
          <w:color w:val="auto"/>
        </w:rPr>
      </w:pPr>
      <w:r>
        <w:rPr>
          <w:rFonts w:ascii="Arial" w:cs="Arial" w:eastAsia="Arial" w:hAnsi="Arial"/>
          <w:sz w:val="21"/>
          <w:szCs w:val="21"/>
          <w:b w:val="1"/>
          <w:bCs w:val="1"/>
          <w:color w:val="auto"/>
        </w:rPr>
        <w:t>WHEREAS</w:t>
      </w:r>
      <w:r>
        <w:rPr>
          <w:rFonts w:ascii="Arial" w:cs="Arial" w:eastAsia="Arial" w:hAnsi="Arial"/>
          <w:sz w:val="21"/>
          <w:szCs w:val="21"/>
          <w:color w:val="auto"/>
        </w:rPr>
        <w:t>, the Subservicer and the Owner/Servicer each have agreed to execute and deliver this Amendment Number</w:t>
      </w:r>
      <w:r>
        <w:rPr>
          <w:rFonts w:ascii="Arial" w:cs="Arial" w:eastAsia="Arial" w:hAnsi="Arial"/>
          <w:sz w:val="21"/>
          <w:szCs w:val="21"/>
          <w:b w:val="1"/>
          <w:bCs w:val="1"/>
          <w:color w:val="auto"/>
        </w:rPr>
        <w:t xml:space="preserve"> </w:t>
      </w:r>
      <w:r>
        <w:rPr>
          <w:rFonts w:ascii="Arial" w:cs="Arial" w:eastAsia="Arial" w:hAnsi="Arial"/>
          <w:sz w:val="21"/>
          <w:szCs w:val="21"/>
          <w:color w:val="auto"/>
        </w:rPr>
        <w:t>Three on the terms and conditions set forth herein; and</w:t>
      </w:r>
    </w:p>
    <w:p>
      <w:pPr>
        <w:spacing w:after="0" w:line="177" w:lineRule="exact"/>
        <w:rPr>
          <w:sz w:val="20"/>
          <w:szCs w:val="20"/>
          <w:color w:val="auto"/>
        </w:rPr>
      </w:pPr>
    </w:p>
    <w:p>
      <w:pPr>
        <w:ind w:left="1240"/>
        <w:spacing w:after="0"/>
        <w:rPr>
          <w:sz w:val="20"/>
          <w:szCs w:val="20"/>
          <w:color w:val="auto"/>
        </w:rPr>
      </w:pPr>
      <w:r>
        <w:rPr>
          <w:rFonts w:ascii="Arial" w:cs="Arial" w:eastAsia="Arial" w:hAnsi="Arial"/>
          <w:sz w:val="19"/>
          <w:szCs w:val="19"/>
          <w:b w:val="1"/>
          <w:bCs w:val="1"/>
          <w:color w:val="auto"/>
        </w:rPr>
        <w:t xml:space="preserve">WHEREAS, </w:t>
      </w:r>
      <w:r>
        <w:rPr>
          <w:rFonts w:ascii="Arial" w:cs="Arial" w:eastAsia="Arial" w:hAnsi="Arial"/>
          <w:sz w:val="19"/>
          <w:szCs w:val="19"/>
          <w:color w:val="auto"/>
        </w:rPr>
        <w:t>capitalized terms used herein but not defined shall have the meaning ascribed to them as set forth in the</w:t>
      </w:r>
    </w:p>
    <w:p>
      <w:pPr>
        <w:spacing w:after="0" w:line="38" w:lineRule="exact"/>
        <w:rPr>
          <w:sz w:val="20"/>
          <w:szCs w:val="20"/>
          <w:color w:val="auto"/>
        </w:rPr>
      </w:pPr>
    </w:p>
    <w:p>
      <w:pPr>
        <w:spacing w:after="0"/>
        <w:rPr>
          <w:sz w:val="20"/>
          <w:szCs w:val="20"/>
          <w:color w:val="auto"/>
        </w:rPr>
      </w:pPr>
      <w:r>
        <w:rPr>
          <w:rFonts w:ascii="Arial" w:cs="Arial" w:eastAsia="Arial" w:hAnsi="Arial"/>
          <w:sz w:val="21"/>
          <w:szCs w:val="21"/>
          <w:color w:val="auto"/>
        </w:rPr>
        <w:t>Agreement.</w:t>
      </w:r>
    </w:p>
    <w:p>
      <w:pPr>
        <w:spacing w:after="0" w:line="213" w:lineRule="exact"/>
        <w:rPr>
          <w:sz w:val="20"/>
          <w:szCs w:val="20"/>
          <w:color w:val="auto"/>
        </w:rPr>
      </w:pPr>
    </w:p>
    <w:p>
      <w:pPr>
        <w:jc w:val="both"/>
        <w:ind w:firstLine="1240"/>
        <w:spacing w:after="0" w:line="259" w:lineRule="auto"/>
        <w:rPr>
          <w:sz w:val="20"/>
          <w:szCs w:val="20"/>
          <w:color w:val="auto"/>
        </w:rPr>
      </w:pPr>
      <w:r>
        <w:rPr>
          <w:rFonts w:ascii="Arial" w:cs="Arial" w:eastAsia="Arial" w:hAnsi="Arial"/>
          <w:sz w:val="21"/>
          <w:szCs w:val="21"/>
          <w:b w:val="1"/>
          <w:bCs w:val="1"/>
          <w:color w:val="auto"/>
        </w:rPr>
        <w:t>NOW THEREFORE</w:t>
      </w:r>
      <w:r>
        <w:rPr>
          <w:rFonts w:ascii="Arial" w:cs="Arial" w:eastAsia="Arial" w:hAnsi="Arial"/>
          <w:sz w:val="21"/>
          <w:szCs w:val="21"/>
          <w:color w:val="auto"/>
        </w:rPr>
        <w:t>, for good and valuable consideration, the receipt and sufficiency of which are hereby</w:t>
      </w:r>
      <w:r>
        <w:rPr>
          <w:rFonts w:ascii="Arial" w:cs="Arial" w:eastAsia="Arial" w:hAnsi="Arial"/>
          <w:sz w:val="21"/>
          <w:szCs w:val="21"/>
          <w:b w:val="1"/>
          <w:bCs w:val="1"/>
          <w:color w:val="auto"/>
        </w:rPr>
        <w:t xml:space="preserve"> </w:t>
      </w:r>
      <w:r>
        <w:rPr>
          <w:rFonts w:ascii="Arial" w:cs="Arial" w:eastAsia="Arial" w:hAnsi="Arial"/>
          <w:sz w:val="21"/>
          <w:szCs w:val="21"/>
          <w:color w:val="auto"/>
        </w:rPr>
        <w:t>acknowledged, and of the mutual covenants herein contained, the parties hereto hereby agree as follows:</w:t>
      </w:r>
    </w:p>
    <w:p>
      <w:pPr>
        <w:spacing w:after="0" w:line="177" w:lineRule="exact"/>
        <w:rPr>
          <w:sz w:val="20"/>
          <w:szCs w:val="20"/>
          <w:color w:val="auto"/>
        </w:rPr>
      </w:pPr>
    </w:p>
    <w:p>
      <w:pPr>
        <w:ind w:left="620"/>
        <w:spacing w:after="0"/>
        <w:rPr>
          <w:sz w:val="20"/>
          <w:szCs w:val="20"/>
          <w:color w:val="auto"/>
        </w:rPr>
      </w:pPr>
      <w:r>
        <w:rPr>
          <w:rFonts w:ascii="Arial" w:cs="Arial" w:eastAsia="Arial" w:hAnsi="Arial"/>
          <w:sz w:val="21"/>
          <w:szCs w:val="21"/>
          <w:b w:val="1"/>
          <w:bCs w:val="1"/>
          <w:color w:val="auto"/>
        </w:rPr>
        <w:t>SECTION 1</w:t>
      </w:r>
      <w:r>
        <w:rPr>
          <w:rFonts w:ascii="Arial" w:cs="Arial" w:eastAsia="Arial" w:hAnsi="Arial"/>
          <w:sz w:val="21"/>
          <w:szCs w:val="21"/>
          <w:color w:val="auto"/>
        </w:rPr>
        <w:t>.</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Amendments.</w:t>
      </w:r>
      <w:r>
        <w:rPr>
          <w:rFonts w:ascii="Arial" w:cs="Arial" w:eastAsia="Arial" w:hAnsi="Arial"/>
          <w:sz w:val="21"/>
          <w:szCs w:val="21"/>
          <w:b w:val="1"/>
          <w:bCs w:val="1"/>
          <w:color w:val="auto"/>
        </w:rPr>
        <w:t xml:space="preserve"> </w:t>
      </w:r>
      <w:r>
        <w:rPr>
          <w:rFonts w:ascii="Arial" w:cs="Arial" w:eastAsia="Arial" w:hAnsi="Arial"/>
          <w:sz w:val="21"/>
          <w:szCs w:val="21"/>
          <w:color w:val="auto"/>
        </w:rPr>
        <w:t>Effective as of May 2, 2022, the Agreement is hereby amended as follows:</w:t>
      </w:r>
    </w:p>
    <w:p>
      <w:pPr>
        <w:spacing w:after="0" w:line="243" w:lineRule="exact"/>
        <w:rPr>
          <w:sz w:val="20"/>
          <w:szCs w:val="20"/>
          <w:color w:val="auto"/>
        </w:rPr>
      </w:pPr>
    </w:p>
    <w:p>
      <w:pPr>
        <w:jc w:val="both"/>
        <w:ind w:firstLine="624"/>
        <w:spacing w:after="0" w:line="242" w:lineRule="auto"/>
        <w:tabs>
          <w:tab w:leader="none" w:pos="906" w:val="left"/>
        </w:tabs>
        <w:numPr>
          <w:ilvl w:val="0"/>
          <w:numId w:val="92"/>
        </w:numPr>
        <w:rPr>
          <w:rFonts w:ascii="Arial" w:cs="Arial" w:eastAsia="Arial" w:hAnsi="Arial"/>
          <w:sz w:val="21"/>
          <w:szCs w:val="21"/>
          <w:color w:val="auto"/>
        </w:rPr>
      </w:pPr>
      <w:r>
        <w:rPr>
          <w:rFonts w:ascii="Arial" w:cs="Arial" w:eastAsia="Arial" w:hAnsi="Arial"/>
          <w:sz w:val="21"/>
          <w:szCs w:val="21"/>
          <w:color w:val="auto"/>
        </w:rPr>
        <w:t>The Agreement is hereby amended by adding the definitions of “Owner/Servicer Ancillary Income”, “Incentive Fees”, “Net Incentive Fees”, “Payment Convenience Fees” and “Second Amendment Effective Date” in the appropriate alphabetical order as follows:</w:t>
      </w:r>
    </w:p>
    <w:p>
      <w:pPr>
        <w:spacing w:after="0" w:line="174" w:lineRule="exact"/>
        <w:rPr>
          <w:sz w:val="20"/>
          <w:szCs w:val="20"/>
          <w:color w:val="auto"/>
        </w:rPr>
      </w:pPr>
    </w:p>
    <w:p>
      <w:pPr>
        <w:ind w:left="620" w:firstLine="620"/>
        <w:spacing w:after="0" w:line="253" w:lineRule="auto"/>
        <w:rPr>
          <w:sz w:val="20"/>
          <w:szCs w:val="20"/>
          <w:color w:val="auto"/>
        </w:rPr>
      </w:pPr>
      <w:r>
        <w:rPr>
          <w:rFonts w:ascii="Arial" w:cs="Arial" w:eastAsia="Arial" w:hAnsi="Arial"/>
          <w:sz w:val="21"/>
          <w:szCs w:val="21"/>
          <w:u w:val="single" w:color="auto"/>
          <w:color w:val="auto"/>
        </w:rPr>
        <w:t>Owner/Servicer Ancillary Income</w:t>
      </w:r>
      <w:r>
        <w:rPr>
          <w:rFonts w:ascii="Arial" w:cs="Arial" w:eastAsia="Arial" w:hAnsi="Arial"/>
          <w:sz w:val="21"/>
          <w:szCs w:val="21"/>
          <w:color w:val="auto"/>
        </w:rPr>
        <w:t>: An amount equal to [***] of the amount actually collected by Subservicer with respect to [***] derived from the Mortgage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color w:val="auto"/>
        </w:rPr>
        <w:t>Shellpoint – PHH Amend 2 to SSA FINAL (5-2-2022)(3)</w:t>
      </w:r>
    </w:p>
    <w:p>
      <w:pPr>
        <w:sectPr>
          <w:pgSz w:w="11900" w:h="16838" w:orient="portrait"/>
          <w:cols w:equalWidth="0" w:num="1">
            <w:col w:w="11240"/>
          </w:cols>
          <w:pgMar w:left="320" w:top="100" w:right="339" w:bottom="1440" w:gutter="0" w:footer="0" w:header="0"/>
        </w:sectPr>
      </w:pPr>
    </w:p>
    <w:bookmarkStart w:id="121" w:name="page122"/>
    <w:bookmarkEnd w:id="121"/>
    <w:p>
      <w:pPr>
        <w:spacing w:after="0" w:line="126" w:lineRule="exact"/>
        <w:rPr>
          <w:sz w:val="20"/>
          <w:szCs w:val="20"/>
          <w:color w:val="auto"/>
        </w:rPr>
      </w:pPr>
    </w:p>
    <w:p>
      <w:pPr>
        <w:jc w:val="both"/>
        <w:ind w:left="620" w:firstLine="620"/>
        <w:spacing w:after="0" w:line="239" w:lineRule="auto"/>
        <w:rPr>
          <w:sz w:val="20"/>
          <w:szCs w:val="20"/>
          <w:color w:val="auto"/>
        </w:rPr>
      </w:pPr>
      <w:r>
        <w:rPr>
          <w:rFonts w:ascii="Arial" w:cs="Arial" w:eastAsia="Arial" w:hAnsi="Arial"/>
          <w:sz w:val="21"/>
          <w:szCs w:val="21"/>
          <w:u w:val="single" w:color="auto"/>
          <w:color w:val="auto"/>
        </w:rPr>
        <w:t>Incentive Fees</w:t>
      </w:r>
      <w:r>
        <w:rPr>
          <w:rFonts w:ascii="Arial" w:cs="Arial" w:eastAsia="Arial" w:hAnsi="Arial"/>
          <w:sz w:val="21"/>
          <w:szCs w:val="21"/>
          <w:color w:val="auto"/>
        </w:rPr>
        <w:t>: Loss mitigation, loan modification or other such incentive fees payable by third parties to Subservicer (in connection with HAMP, or other incentive fees associated with private label securities) in connection with any Mortgage Loan, in any case to the extent not exceeding or violating any applicable amounts or limitations under Applicable Requirements.</w:t>
      </w:r>
    </w:p>
    <w:p>
      <w:pPr>
        <w:spacing w:after="0" w:line="188" w:lineRule="exact"/>
        <w:rPr>
          <w:sz w:val="20"/>
          <w:szCs w:val="20"/>
          <w:color w:val="auto"/>
        </w:rPr>
      </w:pPr>
    </w:p>
    <w:p>
      <w:pPr>
        <w:jc w:val="both"/>
        <w:ind w:left="620" w:firstLine="620"/>
        <w:spacing w:after="0" w:line="253" w:lineRule="auto"/>
        <w:rPr>
          <w:sz w:val="20"/>
          <w:szCs w:val="20"/>
          <w:color w:val="auto"/>
        </w:rPr>
      </w:pPr>
      <w:r>
        <w:rPr>
          <w:rFonts w:ascii="Arial" w:cs="Arial" w:eastAsia="Arial" w:hAnsi="Arial"/>
          <w:sz w:val="21"/>
          <w:szCs w:val="21"/>
          <w:u w:val="single" w:color="auto"/>
          <w:color w:val="auto"/>
        </w:rPr>
        <w:t>Net Incentive Fees</w:t>
      </w:r>
      <w:r>
        <w:rPr>
          <w:rFonts w:ascii="Arial" w:cs="Arial" w:eastAsia="Arial" w:hAnsi="Arial"/>
          <w:sz w:val="21"/>
          <w:szCs w:val="21"/>
          <w:color w:val="auto"/>
        </w:rPr>
        <w:t xml:space="preserve"> : Incentive Fees actually collected and retained by Subservicer, net of Subservicer’s associated direct costs related to earning or otherwise becoming entitled to such incentive fees [***].</w:t>
      </w:r>
    </w:p>
    <w:p>
      <w:pPr>
        <w:spacing w:after="0" w:line="163" w:lineRule="exact"/>
        <w:rPr>
          <w:sz w:val="20"/>
          <w:szCs w:val="20"/>
          <w:color w:val="auto"/>
        </w:rPr>
      </w:pPr>
    </w:p>
    <w:p>
      <w:pPr>
        <w:jc w:val="both"/>
        <w:ind w:left="620" w:firstLine="620"/>
        <w:spacing w:after="0" w:line="242" w:lineRule="auto"/>
        <w:rPr>
          <w:sz w:val="20"/>
          <w:szCs w:val="20"/>
          <w:color w:val="auto"/>
        </w:rPr>
      </w:pPr>
      <w:r>
        <w:rPr>
          <w:rFonts w:ascii="Arial" w:cs="Arial" w:eastAsia="Arial" w:hAnsi="Arial"/>
          <w:sz w:val="21"/>
          <w:szCs w:val="21"/>
          <w:u w:val="single" w:color="auto"/>
          <w:color w:val="auto"/>
        </w:rPr>
        <w:t>Payment Convenience Fees</w:t>
      </w:r>
      <w:r>
        <w:rPr>
          <w:rFonts w:ascii="Arial" w:cs="Arial" w:eastAsia="Arial" w:hAnsi="Arial"/>
          <w:sz w:val="21"/>
          <w:szCs w:val="21"/>
          <w:color w:val="auto"/>
        </w:rPr>
        <w:t>: Fees charged to borrowers for utilizing optional payment methods including making a payment over the telephone with the assistance of Subservicer’s agent, making a payment utilizing Subservicer’s automated telephony system, and making a payment utilizing Subservicer’s website.</w:t>
      </w:r>
    </w:p>
    <w:p>
      <w:pPr>
        <w:spacing w:after="0" w:line="174" w:lineRule="exact"/>
        <w:rPr>
          <w:sz w:val="20"/>
          <w:szCs w:val="20"/>
          <w:color w:val="auto"/>
        </w:rPr>
      </w:pPr>
    </w:p>
    <w:p>
      <w:pPr>
        <w:ind w:left="1240"/>
        <w:spacing w:after="0"/>
        <w:rPr>
          <w:sz w:val="20"/>
          <w:szCs w:val="20"/>
          <w:color w:val="auto"/>
        </w:rPr>
      </w:pPr>
      <w:r>
        <w:rPr>
          <w:rFonts w:ascii="Arial" w:cs="Arial" w:eastAsia="Arial" w:hAnsi="Arial"/>
          <w:sz w:val="21"/>
          <w:szCs w:val="21"/>
          <w:u w:val="single" w:color="auto"/>
          <w:color w:val="auto"/>
        </w:rPr>
        <w:t>Third Amendment Effective Date</w:t>
      </w:r>
      <w:r>
        <w:rPr>
          <w:rFonts w:ascii="Arial" w:cs="Arial" w:eastAsia="Arial" w:hAnsi="Arial"/>
          <w:sz w:val="21"/>
          <w:szCs w:val="21"/>
          <w:color w:val="auto"/>
        </w:rPr>
        <w:t>: May 2, 2022.</w:t>
      </w:r>
    </w:p>
    <w:p>
      <w:pPr>
        <w:spacing w:after="0" w:line="198" w:lineRule="exact"/>
        <w:rPr>
          <w:sz w:val="20"/>
          <w:szCs w:val="20"/>
          <w:color w:val="auto"/>
        </w:rPr>
      </w:pPr>
    </w:p>
    <w:p>
      <w:pPr>
        <w:ind w:left="620"/>
        <w:spacing w:after="0"/>
        <w:tabs>
          <w:tab w:leader="none" w:pos="1040" w:val="left"/>
        </w:tabs>
        <w:rPr>
          <w:sz w:val="20"/>
          <w:szCs w:val="20"/>
          <w:color w:val="auto"/>
        </w:rPr>
      </w:pPr>
      <w:r>
        <w:rPr>
          <w:rFonts w:ascii="Arial" w:cs="Arial" w:eastAsia="Arial" w:hAnsi="Arial"/>
          <w:sz w:val="21"/>
          <w:szCs w:val="21"/>
          <w:color w:val="auto"/>
        </w:rPr>
        <w:t>(b)</w:t>
      </w:r>
      <w:r>
        <w:rPr>
          <w:sz w:val="20"/>
          <w:szCs w:val="20"/>
          <w:color w:val="auto"/>
        </w:rPr>
        <w:tab/>
      </w:r>
      <w:r>
        <w:rPr>
          <w:rFonts w:ascii="Arial" w:cs="Arial" w:eastAsia="Arial" w:hAnsi="Arial"/>
          <w:sz w:val="19"/>
          <w:szCs w:val="19"/>
          <w:color w:val="auto"/>
        </w:rPr>
        <w:t>The Agreement is hereby amended by deleting the definition of “Ancillary Income” and replacing it with the following:</w:t>
      </w:r>
    </w:p>
    <w:p>
      <w:pPr>
        <w:spacing w:after="0" w:line="200" w:lineRule="exact"/>
        <w:rPr>
          <w:sz w:val="20"/>
          <w:szCs w:val="20"/>
          <w:color w:val="auto"/>
        </w:rPr>
      </w:pPr>
    </w:p>
    <w:p>
      <w:pPr>
        <w:spacing w:after="0" w:line="230" w:lineRule="exact"/>
        <w:rPr>
          <w:sz w:val="20"/>
          <w:szCs w:val="20"/>
          <w:color w:val="auto"/>
        </w:rPr>
      </w:pPr>
    </w:p>
    <w:p>
      <w:pPr>
        <w:jc w:val="both"/>
        <w:ind w:left="620"/>
        <w:spacing w:after="0" w:line="234" w:lineRule="auto"/>
        <w:rPr>
          <w:sz w:val="20"/>
          <w:szCs w:val="20"/>
          <w:color w:val="auto"/>
        </w:rPr>
      </w:pPr>
      <w:r>
        <w:rPr>
          <w:rFonts w:ascii="Arial" w:cs="Arial" w:eastAsia="Arial" w:hAnsi="Arial"/>
          <w:sz w:val="19"/>
          <w:szCs w:val="19"/>
          <w:u w:val="single" w:color="auto"/>
          <w:color w:val="auto"/>
        </w:rPr>
        <w:t>Ancillary Income</w:t>
      </w:r>
      <w:r>
        <w:rPr>
          <w:rFonts w:ascii="Arial" w:cs="Arial" w:eastAsia="Arial" w:hAnsi="Arial"/>
          <w:sz w:val="19"/>
          <w:szCs w:val="19"/>
          <w:color w:val="auto"/>
        </w:rPr>
        <w:t xml:space="preserve">: All income, fees, charges derived from the Mortgage Loans and REO Properties (other than (i) Servicing Compensation, (ii) any Float Benefit, (iii) any prepayment premiums attributable to the Mortgage Loans not payable to an Investor, (iv) any Downstream Ancillary Income and (v) Owner/Servicer Ancillary Income), which the Subservicer is entitled to collect (for the Owner/Servicer) solely from third parties (and not from the Owner/Servicer) under Applicable Requirements and </w:t>
      </w:r>
      <w:r>
        <w:rPr>
          <w:rFonts w:ascii="Arial" w:cs="Arial" w:eastAsia="Arial" w:hAnsi="Arial"/>
          <w:sz w:val="19"/>
          <w:szCs w:val="19"/>
          <w:u w:val="single" w:color="auto"/>
          <w:color w:val="auto"/>
        </w:rPr>
        <w:t>Section 4.1</w:t>
      </w:r>
      <w:r>
        <w:rPr>
          <w:rFonts w:ascii="Arial" w:cs="Arial" w:eastAsia="Arial" w:hAnsi="Arial"/>
          <w:sz w:val="19"/>
          <w:szCs w:val="19"/>
          <w:color w:val="auto"/>
        </w:rPr>
        <w:t>, including but not limited to late fees, Payment Convenient Fees, Incentive Fees (other than [***]), payoff fees, assumption fees, reinstatement fees, fees received with respect to checks on bank drafts returned by the related bank for insufficient funds, and similar types of fees arising from or in connection with any Mortgage Loan, in any case to the extent not exceeding or violating any applicable amounts or limitations under Applicable Requirements. In no event shall any Ancillary Income be paid from Owner/Servicer Economics, reimbursed Servicing Advances or reimbursed P&amp;I Advances.</w:t>
      </w:r>
    </w:p>
    <w:p>
      <w:pPr>
        <w:spacing w:after="0" w:line="163" w:lineRule="exact"/>
        <w:rPr>
          <w:sz w:val="20"/>
          <w:szCs w:val="20"/>
          <w:color w:val="auto"/>
        </w:rPr>
      </w:pPr>
    </w:p>
    <w:p>
      <w:pPr>
        <w:ind w:left="1140" w:hanging="516"/>
        <w:spacing w:after="0"/>
        <w:tabs>
          <w:tab w:leader="none" w:pos="1140" w:val="left"/>
        </w:tabs>
        <w:numPr>
          <w:ilvl w:val="0"/>
          <w:numId w:val="93"/>
        </w:numPr>
        <w:rPr>
          <w:rFonts w:ascii="Arial" w:cs="Arial" w:eastAsia="Arial" w:hAnsi="Arial"/>
          <w:sz w:val="19"/>
          <w:szCs w:val="19"/>
          <w:color w:val="auto"/>
        </w:rPr>
      </w:pPr>
      <w:r>
        <w:rPr>
          <w:rFonts w:ascii="Arial" w:cs="Arial" w:eastAsia="Arial" w:hAnsi="Arial"/>
          <w:sz w:val="19"/>
          <w:szCs w:val="19"/>
          <w:color w:val="auto"/>
        </w:rPr>
        <w:t>The Agreement is hereby amended by deleting the definition of “Effective Date of Termination” and replacing it with the</w:t>
      </w:r>
    </w:p>
    <w:p>
      <w:pPr>
        <w:spacing w:after="0" w:line="3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1"/>
          <w:szCs w:val="21"/>
          <w:color w:val="auto"/>
        </w:rPr>
        <w:t>following:</w:t>
      </w:r>
    </w:p>
    <w:p>
      <w:pPr>
        <w:spacing w:after="0" w:line="193" w:lineRule="exact"/>
        <w:rPr>
          <w:sz w:val="20"/>
          <w:szCs w:val="20"/>
          <w:color w:val="auto"/>
        </w:rPr>
      </w:pPr>
    </w:p>
    <w:p>
      <w:pPr>
        <w:jc w:val="both"/>
        <w:ind w:left="620"/>
        <w:spacing w:after="0" w:line="227" w:lineRule="auto"/>
        <w:rPr>
          <w:sz w:val="20"/>
          <w:szCs w:val="20"/>
          <w:color w:val="auto"/>
        </w:rPr>
      </w:pPr>
      <w:r>
        <w:rPr>
          <w:rFonts w:ascii="Arial" w:cs="Arial" w:eastAsia="Arial" w:hAnsi="Arial"/>
          <w:sz w:val="20"/>
          <w:szCs w:val="20"/>
          <w:u w:val="single" w:color="auto"/>
          <w:color w:val="auto"/>
        </w:rPr>
        <w:t>Effective Date of Termination</w:t>
      </w:r>
      <w:r>
        <w:rPr>
          <w:rFonts w:ascii="Arial" w:cs="Arial" w:eastAsia="Arial" w:hAnsi="Arial"/>
          <w:sz w:val="20"/>
          <w:szCs w:val="20"/>
          <w:color w:val="auto"/>
        </w:rPr>
        <w:t>: With respect to the termination of Subservicer, (i) if terminated pursuant to Section 5.1(b), as of 11:59 pm ET of the last day of the then-current term and (ii) if terminated pursuant to Section 5.1(d) or Section 5.3, the date Owner/Servicer notifies Subservicer of its termination. With respect to a termination of Owner/Servicer, (i) if terminated pursuant to Section 5.1(c), as of 11:59 pm ET of the last day of the then-current term and (ii) if terminated pursuant to Section 5.6, the date Subservicer notifies Owner/Servicer of the termination of the Owner/Servicer.</w:t>
      </w:r>
    </w:p>
    <w:p>
      <w:pPr>
        <w:spacing w:after="0" w:line="166" w:lineRule="exact"/>
        <w:rPr>
          <w:sz w:val="20"/>
          <w:szCs w:val="20"/>
          <w:color w:val="auto"/>
        </w:rPr>
      </w:pPr>
    </w:p>
    <w:p>
      <w:pPr>
        <w:ind w:left="1140" w:hanging="516"/>
        <w:spacing w:after="0"/>
        <w:tabs>
          <w:tab w:leader="none" w:pos="1140" w:val="left"/>
        </w:tabs>
        <w:numPr>
          <w:ilvl w:val="0"/>
          <w:numId w:val="94"/>
        </w:numPr>
        <w:rPr>
          <w:rFonts w:ascii="Arial" w:cs="Arial" w:eastAsia="Arial" w:hAnsi="Arial"/>
          <w:sz w:val="19"/>
          <w:szCs w:val="19"/>
          <w:color w:val="auto"/>
        </w:rPr>
      </w:pPr>
      <w:r>
        <w:rPr>
          <w:rFonts w:ascii="Arial" w:cs="Arial" w:eastAsia="Arial" w:hAnsi="Arial"/>
          <w:sz w:val="19"/>
          <w:szCs w:val="19"/>
          <w:color w:val="auto"/>
        </w:rPr>
        <w:t>The Agreement is hereby amended by deleting the definition of “Owner/Servicer Economics” and replacing it with the</w:t>
      </w:r>
    </w:p>
    <w:p>
      <w:pPr>
        <w:spacing w:after="0" w:line="3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1"/>
          <w:szCs w:val="21"/>
          <w:color w:val="auto"/>
        </w:rPr>
        <w:t>following:</w:t>
      </w:r>
    </w:p>
    <w:p>
      <w:pPr>
        <w:spacing w:after="0" w:line="193" w:lineRule="exact"/>
        <w:rPr>
          <w:sz w:val="20"/>
          <w:szCs w:val="20"/>
          <w:color w:val="auto"/>
        </w:rPr>
      </w:pPr>
    </w:p>
    <w:p>
      <w:pPr>
        <w:ind w:left="620"/>
        <w:spacing w:after="0" w:line="234" w:lineRule="auto"/>
        <w:rPr>
          <w:sz w:val="20"/>
          <w:szCs w:val="20"/>
          <w:color w:val="auto"/>
        </w:rPr>
      </w:pPr>
      <w:r>
        <w:rPr>
          <w:rFonts w:ascii="Arial" w:cs="Arial" w:eastAsia="Arial" w:hAnsi="Arial"/>
          <w:sz w:val="21"/>
          <w:szCs w:val="21"/>
          <w:u w:val="single" w:color="auto"/>
          <w:color w:val="auto"/>
        </w:rPr>
        <w:t>Owner/Servicer Economics</w:t>
      </w:r>
      <w:r>
        <w:rPr>
          <w:rFonts w:ascii="Arial" w:cs="Arial" w:eastAsia="Arial" w:hAnsi="Arial"/>
          <w:sz w:val="21"/>
          <w:szCs w:val="21"/>
          <w:color w:val="auto"/>
        </w:rPr>
        <w:t>: The sum of the following, without duplication, (i) all Servicing Compensation payable to the Owner/Servicer as servicer of the Mortgage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w:t>
      </w:r>
    </w:p>
    <w:p>
      <w:pPr>
        <w:spacing w:after="0"/>
        <w:rPr>
          <w:sz w:val="20"/>
          <w:szCs w:val="20"/>
          <w:color w:val="auto"/>
        </w:rPr>
      </w:pPr>
      <w:r>
        <w:rPr>
          <w:rFonts w:ascii="Arial" w:cs="Arial" w:eastAsia="Arial" w:hAnsi="Arial"/>
          <w:sz w:val="16"/>
          <w:szCs w:val="16"/>
          <w:color w:val="auto"/>
        </w:rPr>
        <w:t>Shellpoint – PHH Amend 2 to SSA FINAL (5-2-2022)(3)</w:t>
      </w:r>
    </w:p>
    <w:p>
      <w:pPr>
        <w:sectPr>
          <w:pgSz w:w="11900" w:h="16838" w:orient="portrait"/>
          <w:cols w:equalWidth="0" w:num="1">
            <w:col w:w="11240"/>
          </w:cols>
          <w:pgMar w:left="320" w:top="1440" w:right="339" w:bottom="1440" w:gutter="0" w:footer="0" w:header="0"/>
        </w:sectPr>
      </w:pPr>
    </w:p>
    <w:bookmarkStart w:id="122" w:name="page123"/>
    <w:bookmarkEnd w:id="122"/>
    <w:p>
      <w:pPr>
        <w:jc w:val="both"/>
        <w:ind w:left="620"/>
        <w:spacing w:after="0" w:line="250" w:lineRule="auto"/>
        <w:rPr>
          <w:sz w:val="20"/>
          <w:szCs w:val="20"/>
          <w:color w:val="auto"/>
        </w:rPr>
      </w:pPr>
      <w:r>
        <w:rPr>
          <w:rFonts w:ascii="Arial" w:cs="Arial" w:eastAsia="Arial" w:hAnsi="Arial"/>
          <w:sz w:val="18"/>
          <w:szCs w:val="18"/>
          <w:color w:val="auto"/>
        </w:rPr>
        <w:t xml:space="preserve">Loans under the applicable Servicing Agreement and/or received during the applicable Investor accounting cycle, (ii) all amounts payable to the Owner/Servicer as the Investor of any Mortgage Loans during the related collection period, (iii) all recoveries on the Mortgage Loans of Servicing Advances and P&amp;I Advances previously funded or reimbursed by the Owner/Servicer to the Subservicer or the prior servicer, (iv) if positive, the excess of all penalties assessed pursuant to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2.7(d)</w:t>
      </w:r>
      <w:r>
        <w:rPr>
          <w:rFonts w:ascii="Arial" w:cs="Arial" w:eastAsia="Arial" w:hAnsi="Arial"/>
          <w:sz w:val="18"/>
          <w:szCs w:val="18"/>
          <w:color w:val="auto"/>
        </w:rPr>
        <w:t xml:space="preserve"> minus all bonuses payable pursuant to </w:t>
      </w:r>
      <w:r>
        <w:rPr>
          <w:rFonts w:ascii="Arial" w:cs="Arial" w:eastAsia="Arial" w:hAnsi="Arial"/>
          <w:sz w:val="18"/>
          <w:szCs w:val="18"/>
          <w:u w:val="single" w:color="auto"/>
          <w:color w:val="auto"/>
        </w:rPr>
        <w:t>Section 2.7(d)</w:t>
      </w:r>
      <w:r>
        <w:rPr>
          <w:rFonts w:ascii="Arial" w:cs="Arial" w:eastAsia="Arial" w:hAnsi="Arial"/>
          <w:sz w:val="18"/>
          <w:szCs w:val="18"/>
          <w:color w:val="auto"/>
        </w:rPr>
        <w:t xml:space="preserve">, (v) all Owner/Servicer Ancillary Income (provided that, notwithstanding Section 2.8(f), it being agreed that such amounts shall be remitted monthly) and (vi) all other outstanding amounts collected and payable to the Owner/Servicer under this Agreement (including Float Benefit pursuant to </w:t>
      </w:r>
      <w:r>
        <w:rPr>
          <w:rFonts w:ascii="Arial" w:cs="Arial" w:eastAsia="Arial" w:hAnsi="Arial"/>
          <w:sz w:val="18"/>
          <w:szCs w:val="18"/>
          <w:u w:val="single" w:color="auto"/>
          <w:color w:val="auto"/>
        </w:rPr>
        <w:t>Section 2.8(h)</w:t>
      </w:r>
      <w:r>
        <w:rPr>
          <w:rFonts w:ascii="Arial" w:cs="Arial" w:eastAsia="Arial" w:hAnsi="Arial"/>
          <w:sz w:val="18"/>
          <w:szCs w:val="18"/>
          <w:color w:val="auto"/>
        </w:rPr>
        <w:t>).</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060" w:type="dxa"/>
            <w:vAlign w:val="bottom"/>
          </w:tcPr>
          <w:p>
            <w:pPr>
              <w:ind w:left="620"/>
              <w:spacing w:after="0"/>
              <w:rPr>
                <w:sz w:val="20"/>
                <w:szCs w:val="20"/>
                <w:color w:val="auto"/>
              </w:rPr>
            </w:pPr>
            <w:r>
              <w:rPr>
                <w:rFonts w:ascii="Arial" w:cs="Arial" w:eastAsia="Arial" w:hAnsi="Arial"/>
                <w:sz w:val="21"/>
                <w:szCs w:val="21"/>
                <w:color w:val="auto"/>
              </w:rPr>
              <w:t>(e)</w:t>
            </w:r>
          </w:p>
        </w:tc>
        <w:tc>
          <w:tcPr>
            <w:tcW w:w="10180" w:type="dxa"/>
            <w:vAlign w:val="bottom"/>
            <w:gridSpan w:val="5"/>
          </w:tcPr>
          <w:p>
            <w:pPr>
              <w:ind w:left="180"/>
              <w:spacing w:after="0"/>
              <w:rPr>
                <w:sz w:val="20"/>
                <w:szCs w:val="20"/>
                <w:color w:val="auto"/>
              </w:rPr>
            </w:pPr>
            <w:r>
              <w:rPr>
                <w:rFonts w:ascii="Arial" w:cs="Arial" w:eastAsia="Arial" w:hAnsi="Arial"/>
                <w:sz w:val="21"/>
                <w:szCs w:val="21"/>
                <w:color w:val="auto"/>
                <w:w w:val="94"/>
              </w:rPr>
              <w:t>The Agreement is hereby amended by deleting the last four rows in the table in Exhibit C-1 (Termination Fee) and</w:t>
            </w:r>
          </w:p>
        </w:tc>
      </w:tr>
      <w:tr>
        <w:trPr>
          <w:trHeight w:val="264"/>
        </w:trPr>
        <w:tc>
          <w:tcPr>
            <w:tcW w:w="3580" w:type="dxa"/>
            <w:vAlign w:val="bottom"/>
            <w:gridSpan w:val="3"/>
          </w:tcPr>
          <w:p>
            <w:pPr>
              <w:spacing w:after="0"/>
              <w:rPr>
                <w:sz w:val="20"/>
                <w:szCs w:val="20"/>
                <w:color w:val="auto"/>
              </w:rPr>
            </w:pPr>
            <w:r>
              <w:rPr>
                <w:rFonts w:ascii="Arial" w:cs="Arial" w:eastAsia="Arial" w:hAnsi="Arial"/>
                <w:sz w:val="21"/>
                <w:szCs w:val="21"/>
                <w:color w:val="auto"/>
              </w:rPr>
              <w:t>replacing with the following:</w:t>
            </w:r>
          </w:p>
        </w:tc>
        <w:tc>
          <w:tcPr>
            <w:tcW w:w="12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5200" w:type="dxa"/>
            <w:vAlign w:val="bottom"/>
          </w:tcPr>
          <w:p>
            <w:pPr>
              <w:spacing w:after="0"/>
              <w:rPr>
                <w:sz w:val="22"/>
                <w:szCs w:val="22"/>
                <w:color w:val="auto"/>
              </w:rPr>
            </w:pPr>
          </w:p>
        </w:tc>
      </w:tr>
      <w:tr>
        <w:trPr>
          <w:trHeight w:val="455"/>
        </w:trPr>
        <w:tc>
          <w:tcPr>
            <w:tcW w:w="10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5200" w:type="dxa"/>
            <w:vAlign w:val="bottom"/>
          </w:tcPr>
          <w:p>
            <w:pPr>
              <w:spacing w:after="0"/>
              <w:rPr>
                <w:sz w:val="24"/>
                <w:szCs w:val="24"/>
                <w:color w:val="auto"/>
              </w:rPr>
            </w:pPr>
          </w:p>
        </w:tc>
      </w:tr>
      <w:tr>
        <w:trPr>
          <w:trHeight w:val="251"/>
        </w:trPr>
        <w:tc>
          <w:tcPr>
            <w:tcW w:w="1060" w:type="dxa"/>
            <w:vAlign w:val="bottom"/>
          </w:tcPr>
          <w:p>
            <w:pPr>
              <w:spacing w:after="0"/>
              <w:rPr>
                <w:sz w:val="21"/>
                <w:szCs w:val="21"/>
                <w:color w:val="auto"/>
              </w:rPr>
            </w:pPr>
          </w:p>
        </w:tc>
        <w:tc>
          <w:tcPr>
            <w:tcW w:w="1340" w:type="dxa"/>
            <w:vAlign w:val="bottom"/>
            <w:tcBorders>
              <w:right w:val="single" w:sz="8" w:color="auto"/>
            </w:tcBorders>
          </w:tcPr>
          <w:p>
            <w:pPr>
              <w:spacing w:after="0"/>
              <w:rPr>
                <w:sz w:val="21"/>
                <w:szCs w:val="21"/>
                <w:color w:val="auto"/>
              </w:rPr>
            </w:pP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1"/>
                <w:szCs w:val="21"/>
                <w:b w:val="1"/>
                <w:bCs w:val="1"/>
                <w:color w:val="auto"/>
              </w:rPr>
              <w:t>Period</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1"/>
                <w:szCs w:val="21"/>
                <w:b w:val="1"/>
                <w:bCs w:val="1"/>
                <w:color w:val="auto"/>
              </w:rPr>
              <w:t>Primary</w:t>
            </w:r>
          </w:p>
        </w:tc>
        <w:tc>
          <w:tcPr>
            <w:tcW w:w="1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1"/>
                <w:szCs w:val="21"/>
                <w:b w:val="1"/>
                <w:bCs w:val="1"/>
                <w:color w:val="auto"/>
              </w:rPr>
              <w:t>Master</w:t>
            </w:r>
          </w:p>
        </w:tc>
        <w:tc>
          <w:tcPr>
            <w:tcW w:w="5200" w:type="dxa"/>
            <w:vAlign w:val="bottom"/>
          </w:tcPr>
          <w:p>
            <w:pPr>
              <w:spacing w:after="0"/>
              <w:rPr>
                <w:sz w:val="21"/>
                <w:szCs w:val="21"/>
                <w:color w:val="auto"/>
              </w:rPr>
            </w:pPr>
          </w:p>
        </w:tc>
      </w:tr>
      <w:tr>
        <w:trPr>
          <w:trHeight w:val="191"/>
        </w:trPr>
        <w:tc>
          <w:tcPr>
            <w:tcW w:w="1060" w:type="dxa"/>
            <w:vAlign w:val="bottom"/>
          </w:tcPr>
          <w:p>
            <w:pPr>
              <w:spacing w:after="0"/>
              <w:rPr>
                <w:sz w:val="16"/>
                <w:szCs w:val="16"/>
                <w:color w:val="auto"/>
              </w:rPr>
            </w:pPr>
          </w:p>
        </w:tc>
        <w:tc>
          <w:tcPr>
            <w:tcW w:w="1340" w:type="dxa"/>
            <w:vAlign w:val="bottom"/>
            <w:tcBorders>
              <w:right w:val="single" w:sz="8" w:color="auto"/>
            </w:tcBorders>
          </w:tcPr>
          <w:p>
            <w:pPr>
              <w:spacing w:after="0"/>
              <w:rPr>
                <w:sz w:val="16"/>
                <w:szCs w:val="16"/>
                <w:color w:val="auto"/>
              </w:rPr>
            </w:pPr>
          </w:p>
        </w:tc>
        <w:tc>
          <w:tcPr>
            <w:tcW w:w="1180" w:type="dxa"/>
            <w:vAlign w:val="bottom"/>
            <w:tcBorders>
              <w:right w:val="single" w:sz="8" w:color="auto"/>
            </w:tcBorders>
          </w:tcPr>
          <w:p>
            <w:pPr>
              <w:ind w:left="20"/>
              <w:spacing w:after="0" w:line="192" w:lineRule="exact"/>
              <w:rPr>
                <w:sz w:val="20"/>
                <w:szCs w:val="20"/>
                <w:color w:val="auto"/>
              </w:rPr>
            </w:pPr>
            <w:r>
              <w:rPr>
                <w:rFonts w:ascii="Arial" w:cs="Arial" w:eastAsia="Arial" w:hAnsi="Arial"/>
                <w:sz w:val="21"/>
                <w:szCs w:val="21"/>
                <w:color w:val="auto"/>
              </w:rPr>
              <w:t>May-22 &amp;</w:t>
            </w:r>
          </w:p>
        </w:tc>
        <w:tc>
          <w:tcPr>
            <w:tcW w:w="1260" w:type="dxa"/>
            <w:vAlign w:val="bottom"/>
            <w:tcBorders>
              <w:right w:val="single" w:sz="8" w:color="auto"/>
            </w:tcBorders>
          </w:tcPr>
          <w:p>
            <w:pPr>
              <w:ind w:left="20"/>
              <w:spacing w:after="0" w:line="192" w:lineRule="exact"/>
              <w:rPr>
                <w:sz w:val="20"/>
                <w:szCs w:val="20"/>
                <w:color w:val="auto"/>
              </w:rPr>
            </w:pPr>
            <w:r>
              <w:rPr>
                <w:rFonts w:ascii="Arial" w:cs="Arial" w:eastAsia="Arial" w:hAnsi="Arial"/>
                <w:sz w:val="21"/>
                <w:szCs w:val="21"/>
                <w:color w:val="auto"/>
              </w:rPr>
              <w:t>0</w:t>
            </w:r>
          </w:p>
        </w:tc>
        <w:tc>
          <w:tcPr>
            <w:tcW w:w="1200" w:type="dxa"/>
            <w:vAlign w:val="bottom"/>
            <w:tcBorders>
              <w:right w:val="single" w:sz="8" w:color="auto"/>
            </w:tcBorders>
          </w:tcPr>
          <w:p>
            <w:pPr>
              <w:ind w:left="20"/>
              <w:spacing w:after="0" w:line="192" w:lineRule="exact"/>
              <w:rPr>
                <w:sz w:val="20"/>
                <w:szCs w:val="20"/>
                <w:color w:val="auto"/>
              </w:rPr>
            </w:pPr>
            <w:r>
              <w:rPr>
                <w:rFonts w:ascii="Arial" w:cs="Arial" w:eastAsia="Arial" w:hAnsi="Arial"/>
                <w:sz w:val="21"/>
                <w:szCs w:val="21"/>
                <w:color w:val="auto"/>
              </w:rPr>
              <w:t>0</w:t>
            </w:r>
          </w:p>
        </w:tc>
        <w:tc>
          <w:tcPr>
            <w:tcW w:w="5200" w:type="dxa"/>
            <w:vAlign w:val="bottom"/>
          </w:tcPr>
          <w:p>
            <w:pPr>
              <w:spacing w:after="0"/>
              <w:rPr>
                <w:sz w:val="16"/>
                <w:szCs w:val="16"/>
                <w:color w:val="auto"/>
              </w:rPr>
            </w:pPr>
          </w:p>
        </w:tc>
      </w:tr>
      <w:tr>
        <w:trPr>
          <w:trHeight w:val="266"/>
        </w:trPr>
        <w:tc>
          <w:tcPr>
            <w:tcW w:w="1060" w:type="dxa"/>
            <w:vAlign w:val="bottom"/>
          </w:tcPr>
          <w:p>
            <w:pPr>
              <w:spacing w:after="0"/>
              <w:rPr>
                <w:sz w:val="23"/>
                <w:szCs w:val="23"/>
                <w:color w:val="auto"/>
              </w:rPr>
            </w:pPr>
          </w:p>
        </w:tc>
        <w:tc>
          <w:tcPr>
            <w:tcW w:w="1340" w:type="dxa"/>
            <w:vAlign w:val="bottom"/>
            <w:tcBorders>
              <w:right w:val="single" w:sz="8" w:color="auto"/>
            </w:tcBorders>
          </w:tcPr>
          <w:p>
            <w:pPr>
              <w:spacing w:after="0"/>
              <w:rPr>
                <w:sz w:val="23"/>
                <w:szCs w:val="23"/>
                <w:color w:val="auto"/>
              </w:rPr>
            </w:pP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1"/>
                <w:szCs w:val="21"/>
                <w:color w:val="auto"/>
              </w:rPr>
              <w:t>After</w:t>
            </w:r>
          </w:p>
        </w:tc>
        <w:tc>
          <w:tcPr>
            <w:tcW w:w="1260" w:type="dxa"/>
            <w:vAlign w:val="bottom"/>
            <w:tcBorders>
              <w:bottom w:val="single" w:sz="8" w:color="auto"/>
              <w:right w:val="single" w:sz="8" w:color="auto"/>
            </w:tcBorders>
          </w:tcPr>
          <w:p>
            <w:pPr>
              <w:spacing w:after="0"/>
              <w:rPr>
                <w:sz w:val="23"/>
                <w:szCs w:val="23"/>
                <w:color w:val="auto"/>
              </w:rPr>
            </w:pPr>
          </w:p>
        </w:tc>
        <w:tc>
          <w:tcPr>
            <w:tcW w:w="1200" w:type="dxa"/>
            <w:vAlign w:val="bottom"/>
            <w:tcBorders>
              <w:bottom w:val="single" w:sz="8" w:color="auto"/>
              <w:right w:val="single" w:sz="8" w:color="auto"/>
            </w:tcBorders>
          </w:tcPr>
          <w:p>
            <w:pPr>
              <w:spacing w:after="0"/>
              <w:rPr>
                <w:sz w:val="23"/>
                <w:szCs w:val="23"/>
                <w:color w:val="auto"/>
              </w:rPr>
            </w:pPr>
          </w:p>
        </w:tc>
        <w:tc>
          <w:tcPr>
            <w:tcW w:w="5200" w:type="dxa"/>
            <w:vAlign w:val="bottom"/>
          </w:tcPr>
          <w:p>
            <w:pPr>
              <w:spacing w:after="0"/>
              <w:rPr>
                <w:sz w:val="23"/>
                <w:szCs w:val="23"/>
                <w:color w:val="auto"/>
              </w:rPr>
            </w:pPr>
          </w:p>
        </w:tc>
      </w:tr>
    </w:tbl>
    <w:p>
      <w:pPr>
        <w:spacing w:after="0" w:line="276" w:lineRule="exact"/>
        <w:rPr>
          <w:sz w:val="20"/>
          <w:szCs w:val="20"/>
          <w:color w:val="auto"/>
        </w:rPr>
      </w:pPr>
    </w:p>
    <w:p>
      <w:pPr>
        <w:jc w:val="both"/>
        <w:ind w:firstLine="620"/>
        <w:spacing w:after="0" w:line="253" w:lineRule="auto"/>
        <w:rPr>
          <w:sz w:val="20"/>
          <w:szCs w:val="20"/>
          <w:color w:val="auto"/>
        </w:rPr>
      </w:pPr>
      <w:r>
        <w:rPr>
          <w:rFonts w:ascii="Arial" w:cs="Arial" w:eastAsia="Arial" w:hAnsi="Arial"/>
          <w:sz w:val="21"/>
          <w:szCs w:val="21"/>
          <w:color w:val="auto"/>
        </w:rPr>
        <w:t>(f) The Agreement is hereby amended by deleting the last three rows in the table in Exhibit D (Exit Fee Percentage) and replacing such rows with the following:</w:t>
      </w:r>
    </w:p>
    <w:p>
      <w:pPr>
        <w:spacing w:after="0" w:line="200" w:lineRule="exact"/>
        <w:rPr>
          <w:sz w:val="20"/>
          <w:szCs w:val="20"/>
          <w:color w:val="auto"/>
        </w:rPr>
      </w:pPr>
    </w:p>
    <w:p>
      <w:pPr>
        <w:spacing w:after="0" w:line="222" w:lineRule="exact"/>
        <w:rPr>
          <w:sz w:val="20"/>
          <w:szCs w:val="20"/>
          <w:color w:val="auto"/>
        </w:rPr>
      </w:pPr>
    </w:p>
    <w:tbl>
      <w:tblPr>
        <w:tblLayout w:type="fixed"/>
        <w:tblInd w:w="2570" w:type="dxa"/>
        <w:tblCellMar>
          <w:top w:w="0" w:type="dxa"/>
          <w:left w:w="0" w:type="dxa"/>
          <w:bottom w:w="0" w:type="dxa"/>
          <w:right w:w="0" w:type="dxa"/>
        </w:tblCellMar>
      </w:tblPr>
      <w:tr>
        <w:trPr>
          <w:trHeight w:val="207"/>
        </w:trPr>
        <w:tc>
          <w:tcPr>
            <w:tcW w:w="176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21"/>
                <w:szCs w:val="21"/>
                <w:b w:val="1"/>
                <w:bCs w:val="1"/>
                <w:color w:val="auto"/>
                <w:w w:val="88"/>
              </w:rPr>
              <w:t>Period</w:t>
            </w:r>
          </w:p>
        </w:tc>
        <w:tc>
          <w:tcPr>
            <w:tcW w:w="1700" w:type="dxa"/>
            <w:vAlign w:val="bottom"/>
            <w:tcBorders>
              <w:top w:val="single" w:sz="8" w:color="auto"/>
              <w:right w:val="single" w:sz="8" w:color="auto"/>
            </w:tcBorders>
          </w:tcPr>
          <w:p>
            <w:pPr>
              <w:jc w:val="center"/>
              <w:spacing w:after="0" w:line="207" w:lineRule="exact"/>
              <w:rPr>
                <w:sz w:val="20"/>
                <w:szCs w:val="20"/>
                <w:color w:val="auto"/>
              </w:rPr>
            </w:pPr>
            <w:r>
              <w:rPr>
                <w:rFonts w:ascii="Arial" w:cs="Arial" w:eastAsia="Arial" w:hAnsi="Arial"/>
                <w:sz w:val="21"/>
                <w:szCs w:val="21"/>
                <w:b w:val="1"/>
                <w:bCs w:val="1"/>
                <w:color w:val="auto"/>
                <w:w w:val="91"/>
              </w:rPr>
              <w:t>Exit Fee</w:t>
            </w:r>
          </w:p>
        </w:tc>
        <w:tc>
          <w:tcPr>
            <w:tcW w:w="0" w:type="dxa"/>
            <w:vAlign w:val="bottom"/>
          </w:tcPr>
          <w:p>
            <w:pPr>
              <w:spacing w:after="0"/>
              <w:rPr>
                <w:sz w:val="1"/>
                <w:szCs w:val="1"/>
                <w:color w:val="auto"/>
              </w:rPr>
            </w:pPr>
          </w:p>
        </w:tc>
      </w:tr>
      <w:tr>
        <w:trPr>
          <w:trHeight w:val="207"/>
        </w:trPr>
        <w:tc>
          <w:tcPr>
            <w:tcW w:w="1760" w:type="dxa"/>
            <w:vAlign w:val="bottom"/>
            <w:tcBorders>
              <w:left w:val="single" w:sz="8" w:color="auto"/>
              <w:right w:val="single" w:sz="8" w:color="auto"/>
            </w:tcBorders>
            <w:vMerge w:val="continue"/>
          </w:tcPr>
          <w:p>
            <w:pPr>
              <w:spacing w:after="0"/>
              <w:rPr>
                <w:sz w:val="17"/>
                <w:szCs w:val="17"/>
                <w:color w:val="auto"/>
              </w:rPr>
            </w:pPr>
          </w:p>
        </w:tc>
        <w:tc>
          <w:tcPr>
            <w:tcW w:w="1700" w:type="dxa"/>
            <w:vAlign w:val="bottom"/>
            <w:tcBorders>
              <w:right w:val="single" w:sz="8" w:color="auto"/>
            </w:tcBorders>
          </w:tcPr>
          <w:p>
            <w:pPr>
              <w:jc w:val="center"/>
              <w:spacing w:after="0" w:line="207" w:lineRule="exact"/>
              <w:rPr>
                <w:sz w:val="20"/>
                <w:szCs w:val="20"/>
                <w:color w:val="auto"/>
              </w:rPr>
            </w:pPr>
            <w:r>
              <w:rPr>
                <w:rFonts w:ascii="Arial" w:cs="Arial" w:eastAsia="Arial" w:hAnsi="Arial"/>
                <w:sz w:val="21"/>
                <w:szCs w:val="21"/>
                <w:b w:val="1"/>
                <w:bCs w:val="1"/>
                <w:color w:val="auto"/>
                <w:w w:val="85"/>
              </w:rPr>
              <w:t>Percentage (basis</w:t>
            </w:r>
          </w:p>
        </w:tc>
        <w:tc>
          <w:tcPr>
            <w:tcW w:w="0" w:type="dxa"/>
            <w:vAlign w:val="bottom"/>
          </w:tcPr>
          <w:p>
            <w:pPr>
              <w:spacing w:after="0"/>
              <w:rPr>
                <w:sz w:val="1"/>
                <w:szCs w:val="1"/>
                <w:color w:val="auto"/>
              </w:rPr>
            </w:pPr>
          </w:p>
        </w:tc>
      </w:tr>
      <w:tr>
        <w:trPr>
          <w:trHeight w:val="271"/>
        </w:trPr>
        <w:tc>
          <w:tcPr>
            <w:tcW w:w="1760" w:type="dxa"/>
            <w:vAlign w:val="bottom"/>
            <w:tcBorders>
              <w:left w:val="single" w:sz="8" w:color="auto"/>
              <w:bottom w:val="single" w:sz="8" w:color="auto"/>
              <w:right w:val="single" w:sz="8" w:color="auto"/>
            </w:tcBorders>
          </w:tcPr>
          <w:p>
            <w:pPr>
              <w:spacing w:after="0"/>
              <w:rPr>
                <w:sz w:val="23"/>
                <w:szCs w:val="23"/>
                <w:color w:val="auto"/>
              </w:rPr>
            </w:pP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1"/>
                <w:szCs w:val="21"/>
                <w:b w:val="1"/>
                <w:bCs w:val="1"/>
                <w:color w:val="auto"/>
                <w:w w:val="85"/>
              </w:rPr>
              <w:t>points)</w:t>
            </w:r>
          </w:p>
        </w:tc>
        <w:tc>
          <w:tcPr>
            <w:tcW w:w="0" w:type="dxa"/>
            <w:vAlign w:val="bottom"/>
          </w:tcPr>
          <w:p>
            <w:pPr>
              <w:spacing w:after="0"/>
              <w:rPr>
                <w:sz w:val="1"/>
                <w:szCs w:val="1"/>
                <w:color w:val="auto"/>
              </w:rPr>
            </w:pPr>
          </w:p>
        </w:tc>
      </w:tr>
      <w:tr>
        <w:trPr>
          <w:trHeight w:val="252"/>
        </w:trPr>
        <w:tc>
          <w:tcPr>
            <w:tcW w:w="17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1"/>
                <w:szCs w:val="21"/>
                <w:color w:val="auto"/>
                <w:w w:val="96"/>
              </w:rPr>
              <w:t>May–22 &amp; After</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1"/>
                <w:szCs w:val="21"/>
                <w:color w:val="auto"/>
                <w:w w:val="87"/>
              </w:rPr>
              <w:t>0.00</w:t>
            </w:r>
          </w:p>
        </w:tc>
        <w:tc>
          <w:tcPr>
            <w:tcW w:w="0" w:type="dxa"/>
            <w:vAlign w:val="bottom"/>
          </w:tcPr>
          <w:p>
            <w:pPr>
              <w:spacing w:after="0"/>
              <w:rPr>
                <w:sz w:val="1"/>
                <w:szCs w:val="1"/>
                <w:color w:val="auto"/>
              </w:rPr>
            </w:pPr>
          </w:p>
        </w:tc>
      </w:tr>
    </w:tbl>
    <w:p>
      <w:pPr>
        <w:spacing w:after="0" w:line="276" w:lineRule="exact"/>
        <w:rPr>
          <w:sz w:val="20"/>
          <w:szCs w:val="20"/>
          <w:color w:val="auto"/>
        </w:rPr>
      </w:pPr>
    </w:p>
    <w:p>
      <w:pPr>
        <w:ind w:left="1060" w:hanging="436"/>
        <w:spacing w:after="0"/>
        <w:tabs>
          <w:tab w:leader="none" w:pos="1060" w:val="left"/>
        </w:tabs>
        <w:numPr>
          <w:ilvl w:val="0"/>
          <w:numId w:val="95"/>
        </w:numPr>
        <w:rPr>
          <w:rFonts w:ascii="Arial" w:cs="Arial" w:eastAsia="Arial" w:hAnsi="Arial"/>
          <w:sz w:val="21"/>
          <w:szCs w:val="21"/>
          <w:color w:val="auto"/>
        </w:rPr>
      </w:pPr>
      <w:r>
        <w:rPr>
          <w:rFonts w:ascii="Arial" w:cs="Arial" w:eastAsia="Arial" w:hAnsi="Arial"/>
          <w:sz w:val="21"/>
          <w:szCs w:val="21"/>
          <w:color w:val="auto"/>
        </w:rPr>
        <w:t>The Agreement is hereby amended by deleting Section 5.1(a) and replacing it in its entirety with the following:</w:t>
      </w:r>
    </w:p>
    <w:p>
      <w:pPr>
        <w:spacing w:after="0" w:line="200" w:lineRule="exact"/>
        <w:rPr>
          <w:rFonts w:ascii="Arial" w:cs="Arial" w:eastAsia="Arial" w:hAnsi="Arial"/>
          <w:sz w:val="21"/>
          <w:szCs w:val="21"/>
          <w:color w:val="auto"/>
        </w:rPr>
      </w:pPr>
    </w:p>
    <w:p>
      <w:pPr>
        <w:spacing w:after="0" w:line="230" w:lineRule="exact"/>
        <w:rPr>
          <w:rFonts w:ascii="Arial" w:cs="Arial" w:eastAsia="Arial" w:hAnsi="Arial"/>
          <w:sz w:val="21"/>
          <w:szCs w:val="21"/>
          <w:color w:val="auto"/>
        </w:rPr>
      </w:pPr>
    </w:p>
    <w:p>
      <w:pPr>
        <w:jc w:val="both"/>
        <w:ind w:left="620" w:firstLine="624"/>
        <w:spacing w:after="0" w:line="220" w:lineRule="auto"/>
        <w:tabs>
          <w:tab w:leader="none" w:pos="1824" w:val="left"/>
        </w:tabs>
        <w:numPr>
          <w:ilvl w:val="1"/>
          <w:numId w:val="95"/>
        </w:numPr>
        <w:rPr>
          <w:rFonts w:ascii="Arial" w:cs="Arial" w:eastAsia="Arial" w:hAnsi="Arial"/>
          <w:sz w:val="20"/>
          <w:szCs w:val="20"/>
          <w:color w:val="auto"/>
        </w:rPr>
      </w:pPr>
      <w:r>
        <w:rPr>
          <w:rFonts w:ascii="Arial" w:cs="Arial" w:eastAsia="Arial" w:hAnsi="Arial"/>
          <w:sz w:val="20"/>
          <w:szCs w:val="20"/>
          <w:color w:val="auto"/>
        </w:rPr>
        <w:t>The initial term of this Agreement shall be from the Effective Date to and including May 1, 2022 (the “</w:t>
      </w:r>
      <w:r>
        <w:rPr>
          <w:rFonts w:ascii="Arial" w:cs="Arial" w:eastAsia="Arial" w:hAnsi="Arial"/>
          <w:sz w:val="20"/>
          <w:szCs w:val="20"/>
          <w:u w:val="single" w:color="auto"/>
          <w:color w:val="auto"/>
        </w:rPr>
        <w:t>Initial</w:t>
      </w:r>
      <w:r>
        <w:rPr>
          <w:rFonts w:ascii="Arial" w:cs="Arial" w:eastAsia="Arial" w:hAnsi="Arial"/>
          <w:sz w:val="20"/>
          <w:szCs w:val="20"/>
          <w:color w:val="auto"/>
        </w:rPr>
        <w:t xml:space="preserve"> </w:t>
      </w:r>
      <w:r>
        <w:rPr>
          <w:rFonts w:ascii="Arial" w:cs="Arial" w:eastAsia="Arial" w:hAnsi="Arial"/>
          <w:sz w:val="20"/>
          <w:szCs w:val="20"/>
          <w:u w:val="single" w:color="auto"/>
          <w:color w:val="auto"/>
        </w:rPr>
        <w:t>Term</w:t>
      </w:r>
      <w:r>
        <w:rPr>
          <w:rFonts w:ascii="Arial" w:cs="Arial" w:eastAsia="Arial" w:hAnsi="Arial"/>
          <w:sz w:val="20"/>
          <w:szCs w:val="20"/>
          <w:color w:val="auto"/>
        </w:rPr>
        <w:t xml:space="preserve">”). The term of this Agreement shall be extended from and including the Third Amendment Effective Date to and including December 31, 2023 (the “Second Term”). Except as otherwise set forth in this </w:t>
      </w:r>
      <w:r>
        <w:rPr>
          <w:rFonts w:ascii="Arial" w:cs="Arial" w:eastAsia="Arial" w:hAnsi="Arial"/>
          <w:sz w:val="20"/>
          <w:szCs w:val="20"/>
          <w:u w:val="single" w:color="auto"/>
          <w:color w:val="auto"/>
        </w:rPr>
        <w:t>Section 5.1</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Section 5.6</w:t>
      </w:r>
      <w:r>
        <w:rPr>
          <w:rFonts w:ascii="Arial" w:cs="Arial" w:eastAsia="Arial" w:hAnsi="Arial"/>
          <w:sz w:val="20"/>
          <w:szCs w:val="20"/>
          <w:color w:val="auto"/>
        </w:rPr>
        <w:t xml:space="preserve">, the Subservicer shall not be permitted to terminate this Agreement prior to the expiration of the Second Term. If this Agreement has not otherwise been terminated pursuant to this </w:t>
      </w:r>
      <w:r>
        <w:rPr>
          <w:rFonts w:ascii="Arial" w:cs="Arial" w:eastAsia="Arial" w:hAnsi="Arial"/>
          <w:sz w:val="20"/>
          <w:szCs w:val="20"/>
          <w:u w:val="single" w:color="auto"/>
          <w:color w:val="auto"/>
        </w:rPr>
        <w:t>Article V</w:t>
      </w:r>
      <w:r>
        <w:rPr>
          <w:rFonts w:ascii="Arial" w:cs="Arial" w:eastAsia="Arial" w:hAnsi="Arial"/>
          <w:sz w:val="20"/>
          <w:szCs w:val="20"/>
          <w:color w:val="auto"/>
        </w:rPr>
        <w:t>, then the term of this Agreement shall automatically renew for successive one (1) year terms after the expiration of the Second Term, from and including January 1 immediately following the last day of the applicable prior term to and including December 31 of such year. The Subservicer shall not resign from the obligations and duties under any Servicing Agreement, except upon determination that its duties hereunder are no longer permissible under applicable law and such incapacity cannot be cured by Subservicer or the Owner/Servicer. If Subservicer resigns, such resignation shall be treated as a termination for cause by Owner/Servicer under this Agreement, Any such determination that Subservicer’s duties hereunder are no longer permissible under applicable law shall be evidenced by an opinion of counsel written by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-812800</wp:posOffset>
            </wp:positionV>
            <wp:extent cx="3302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5">
                      <a:extLst>
                        <a:ext uri="{28A0092B-C50C-407E-A947-70E740481C1C}"/>
                      </a:extLst>
                    </a:blip>
                    <a:srcRect/>
                    <a:stretch>
                      <a:fillRect/>
                    </a:stretch>
                  </pic:blipFill>
                  <pic:spPr bwMode="auto">
                    <a:xfrm>
                      <a:off x="0" y="0"/>
                      <a:ext cx="330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w:t>
      </w:r>
    </w:p>
    <w:p>
      <w:pPr>
        <w:spacing w:after="0"/>
        <w:rPr>
          <w:sz w:val="20"/>
          <w:szCs w:val="20"/>
          <w:color w:val="auto"/>
        </w:rPr>
      </w:pPr>
      <w:r>
        <w:rPr>
          <w:rFonts w:ascii="Arial" w:cs="Arial" w:eastAsia="Arial" w:hAnsi="Arial"/>
          <w:sz w:val="16"/>
          <w:szCs w:val="16"/>
          <w:color w:val="auto"/>
        </w:rPr>
        <w:t>Shellpoint – PHH Amend 2 to SSA FINAL (5-2-2022)(3)</w:t>
      </w:r>
    </w:p>
    <w:p>
      <w:pPr>
        <w:sectPr>
          <w:pgSz w:w="11900" w:h="16838" w:orient="portrait"/>
          <w:cols w:equalWidth="0" w:num="1">
            <w:col w:w="11240"/>
          </w:cols>
          <w:pgMar w:left="320" w:top="1346" w:right="339" w:bottom="1440" w:gutter="0" w:footer="0" w:header="0"/>
        </w:sectPr>
      </w:pPr>
    </w:p>
    <w:bookmarkStart w:id="123" w:name="page124"/>
    <w:bookmarkEnd w:id="123"/>
    <w:p>
      <w:pPr>
        <w:ind w:left="620"/>
        <w:spacing w:after="0" w:line="234" w:lineRule="auto"/>
        <w:rPr>
          <w:sz w:val="20"/>
          <w:szCs w:val="20"/>
          <w:color w:val="auto"/>
        </w:rPr>
      </w:pPr>
      <w:r>
        <w:rPr>
          <w:rFonts w:ascii="Arial" w:cs="Arial" w:eastAsia="Arial" w:hAnsi="Arial"/>
          <w:sz w:val="21"/>
          <w:szCs w:val="21"/>
          <w:color w:val="auto"/>
        </w:rPr>
        <w:t>law firm reasonably acceptable to Owner/Servicer to such effect in form and substance reasonably acceptable to Owner/Servicer.</w:t>
      </w:r>
    </w:p>
    <w:p>
      <w:pPr>
        <w:spacing w:after="0" w:line="162" w:lineRule="exact"/>
        <w:rPr>
          <w:sz w:val="20"/>
          <w:szCs w:val="20"/>
          <w:color w:val="auto"/>
        </w:rPr>
      </w:pPr>
    </w:p>
    <w:p>
      <w:pPr>
        <w:ind w:firstLine="624"/>
        <w:spacing w:after="0" w:line="253" w:lineRule="auto"/>
        <w:tabs>
          <w:tab w:leader="none" w:pos="1088" w:val="left"/>
        </w:tabs>
        <w:numPr>
          <w:ilvl w:val="0"/>
          <w:numId w:val="96"/>
        </w:numPr>
        <w:rPr>
          <w:rFonts w:ascii="Arial" w:cs="Arial" w:eastAsia="Arial" w:hAnsi="Arial"/>
          <w:sz w:val="21"/>
          <w:szCs w:val="21"/>
          <w:color w:val="auto"/>
        </w:rPr>
      </w:pPr>
      <w:r>
        <w:rPr>
          <w:rFonts w:ascii="Arial" w:cs="Arial" w:eastAsia="Arial" w:hAnsi="Arial"/>
          <w:sz w:val="21"/>
          <w:szCs w:val="21"/>
          <w:color w:val="auto"/>
        </w:rPr>
        <w:t xml:space="preserve">The Agreement is hereby amended by deleting </w:t>
      </w:r>
      <w:r>
        <w:rPr>
          <w:rFonts w:ascii="Arial" w:cs="Arial" w:eastAsia="Arial" w:hAnsi="Arial"/>
          <w:sz w:val="21"/>
          <w:szCs w:val="21"/>
          <w:u w:val="single" w:color="auto"/>
          <w:color w:val="auto"/>
        </w:rPr>
        <w:t>Section 5.1(b)</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Section 5.1(c)</w:t>
      </w:r>
      <w:r>
        <w:rPr>
          <w:rFonts w:ascii="Arial" w:cs="Arial" w:eastAsia="Arial" w:hAnsi="Arial"/>
          <w:sz w:val="21"/>
          <w:szCs w:val="21"/>
          <w:color w:val="auto"/>
        </w:rPr>
        <w:t xml:space="preserve"> and replacing them in their entirety with the following:</w:t>
      </w:r>
    </w:p>
    <w:p>
      <w:pPr>
        <w:spacing w:after="0" w:line="395" w:lineRule="exact"/>
        <w:rPr>
          <w:rFonts w:ascii="Arial" w:cs="Arial" w:eastAsia="Arial" w:hAnsi="Arial"/>
          <w:sz w:val="21"/>
          <w:szCs w:val="21"/>
          <w:color w:val="auto"/>
        </w:rPr>
      </w:pPr>
    </w:p>
    <w:p>
      <w:pPr>
        <w:ind w:left="1780" w:hanging="536"/>
        <w:spacing w:after="0"/>
        <w:tabs>
          <w:tab w:leader="none" w:pos="1780" w:val="left"/>
        </w:tabs>
        <w:numPr>
          <w:ilvl w:val="1"/>
          <w:numId w:val="96"/>
        </w:numPr>
        <w:rPr>
          <w:rFonts w:ascii="Arial" w:cs="Arial" w:eastAsia="Arial" w:hAnsi="Arial"/>
          <w:sz w:val="18"/>
          <w:szCs w:val="18"/>
          <w:color w:val="auto"/>
        </w:rPr>
      </w:pPr>
      <w:r>
        <w:rPr>
          <w:rFonts w:ascii="Arial" w:cs="Arial" w:eastAsia="Arial" w:hAnsi="Arial"/>
          <w:sz w:val="18"/>
          <w:szCs w:val="18"/>
          <w:color w:val="auto"/>
        </w:rPr>
        <w:t>Owner/Servicer may terminate this Agreement at the end of the Second Term or at the end of any subsequent one</w:t>
      </w:r>
    </w:p>
    <w:p>
      <w:pPr>
        <w:spacing w:after="0" w:line="17" w:lineRule="exact"/>
        <w:rPr>
          <w:rFonts w:ascii="Arial" w:cs="Arial" w:eastAsia="Arial" w:hAnsi="Arial"/>
          <w:sz w:val="18"/>
          <w:szCs w:val="18"/>
          <w:color w:val="auto"/>
        </w:rPr>
      </w:pPr>
    </w:p>
    <w:p>
      <w:pPr>
        <w:jc w:val="both"/>
        <w:ind w:left="620"/>
        <w:spacing w:after="0" w:line="202" w:lineRule="auto"/>
        <w:rPr>
          <w:rFonts w:ascii="Arial" w:cs="Arial" w:eastAsia="Arial" w:hAnsi="Arial"/>
          <w:sz w:val="18"/>
          <w:szCs w:val="18"/>
          <w:color w:val="auto"/>
        </w:rPr>
      </w:pPr>
      <w:r>
        <w:rPr>
          <w:rFonts w:ascii="Arial" w:cs="Arial" w:eastAsia="Arial" w:hAnsi="Arial"/>
          <w:sz w:val="21"/>
          <w:szCs w:val="21"/>
          <w:color w:val="auto"/>
        </w:rPr>
        <w:t>(1) year term, in whole but not in part, (unless otherwise expressly permitted pursuant to this Agreement) by delivering written notice of such termination to Subservicer by October 1</w:t>
      </w:r>
      <w:r>
        <w:rPr>
          <w:rFonts w:ascii="Arial" w:cs="Arial" w:eastAsia="Arial" w:hAnsi="Arial"/>
          <w:sz w:val="26"/>
          <w:szCs w:val="26"/>
          <w:color w:val="auto"/>
          <w:vertAlign w:val="superscript"/>
        </w:rPr>
        <w:t>st</w:t>
      </w:r>
      <w:r>
        <w:rPr>
          <w:rFonts w:ascii="Arial" w:cs="Arial" w:eastAsia="Arial" w:hAnsi="Arial"/>
          <w:sz w:val="21"/>
          <w:szCs w:val="21"/>
          <w:color w:val="auto"/>
        </w:rPr>
        <w:t xml:space="preserve"> (or if such day is not a Business Day, the first Business Day immediately following such day) of such applicable term.</w:t>
      </w:r>
    </w:p>
    <w:p>
      <w:pPr>
        <w:spacing w:after="0" w:line="150" w:lineRule="exact"/>
        <w:rPr>
          <w:rFonts w:ascii="Arial" w:cs="Arial" w:eastAsia="Arial" w:hAnsi="Arial"/>
          <w:sz w:val="18"/>
          <w:szCs w:val="18"/>
          <w:color w:val="auto"/>
        </w:rPr>
      </w:pPr>
    </w:p>
    <w:p>
      <w:pPr>
        <w:ind w:left="1700" w:hanging="456"/>
        <w:spacing w:after="0"/>
        <w:tabs>
          <w:tab w:leader="none" w:pos="1700" w:val="left"/>
        </w:tabs>
        <w:numPr>
          <w:ilvl w:val="1"/>
          <w:numId w:val="96"/>
        </w:numPr>
        <w:rPr>
          <w:rFonts w:ascii="Arial" w:cs="Arial" w:eastAsia="Arial" w:hAnsi="Arial"/>
          <w:sz w:val="18"/>
          <w:szCs w:val="18"/>
          <w:color w:val="auto"/>
        </w:rPr>
      </w:pPr>
      <w:r>
        <w:rPr>
          <w:rFonts w:ascii="Arial" w:cs="Arial" w:eastAsia="Arial" w:hAnsi="Arial"/>
          <w:sz w:val="18"/>
          <w:szCs w:val="18"/>
          <w:color w:val="auto"/>
        </w:rPr>
        <w:t>The Subservicer may terminate this Agreement at the end of the Second Term or at the end of any subsequent one</w:t>
      </w:r>
    </w:p>
    <w:p>
      <w:pPr>
        <w:spacing w:after="0" w:line="17" w:lineRule="exact"/>
        <w:rPr>
          <w:rFonts w:ascii="Arial" w:cs="Arial" w:eastAsia="Arial" w:hAnsi="Arial"/>
          <w:sz w:val="18"/>
          <w:szCs w:val="18"/>
          <w:color w:val="auto"/>
        </w:rPr>
      </w:pPr>
    </w:p>
    <w:p>
      <w:pPr>
        <w:ind w:left="620"/>
        <w:spacing w:after="0" w:line="210" w:lineRule="auto"/>
        <w:rPr>
          <w:rFonts w:ascii="Arial" w:cs="Arial" w:eastAsia="Arial" w:hAnsi="Arial"/>
          <w:sz w:val="18"/>
          <w:szCs w:val="18"/>
          <w:color w:val="auto"/>
        </w:rPr>
      </w:pPr>
      <w:r>
        <w:rPr>
          <w:rFonts w:ascii="Arial" w:cs="Arial" w:eastAsia="Arial" w:hAnsi="Arial"/>
          <w:sz w:val="20"/>
          <w:szCs w:val="20"/>
          <w:color w:val="auto"/>
        </w:rPr>
        <w:t>(1) year term, in whole but not in part, by delivering written notice of such termination to Owner/Servicer by July 1</w:t>
      </w:r>
      <w:r>
        <w:rPr>
          <w:rFonts w:ascii="Arial" w:cs="Arial" w:eastAsia="Arial" w:hAnsi="Arial"/>
          <w:sz w:val="25"/>
          <w:szCs w:val="25"/>
          <w:color w:val="auto"/>
          <w:vertAlign w:val="superscript"/>
        </w:rPr>
        <w:t>st</w:t>
      </w:r>
      <w:r>
        <w:rPr>
          <w:rFonts w:ascii="Arial" w:cs="Arial" w:eastAsia="Arial" w:hAnsi="Arial"/>
          <w:sz w:val="20"/>
          <w:szCs w:val="20"/>
          <w:color w:val="auto"/>
        </w:rPr>
        <w:t xml:space="preserve"> (or if such day is not a Business Day, the first Business Day immediately following such day) of such applicable term.</w:t>
      </w:r>
    </w:p>
    <w:p>
      <w:pPr>
        <w:spacing w:after="0" w:line="162" w:lineRule="exact"/>
        <w:rPr>
          <w:rFonts w:ascii="Arial" w:cs="Arial" w:eastAsia="Arial" w:hAnsi="Arial"/>
          <w:sz w:val="18"/>
          <w:szCs w:val="18"/>
          <w:color w:val="auto"/>
        </w:rPr>
      </w:pPr>
    </w:p>
    <w:p>
      <w:pPr>
        <w:ind w:left="1020" w:hanging="396"/>
        <w:spacing w:after="0"/>
        <w:tabs>
          <w:tab w:leader="none" w:pos="10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 xml:space="preserve">The Agreement is hereby amended by deleting </w:t>
      </w:r>
      <w:r>
        <w:rPr>
          <w:rFonts w:ascii="Arial" w:cs="Arial" w:eastAsia="Arial" w:hAnsi="Arial"/>
          <w:sz w:val="18"/>
          <w:szCs w:val="18"/>
          <w:u w:val="single" w:color="auto"/>
          <w:color w:val="auto"/>
        </w:rPr>
        <w:t>Section 5.4(a)(ii)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5.4(a)(iii)</w:t>
      </w:r>
      <w:r>
        <w:rPr>
          <w:rFonts w:ascii="Arial" w:cs="Arial" w:eastAsia="Arial" w:hAnsi="Arial"/>
          <w:sz w:val="18"/>
          <w:szCs w:val="18"/>
          <w:color w:val="auto"/>
        </w:rPr>
        <w:t xml:space="preserve"> and replacing them in their entirety with the</w:t>
      </w:r>
    </w:p>
    <w:p>
      <w:pPr>
        <w:spacing w:after="0" w:line="4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1"/>
          <w:szCs w:val="21"/>
          <w:color w:val="auto"/>
        </w:rPr>
        <w:t>following:</w:t>
      </w:r>
    </w:p>
    <w:p>
      <w:pPr>
        <w:spacing w:after="0" w:line="179" w:lineRule="exact"/>
        <w:rPr>
          <w:rFonts w:ascii="Arial" w:cs="Arial" w:eastAsia="Arial" w:hAnsi="Arial"/>
          <w:sz w:val="18"/>
          <w:szCs w:val="18"/>
          <w:color w:val="auto"/>
        </w:rPr>
      </w:pPr>
    </w:p>
    <w:p>
      <w:pPr>
        <w:ind w:left="1700" w:hanging="456"/>
        <w:spacing w:after="0"/>
        <w:tabs>
          <w:tab w:leader="none" w:pos="1700" w:val="left"/>
        </w:tabs>
        <w:numPr>
          <w:ilvl w:val="1"/>
          <w:numId w:val="97"/>
        </w:numPr>
        <w:rPr>
          <w:rFonts w:ascii="Arial" w:cs="Arial" w:eastAsia="Arial" w:hAnsi="Arial"/>
          <w:sz w:val="21"/>
          <w:szCs w:val="21"/>
          <w:color w:val="auto"/>
        </w:rPr>
      </w:pPr>
      <w:r>
        <w:rPr>
          <w:rFonts w:ascii="Arial" w:cs="Arial" w:eastAsia="Arial" w:hAnsi="Arial"/>
          <w:sz w:val="21"/>
          <w:szCs w:val="21"/>
          <w:color w:val="auto"/>
        </w:rPr>
        <w:t>[Reserved]; or</w:t>
      </w:r>
    </w:p>
    <w:p>
      <w:pPr>
        <w:spacing w:after="0" w:line="198" w:lineRule="exact"/>
        <w:rPr>
          <w:sz w:val="20"/>
          <w:szCs w:val="20"/>
          <w:color w:val="auto"/>
        </w:rPr>
      </w:pPr>
    </w:p>
    <w:p>
      <w:pPr>
        <w:jc w:val="both"/>
        <w:ind w:left="620" w:firstLine="624"/>
        <w:spacing w:after="0" w:line="239" w:lineRule="auto"/>
        <w:tabs>
          <w:tab w:leader="none" w:pos="1818" w:val="left"/>
        </w:tabs>
        <w:numPr>
          <w:ilvl w:val="1"/>
          <w:numId w:val="98"/>
        </w:numPr>
        <w:rPr>
          <w:rFonts w:ascii="Arial" w:cs="Arial" w:eastAsia="Arial" w:hAnsi="Arial"/>
          <w:sz w:val="21"/>
          <w:szCs w:val="21"/>
          <w:color w:val="auto"/>
        </w:rPr>
      </w:pPr>
      <w:r>
        <w:rPr>
          <w:rFonts w:ascii="Arial" w:cs="Arial" w:eastAsia="Arial" w:hAnsi="Arial"/>
          <w:sz w:val="21"/>
          <w:szCs w:val="21"/>
          <w:color w:val="auto"/>
        </w:rPr>
        <w:t>terminates this Agreement pursuant to Section 5.1(b), (A) Owner/Servicer and Subservicer shall each pay 50% of the aggregate Servicing Transfer Costs incurred by both parties in connection with transferring the servicing to a successor servicer or subservicer, (B) neither party shall be responsible for paying any deboarding or boarding fees and (C) Subservicer shall not be entitled to any Termination Fee.</w:t>
      </w:r>
    </w:p>
    <w:p>
      <w:pPr>
        <w:spacing w:after="0" w:line="188" w:lineRule="exact"/>
        <w:rPr>
          <w:rFonts w:ascii="Arial" w:cs="Arial" w:eastAsia="Arial" w:hAnsi="Arial"/>
          <w:sz w:val="21"/>
          <w:szCs w:val="21"/>
          <w:color w:val="auto"/>
        </w:rPr>
      </w:pPr>
    </w:p>
    <w:p>
      <w:pPr>
        <w:ind w:left="1020" w:hanging="396"/>
        <w:spacing w:after="0"/>
        <w:tabs>
          <w:tab w:leader="none" w:pos="1020" w:val="left"/>
        </w:tabs>
        <w:numPr>
          <w:ilvl w:val="0"/>
          <w:numId w:val="99"/>
        </w:numPr>
        <w:rPr>
          <w:rFonts w:ascii="Arial" w:cs="Arial" w:eastAsia="Arial" w:hAnsi="Arial"/>
          <w:sz w:val="20"/>
          <w:szCs w:val="20"/>
          <w:color w:val="auto"/>
        </w:rPr>
      </w:pPr>
      <w:r>
        <w:rPr>
          <w:rFonts w:ascii="Arial" w:cs="Arial" w:eastAsia="Arial" w:hAnsi="Arial"/>
          <w:sz w:val="20"/>
          <w:szCs w:val="20"/>
          <w:color w:val="auto"/>
        </w:rPr>
        <w:t xml:space="preserve">The Agreement is hereby amended by deleting </w:t>
      </w:r>
      <w:r>
        <w:rPr>
          <w:rFonts w:ascii="Arial" w:cs="Arial" w:eastAsia="Arial" w:hAnsi="Arial"/>
          <w:sz w:val="20"/>
          <w:szCs w:val="20"/>
          <w:u w:val="single" w:color="auto"/>
          <w:color w:val="auto"/>
        </w:rPr>
        <w:t>Section 5.4(b)(iii)</w:t>
      </w:r>
      <w:r>
        <w:rPr>
          <w:rFonts w:ascii="Arial" w:cs="Arial" w:eastAsia="Arial" w:hAnsi="Arial"/>
          <w:sz w:val="20"/>
          <w:szCs w:val="20"/>
          <w:color w:val="auto"/>
        </w:rPr>
        <w:t xml:space="preserve"> and replacing it in its entirety with the following:</w:t>
      </w:r>
    </w:p>
    <w:p>
      <w:pPr>
        <w:spacing w:after="0" w:line="209" w:lineRule="exact"/>
        <w:rPr>
          <w:rFonts w:ascii="Arial" w:cs="Arial" w:eastAsia="Arial" w:hAnsi="Arial"/>
          <w:sz w:val="20"/>
          <w:szCs w:val="20"/>
          <w:color w:val="auto"/>
        </w:rPr>
      </w:pPr>
    </w:p>
    <w:p>
      <w:pPr>
        <w:jc w:val="both"/>
        <w:ind w:left="620" w:firstLine="624"/>
        <w:spacing w:after="0" w:line="239" w:lineRule="auto"/>
        <w:tabs>
          <w:tab w:leader="none" w:pos="1822" w:val="left"/>
        </w:tabs>
        <w:numPr>
          <w:ilvl w:val="1"/>
          <w:numId w:val="99"/>
        </w:numPr>
        <w:rPr>
          <w:rFonts w:ascii="Arial" w:cs="Arial" w:eastAsia="Arial" w:hAnsi="Arial"/>
          <w:sz w:val="21"/>
          <w:szCs w:val="21"/>
          <w:color w:val="auto"/>
        </w:rPr>
      </w:pPr>
      <w:r>
        <w:rPr>
          <w:rFonts w:ascii="Arial" w:cs="Arial" w:eastAsia="Arial" w:hAnsi="Arial"/>
          <w:sz w:val="21"/>
          <w:szCs w:val="21"/>
          <w:color w:val="auto"/>
        </w:rPr>
        <w:t>terminates this Agreement pursuant to Section 5.1(c), (A) Owner/Servicer and Subservicer shall each pay 50% of the aggregate Servicing Transfer Costs incurred by such parties in connection with transferring the servicing to a successor servicer or subservicer, (B) neither party shall be responsible for paying any deboarding or boarding fees, and (C) Subservicer shall not be entitled to any Termination Fee.</w:t>
      </w:r>
    </w:p>
    <w:p>
      <w:pPr>
        <w:spacing w:after="0" w:line="175" w:lineRule="exact"/>
        <w:rPr>
          <w:rFonts w:ascii="Arial" w:cs="Arial" w:eastAsia="Arial" w:hAnsi="Arial"/>
          <w:sz w:val="21"/>
          <w:szCs w:val="21"/>
          <w:color w:val="auto"/>
        </w:rPr>
      </w:pPr>
    </w:p>
    <w:p>
      <w:pPr>
        <w:ind w:left="1060" w:hanging="436"/>
        <w:spacing w:after="0"/>
        <w:tabs>
          <w:tab w:leader="none" w:pos="1060" w:val="left"/>
        </w:tabs>
        <w:numPr>
          <w:ilvl w:val="0"/>
          <w:numId w:val="99"/>
        </w:numPr>
        <w:rPr>
          <w:rFonts w:ascii="Arial" w:cs="Arial" w:eastAsia="Arial" w:hAnsi="Arial"/>
          <w:sz w:val="21"/>
          <w:szCs w:val="21"/>
          <w:color w:val="auto"/>
        </w:rPr>
      </w:pPr>
      <w:r>
        <w:rPr>
          <w:rFonts w:ascii="Arial" w:cs="Arial" w:eastAsia="Arial" w:hAnsi="Arial"/>
          <w:sz w:val="21"/>
          <w:szCs w:val="21"/>
          <w:color w:val="auto"/>
        </w:rPr>
        <w:t>The Agreement is hereby amended by deleting Section 5.4(d) and replacing it in its entirety with the following:</w:t>
      </w:r>
    </w:p>
    <w:p>
      <w:pPr>
        <w:spacing w:after="0" w:line="200" w:lineRule="exact"/>
        <w:rPr>
          <w:rFonts w:ascii="Arial" w:cs="Arial" w:eastAsia="Arial" w:hAnsi="Arial"/>
          <w:sz w:val="21"/>
          <w:szCs w:val="21"/>
          <w:color w:val="auto"/>
        </w:rPr>
      </w:pPr>
    </w:p>
    <w:p>
      <w:pPr>
        <w:spacing w:after="0" w:line="217" w:lineRule="exact"/>
        <w:rPr>
          <w:rFonts w:ascii="Arial" w:cs="Arial" w:eastAsia="Arial" w:hAnsi="Arial"/>
          <w:sz w:val="21"/>
          <w:szCs w:val="21"/>
          <w:color w:val="auto"/>
        </w:rPr>
      </w:pPr>
    </w:p>
    <w:p>
      <w:pPr>
        <w:jc w:val="both"/>
        <w:ind w:left="620" w:firstLine="624"/>
        <w:spacing w:after="0" w:line="225" w:lineRule="auto"/>
        <w:tabs>
          <w:tab w:leader="none" w:pos="1798" w:val="left"/>
        </w:tabs>
        <w:numPr>
          <w:ilvl w:val="1"/>
          <w:numId w:val="100"/>
        </w:numPr>
        <w:rPr>
          <w:rFonts w:ascii="Arial" w:cs="Arial" w:eastAsia="Arial" w:hAnsi="Arial"/>
          <w:sz w:val="20"/>
          <w:szCs w:val="20"/>
          <w:color w:val="auto"/>
        </w:rPr>
      </w:pPr>
      <w:r>
        <w:rPr>
          <w:rFonts w:ascii="Arial" w:cs="Arial" w:eastAsia="Arial" w:hAnsi="Arial"/>
          <w:sz w:val="20"/>
          <w:szCs w:val="20"/>
          <w:color w:val="auto"/>
        </w:rPr>
        <w:t>Notwithstanding any provision in this Agreement to the contrary, the termination of this Agreement shall not be effective until a successor servicer or subservicer has been appointed by the Owner/Servicer or an Investor, as applicable, and a servicing transfer of all the Mortgage Loans and REO Properties subserviced pursuant to this Agreement has been completed in accordance with Applicable Requirements, and the Subservicer shall not be relieved of its obligations under this Agreement until such time. If no successor servicer or subservicer shall have been so appointed and have taken steps toward becoming the successor within sixty (60) days after the giving of such notice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w:t>
      </w:r>
    </w:p>
    <w:p>
      <w:pPr>
        <w:spacing w:after="0"/>
        <w:rPr>
          <w:sz w:val="20"/>
          <w:szCs w:val="20"/>
          <w:color w:val="auto"/>
        </w:rPr>
      </w:pPr>
      <w:r>
        <w:rPr>
          <w:rFonts w:ascii="Arial" w:cs="Arial" w:eastAsia="Arial" w:hAnsi="Arial"/>
          <w:sz w:val="16"/>
          <w:szCs w:val="16"/>
          <w:color w:val="auto"/>
        </w:rPr>
        <w:t>Shellpoint – PHH Amend 2 to SSA FINAL (5-2-2022)(3)</w:t>
      </w:r>
    </w:p>
    <w:p>
      <w:pPr>
        <w:sectPr>
          <w:pgSz w:w="11900" w:h="16838" w:orient="portrait"/>
          <w:cols w:equalWidth="0" w:num="1">
            <w:col w:w="11240"/>
          </w:cols>
          <w:pgMar w:left="320" w:top="1346" w:right="339" w:bottom="1440" w:gutter="0" w:footer="0" w:header="0"/>
        </w:sectPr>
      </w:pPr>
    </w:p>
    <w:bookmarkStart w:id="124" w:name="page125"/>
    <w:bookmarkEnd w:id="124"/>
    <w:p>
      <w:pPr>
        <w:jc w:val="both"/>
        <w:ind w:left="620"/>
        <w:spacing w:after="0" w:line="243" w:lineRule="auto"/>
        <w:rPr>
          <w:sz w:val="20"/>
          <w:szCs w:val="20"/>
          <w:color w:val="auto"/>
        </w:rPr>
      </w:pPr>
      <w:r>
        <w:rPr>
          <w:rFonts w:ascii="Arial" w:cs="Arial" w:eastAsia="Arial" w:hAnsi="Arial"/>
          <w:sz w:val="18"/>
          <w:szCs w:val="18"/>
          <w:color w:val="auto"/>
        </w:rPr>
        <w:t>resignation, the Subservicer may petition any court of competent jurisdiction for the appointment of a successor servicer or subservicer. In addition, if (i) Owner/Servicer terminates for cause pursuant to Section 5.3 or terminates pursuant to Section 5.1(b) or Subservicer terminates for cause pursuant to Section 5.6 or resigns pursuant to Section 5.1(a), then, if the days elapsed between the Effective Date of Termination and the Successor Transfer Date, (A) exceed 270 days but are less than 365 days, the Subservicer Economics shall be increased to the applicable Step-up Fee for such period and (B) equal or exceed 365 days, the Subservicer Economics shall be increased to the applicable Step-up Fee for such period or (ii) Subservicer terminates this Agreement pursuant to Section 5.1(c), then, if the days elapsed between the Effective Date of Termination and the Successor Transfer Date, (A) exceed 180 days but are less than 365 days, the Subservicer Economics shall be to the applicable Step-up Fee for such period and (B) equal or exceed 365 days, the Subservicer Economics shall be increased to the applicable Step-up Fee for such period; provided that no Step-up Fee shall be payable if the delay in transferring servicing is due to any matter(s) outside of the control of the Owner/Servicer or the successor servicer or subservicer selected by Owner/Servicer. The Owner/Servicer and the Subservicer shall discharge such duties and responsibilities during the period from the date each acquires knowledge of such termination until the effective date thereof with the same degree of diligence and prudence that it is obligated to exercise under this Agreement. In addition, (i) Subservicer and Owner/Servicer shall cooperate in good faith from the date of notice of any such termination to comply with the Transfer Procedures set forth in Exhibit P-1 and Exhibit P-2 hereto and transfer servicing in accordance with industry standard transfer procedures and (ii) Owner/Servicer shall use commercially reasonable efforts to require any successor servicer or subservicer to comply with the Transfer Procedures set forth in Exhibit P-1 and Exhibit P-2 hereto and transfer servicing in accordance with industry standard transfer procedures.</w:t>
      </w:r>
    </w:p>
    <w:p>
      <w:pPr>
        <w:spacing w:after="0" w:line="169" w:lineRule="exact"/>
        <w:rPr>
          <w:sz w:val="20"/>
          <w:szCs w:val="20"/>
          <w:color w:val="auto"/>
        </w:rPr>
      </w:pPr>
    </w:p>
    <w:p>
      <w:pPr>
        <w:ind w:firstLine="624"/>
        <w:spacing w:after="0" w:line="253" w:lineRule="auto"/>
        <w:tabs>
          <w:tab w:leader="none" w:pos="1020" w:val="left"/>
        </w:tabs>
        <w:numPr>
          <w:ilvl w:val="0"/>
          <w:numId w:val="101"/>
        </w:numPr>
        <w:rPr>
          <w:rFonts w:ascii="Arial" w:cs="Arial" w:eastAsia="Arial" w:hAnsi="Arial"/>
          <w:sz w:val="21"/>
          <w:szCs w:val="21"/>
          <w:color w:val="auto"/>
        </w:rPr>
      </w:pPr>
      <w:r>
        <w:rPr>
          <w:rFonts w:ascii="Arial" w:cs="Arial" w:eastAsia="Arial" w:hAnsi="Arial"/>
          <w:sz w:val="21"/>
          <w:szCs w:val="21"/>
          <w:color w:val="auto"/>
        </w:rPr>
        <w:t>The parties agree to cooperate in good faith to amend and/or replace Exhibit E-1 and Exhibit E-2 to the Agreement in order to potentially streamline certain servicing reports and formats.</w:t>
      </w:r>
    </w:p>
    <w:p>
      <w:pPr>
        <w:spacing w:after="0" w:line="170" w:lineRule="exact"/>
        <w:rPr>
          <w:sz w:val="20"/>
          <w:szCs w:val="20"/>
          <w:color w:val="auto"/>
        </w:rPr>
      </w:pPr>
    </w:p>
    <w:p>
      <w:pPr>
        <w:jc w:val="both"/>
        <w:ind w:firstLine="620"/>
        <w:spacing w:after="0" w:line="245" w:lineRule="auto"/>
        <w:rPr>
          <w:sz w:val="20"/>
          <w:szCs w:val="20"/>
          <w:color w:val="auto"/>
        </w:rPr>
      </w:pPr>
      <w:r>
        <w:rPr>
          <w:rFonts w:ascii="Arial" w:cs="Arial" w:eastAsia="Arial" w:hAnsi="Arial"/>
          <w:sz w:val="21"/>
          <w:szCs w:val="21"/>
          <w:b w:val="1"/>
          <w:bCs w:val="1"/>
          <w:color w:val="auto"/>
        </w:rPr>
        <w:t xml:space="preserve">SECTION 2. </w:t>
      </w:r>
      <w:r>
        <w:rPr>
          <w:rFonts w:ascii="Arial" w:cs="Arial" w:eastAsia="Arial" w:hAnsi="Arial"/>
          <w:sz w:val="21"/>
          <w:szCs w:val="21"/>
          <w:u w:val="single" w:color="auto"/>
          <w:color w:val="auto"/>
        </w:rPr>
        <w:t>Termination Fee.</w:t>
      </w:r>
      <w:r>
        <w:rPr>
          <w:rFonts w:ascii="Arial" w:cs="Arial" w:eastAsia="Arial" w:hAnsi="Arial"/>
          <w:sz w:val="21"/>
          <w:szCs w:val="21"/>
          <w:b w:val="1"/>
          <w:bCs w:val="1"/>
          <w:color w:val="auto"/>
        </w:rPr>
        <w:t xml:space="preserve"> </w:t>
      </w:r>
      <w:r>
        <w:rPr>
          <w:rFonts w:ascii="Arial" w:cs="Arial" w:eastAsia="Arial" w:hAnsi="Arial"/>
          <w:sz w:val="21"/>
          <w:szCs w:val="21"/>
          <w:color w:val="auto"/>
        </w:rPr>
        <w:t>For purposes of clarification, notwithstanding anything to the contrary contained in the</w:t>
      </w:r>
      <w:r>
        <w:rPr>
          <w:rFonts w:ascii="Arial" w:cs="Arial" w:eastAsia="Arial" w:hAnsi="Arial"/>
          <w:sz w:val="21"/>
          <w:szCs w:val="21"/>
          <w:b w:val="1"/>
          <w:bCs w:val="1"/>
          <w:color w:val="auto"/>
        </w:rPr>
        <w:t xml:space="preserve"> </w:t>
      </w:r>
      <w:r>
        <w:rPr>
          <w:rFonts w:ascii="Arial" w:cs="Arial" w:eastAsia="Arial" w:hAnsi="Arial"/>
          <w:sz w:val="21"/>
          <w:szCs w:val="21"/>
          <w:color w:val="auto"/>
        </w:rPr>
        <w:t>Agreement, no Termination Fee or Exit Fee shall be payable to Subservicer for any termination of the Agreement after the date hereof (e.g. the end of the Initial Term).</w:t>
      </w:r>
    </w:p>
    <w:p>
      <w:pPr>
        <w:spacing w:after="0" w:line="191" w:lineRule="exact"/>
        <w:rPr>
          <w:sz w:val="20"/>
          <w:szCs w:val="20"/>
          <w:color w:val="auto"/>
        </w:rPr>
      </w:pPr>
    </w:p>
    <w:p>
      <w:pPr>
        <w:jc w:val="both"/>
        <w:ind w:firstLine="620"/>
        <w:spacing w:after="0" w:line="274" w:lineRule="auto"/>
        <w:rPr>
          <w:sz w:val="20"/>
          <w:szCs w:val="20"/>
          <w:color w:val="auto"/>
        </w:rPr>
      </w:pPr>
      <w:r>
        <w:rPr>
          <w:rFonts w:ascii="Arial" w:cs="Arial" w:eastAsia="Arial" w:hAnsi="Arial"/>
          <w:sz w:val="19"/>
          <w:szCs w:val="19"/>
          <w:b w:val="1"/>
          <w:bCs w:val="1"/>
          <w:color w:val="auto"/>
        </w:rPr>
        <w:t xml:space="preserve">SECTION 3. </w:t>
      </w:r>
      <w:r>
        <w:rPr>
          <w:rFonts w:ascii="Arial" w:cs="Arial" w:eastAsia="Arial" w:hAnsi="Arial"/>
          <w:sz w:val="19"/>
          <w:szCs w:val="19"/>
          <w:u w:val="single" w:color="auto"/>
          <w:color w:val="auto"/>
        </w:rPr>
        <w:t>Limited Effect.</w:t>
      </w:r>
      <w:r>
        <w:rPr>
          <w:rFonts w:ascii="Arial" w:cs="Arial" w:eastAsia="Arial" w:hAnsi="Arial"/>
          <w:sz w:val="19"/>
          <w:szCs w:val="19"/>
          <w:b w:val="1"/>
          <w:bCs w:val="1"/>
          <w:color w:val="auto"/>
        </w:rPr>
        <w:t xml:space="preserve"> </w:t>
      </w:r>
      <w:r>
        <w:rPr>
          <w:rFonts w:ascii="Arial" w:cs="Arial" w:eastAsia="Arial" w:hAnsi="Arial"/>
          <w:sz w:val="19"/>
          <w:szCs w:val="19"/>
          <w:color w:val="auto"/>
        </w:rPr>
        <w:t>Except as amended hereby, the Agreement shall continue in full force and effect in accordance</w:t>
      </w:r>
      <w:r>
        <w:rPr>
          <w:rFonts w:ascii="Arial" w:cs="Arial" w:eastAsia="Arial" w:hAnsi="Arial"/>
          <w:sz w:val="19"/>
          <w:szCs w:val="19"/>
          <w:b w:val="1"/>
          <w:bCs w:val="1"/>
          <w:color w:val="auto"/>
        </w:rPr>
        <w:t xml:space="preserve"> </w:t>
      </w:r>
      <w:r>
        <w:rPr>
          <w:rFonts w:ascii="Arial" w:cs="Arial" w:eastAsia="Arial" w:hAnsi="Arial"/>
          <w:sz w:val="19"/>
          <w:szCs w:val="19"/>
          <w:color w:val="auto"/>
        </w:rPr>
        <w:t>with its terms. Reference to this Amendment Number Two need not be made in the Agreement or any other instrument or document executed in connection therewith, or in any certificate, letter or communication issued or made pursuant to, or with respect to, the Agreement, any reference in any of such items to the Agreement being sufficient to refer to the Agreement as amended hereby.</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w:t>
      </w:r>
    </w:p>
    <w:p>
      <w:pPr>
        <w:spacing w:after="0"/>
        <w:rPr>
          <w:sz w:val="20"/>
          <w:szCs w:val="20"/>
          <w:color w:val="auto"/>
        </w:rPr>
      </w:pPr>
      <w:r>
        <w:rPr>
          <w:rFonts w:ascii="Arial" w:cs="Arial" w:eastAsia="Arial" w:hAnsi="Arial"/>
          <w:sz w:val="16"/>
          <w:szCs w:val="16"/>
          <w:color w:val="auto"/>
        </w:rPr>
        <w:t>Shellpoint – PHH Amend 2 to SSA FINAL (5-2-2022)(3)</w:t>
      </w:r>
    </w:p>
    <w:p>
      <w:pPr>
        <w:sectPr>
          <w:pgSz w:w="11900" w:h="16838" w:orient="portrait"/>
          <w:cols w:equalWidth="0" w:num="1">
            <w:col w:w="11240"/>
          </w:cols>
          <w:pgMar w:left="320" w:top="1346" w:right="339" w:bottom="1440" w:gutter="0" w:footer="0" w:header="0"/>
        </w:sectPr>
      </w:pPr>
    </w:p>
    <w:bookmarkStart w:id="125" w:name="page126"/>
    <w:bookmarkEnd w:id="125"/>
    <w:p>
      <w:pPr>
        <w:spacing w:after="0" w:line="146" w:lineRule="exact"/>
        <w:rPr>
          <w:sz w:val="20"/>
          <w:szCs w:val="20"/>
          <w:color w:val="auto"/>
        </w:rPr>
      </w:pPr>
    </w:p>
    <w:p>
      <w:pPr>
        <w:jc w:val="both"/>
        <w:ind w:firstLine="620"/>
        <w:spacing w:after="0"/>
        <w:rPr>
          <w:sz w:val="20"/>
          <w:szCs w:val="20"/>
          <w:color w:val="auto"/>
        </w:rPr>
      </w:pPr>
      <w:r>
        <w:rPr>
          <w:rFonts w:ascii="Arial" w:cs="Arial" w:eastAsia="Arial" w:hAnsi="Arial"/>
          <w:sz w:val="21"/>
          <w:szCs w:val="21"/>
          <w:b w:val="1"/>
          <w:bCs w:val="1"/>
          <w:color w:val="auto"/>
        </w:rPr>
        <w:t xml:space="preserve">SECTION 4. </w:t>
      </w:r>
      <w:r>
        <w:rPr>
          <w:rFonts w:ascii="Arial" w:cs="Arial" w:eastAsia="Arial" w:hAnsi="Arial"/>
          <w:sz w:val="21"/>
          <w:szCs w:val="21"/>
          <w:u w:val="single" w:color="auto"/>
          <w:color w:val="auto"/>
        </w:rPr>
        <w:t>Governing Law.</w:t>
      </w:r>
      <w:r>
        <w:rPr>
          <w:rFonts w:ascii="Arial" w:cs="Arial" w:eastAsia="Arial" w:hAnsi="Arial"/>
          <w:sz w:val="21"/>
          <w:szCs w:val="21"/>
          <w:b w:val="1"/>
          <w:bCs w:val="1"/>
          <w:color w:val="auto"/>
        </w:rPr>
        <w:t xml:space="preserve"> </w:t>
      </w:r>
      <w:r>
        <w:rPr>
          <w:rFonts w:ascii="Arial" w:cs="Arial" w:eastAsia="Arial" w:hAnsi="Arial"/>
          <w:sz w:val="21"/>
          <w:szCs w:val="21"/>
          <w:color w:val="auto"/>
        </w:rPr>
        <w:t>This Amendment Number Two shall be construed in accordance with the laws of the State of</w:t>
      </w:r>
      <w:r>
        <w:rPr>
          <w:rFonts w:ascii="Arial" w:cs="Arial" w:eastAsia="Arial" w:hAnsi="Arial"/>
          <w:sz w:val="21"/>
          <w:szCs w:val="21"/>
          <w:b w:val="1"/>
          <w:bCs w:val="1"/>
          <w:color w:val="auto"/>
        </w:rPr>
        <w:t xml:space="preserve"> </w:t>
      </w:r>
      <w:r>
        <w:rPr>
          <w:rFonts w:ascii="Arial" w:cs="Arial" w:eastAsia="Arial" w:hAnsi="Arial"/>
          <w:sz w:val="21"/>
          <w:szCs w:val="21"/>
          <w:color w:val="auto"/>
        </w:rPr>
        <w:t>New York and the obligations, rights, and remedies of the parties hereunder shall be determined in accordance with such laws without regard to conflict of laws doctrine applied in such state (other than Section 5-1401 or 5-1402 of the New York General Obligations Law which shall govern).</w:t>
      </w:r>
    </w:p>
    <w:p>
      <w:pPr>
        <w:spacing w:after="0" w:line="210" w:lineRule="exact"/>
        <w:rPr>
          <w:sz w:val="20"/>
          <w:szCs w:val="20"/>
          <w:color w:val="auto"/>
        </w:rPr>
      </w:pPr>
    </w:p>
    <w:p>
      <w:pPr>
        <w:jc w:val="both"/>
        <w:ind w:firstLine="620"/>
        <w:spacing w:after="0" w:line="238" w:lineRule="auto"/>
        <w:rPr>
          <w:sz w:val="20"/>
          <w:szCs w:val="20"/>
          <w:color w:val="auto"/>
        </w:rPr>
      </w:pPr>
      <w:r>
        <w:rPr>
          <w:rFonts w:ascii="Arial" w:cs="Arial" w:eastAsia="Arial" w:hAnsi="Arial"/>
          <w:sz w:val="21"/>
          <w:szCs w:val="21"/>
          <w:b w:val="1"/>
          <w:bCs w:val="1"/>
          <w:color w:val="auto"/>
        </w:rPr>
        <w:t xml:space="preserve">SECTION 5. </w:t>
      </w:r>
      <w:r>
        <w:rPr>
          <w:rFonts w:ascii="Arial" w:cs="Arial" w:eastAsia="Arial" w:hAnsi="Arial"/>
          <w:sz w:val="21"/>
          <w:szCs w:val="21"/>
          <w:u w:val="single" w:color="auto"/>
          <w:color w:val="auto"/>
        </w:rPr>
        <w:t>Counterparts.</w:t>
      </w:r>
      <w:r>
        <w:rPr>
          <w:rFonts w:ascii="Arial" w:cs="Arial" w:eastAsia="Arial" w:hAnsi="Arial"/>
          <w:sz w:val="21"/>
          <w:szCs w:val="21"/>
          <w:b w:val="1"/>
          <w:bCs w:val="1"/>
          <w:color w:val="auto"/>
        </w:rPr>
        <w:t xml:space="preserve"> </w:t>
      </w:r>
      <w:r>
        <w:rPr>
          <w:rFonts w:ascii="Arial" w:cs="Arial" w:eastAsia="Arial" w:hAnsi="Arial"/>
          <w:sz w:val="21"/>
          <w:szCs w:val="21"/>
          <w:color w:val="auto"/>
        </w:rPr>
        <w:t>This Amendment Number Two may be executed by each of the parties hereto on any number of</w:t>
      </w:r>
      <w:r>
        <w:rPr>
          <w:rFonts w:ascii="Arial" w:cs="Arial" w:eastAsia="Arial" w:hAnsi="Arial"/>
          <w:sz w:val="21"/>
          <w:szCs w:val="21"/>
          <w:b w:val="1"/>
          <w:bCs w:val="1"/>
          <w:color w:val="auto"/>
        </w:rPr>
        <w:t xml:space="preserve"> </w:t>
      </w:r>
      <w:r>
        <w:rPr>
          <w:rFonts w:ascii="Arial" w:cs="Arial" w:eastAsia="Arial" w:hAnsi="Arial"/>
          <w:sz w:val="21"/>
          <w:szCs w:val="21"/>
          <w:color w:val="auto"/>
        </w:rPr>
        <w:t>separate counterparts, each of which shall be an original and all of which taken together shall constitute one and the same instrument. The parties agree that this Amendment Number Two and signature pages may be transmitted between them by facsimile or by electronic mail and that faxed and PDF signatures may constitute original signatures and that a faxed or PDF signature page containing the signature (faxed, PDF or original) is binding upon the parties.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w:t>
      </w:r>
    </w:p>
    <w:p>
      <w:pPr>
        <w:spacing w:after="0"/>
        <w:rPr>
          <w:sz w:val="20"/>
          <w:szCs w:val="20"/>
          <w:color w:val="auto"/>
        </w:rPr>
      </w:pPr>
      <w:r>
        <w:rPr>
          <w:rFonts w:ascii="Arial" w:cs="Arial" w:eastAsia="Arial" w:hAnsi="Arial"/>
          <w:sz w:val="16"/>
          <w:szCs w:val="16"/>
          <w:color w:val="auto"/>
        </w:rPr>
        <w:t>Shellpoint – PHH Amend 2 to SSA FINAL (5-2-2022)(3)</w:t>
      </w:r>
    </w:p>
    <w:p>
      <w:pPr>
        <w:sectPr>
          <w:pgSz w:w="11900" w:h="16838" w:orient="portrait"/>
          <w:cols w:equalWidth="0" w:num="1">
            <w:col w:w="11240"/>
          </w:cols>
          <w:pgMar w:left="320" w:top="1440" w:right="339" w:bottom="1440" w:gutter="0" w:footer="0" w:header="0"/>
        </w:sectPr>
      </w:pPr>
    </w:p>
    <w:bookmarkStart w:id="126" w:name="page127"/>
    <w:bookmarkEnd w:id="126"/>
    <w:p>
      <w:pPr>
        <w:ind w:firstLine="478"/>
        <w:spacing w:after="0" w:line="237" w:lineRule="auto"/>
        <w:rPr>
          <w:sz w:val="20"/>
          <w:szCs w:val="20"/>
          <w:color w:val="auto"/>
        </w:rPr>
      </w:pPr>
      <w:r>
        <w:rPr>
          <w:rFonts w:ascii="Arial" w:cs="Arial" w:eastAsia="Arial" w:hAnsi="Arial"/>
          <w:sz w:val="21"/>
          <w:szCs w:val="21"/>
          <w:b w:val="1"/>
          <w:bCs w:val="1"/>
          <w:color w:val="auto"/>
        </w:rPr>
        <w:t>IN WITNESS WHEREOF</w:t>
      </w:r>
      <w:r>
        <w:rPr>
          <w:rFonts w:ascii="Arial" w:cs="Arial" w:eastAsia="Arial" w:hAnsi="Arial"/>
          <w:sz w:val="21"/>
          <w:szCs w:val="21"/>
          <w:color w:val="auto"/>
        </w:rPr>
        <w:t>, the parties hereto have caused this Amendment Number Two to be executed and delivered by their</w:t>
      </w:r>
      <w:r>
        <w:rPr>
          <w:rFonts w:ascii="Arial" w:cs="Arial" w:eastAsia="Arial" w:hAnsi="Arial"/>
          <w:sz w:val="21"/>
          <w:szCs w:val="21"/>
          <w:b w:val="1"/>
          <w:bCs w:val="1"/>
          <w:color w:val="auto"/>
        </w:rPr>
        <w:t xml:space="preserve"> </w:t>
      </w:r>
      <w:r>
        <w:rPr>
          <w:rFonts w:ascii="Arial" w:cs="Arial" w:eastAsia="Arial" w:hAnsi="Arial"/>
          <w:sz w:val="21"/>
          <w:szCs w:val="21"/>
          <w:color w:val="auto"/>
        </w:rPr>
        <w:t>duly authorized officers as of the day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3560"/>
        <w:spacing w:after="0"/>
        <w:rPr>
          <w:sz w:val="20"/>
          <w:szCs w:val="20"/>
          <w:color w:val="auto"/>
        </w:rPr>
      </w:pPr>
      <w:r>
        <w:rPr>
          <w:rFonts w:ascii="Arial" w:cs="Arial" w:eastAsia="Arial" w:hAnsi="Arial"/>
          <w:sz w:val="19"/>
          <w:szCs w:val="19"/>
          <w:b w:val="1"/>
          <w:bCs w:val="1"/>
          <w:color w:val="auto"/>
        </w:rPr>
        <w:t>PHH MORTGAGE CORPORATION</w:t>
      </w:r>
    </w:p>
    <w:p>
      <w:pPr>
        <w:spacing w:after="0" w:line="200" w:lineRule="exact"/>
        <w:rPr>
          <w:sz w:val="20"/>
          <w:szCs w:val="20"/>
          <w:color w:val="auto"/>
        </w:rPr>
      </w:pPr>
    </w:p>
    <w:p>
      <w:pPr>
        <w:spacing w:after="0" w:line="289" w:lineRule="exact"/>
        <w:rPr>
          <w:sz w:val="20"/>
          <w:szCs w:val="20"/>
          <w:color w:val="auto"/>
        </w:rPr>
      </w:pPr>
    </w:p>
    <w:p>
      <w:pPr>
        <w:ind w:left="3560"/>
        <w:spacing w:after="0"/>
        <w:tabs>
          <w:tab w:leader="none" w:pos="402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7"/>
          <w:szCs w:val="17"/>
          <w:color w:val="auto"/>
        </w:rPr>
        <w:t>/s/ John V. Britti</w:t>
      </w:r>
    </w:p>
    <w:p>
      <w:pPr>
        <w:ind w:left="3560"/>
        <w:spacing w:after="0" w:line="198" w:lineRule="auto"/>
        <w:rPr>
          <w:sz w:val="20"/>
          <w:szCs w:val="20"/>
          <w:color w:val="auto"/>
        </w:rPr>
      </w:pPr>
      <w:r>
        <w:rPr>
          <w:rFonts w:ascii="Arial" w:cs="Arial" w:eastAsia="Arial" w:hAnsi="Arial"/>
          <w:sz w:val="19"/>
          <w:szCs w:val="19"/>
          <w:color w:val="auto"/>
        </w:rPr>
        <w:t>Name: John V. Britti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2440305</wp:posOffset>
            </wp:positionH>
            <wp:positionV relativeFrom="paragraph">
              <wp:posOffset>-113030</wp:posOffset>
            </wp:positionV>
            <wp:extent cx="102679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6">
                      <a:extLst>
                        <a:ext uri="{28A0092B-C50C-407E-A947-70E740481C1C}"/>
                      </a:extLst>
                    </a:blip>
                    <a:srcRect/>
                    <a:stretch>
                      <a:fillRect/>
                    </a:stretch>
                  </pic:blipFill>
                  <pic:spPr bwMode="auto">
                    <a:xfrm>
                      <a:off x="0" y="0"/>
                      <a:ext cx="1026795" cy="8255"/>
                    </a:xfrm>
                    <a:prstGeom prst="rect">
                      <a:avLst/>
                    </a:prstGeom>
                    <a:noFill/>
                  </pic:spPr>
                </pic:pic>
              </a:graphicData>
            </a:graphic>
          </wp:anchor>
        </w:drawing>
      </w:r>
    </w:p>
    <w:p>
      <w:pPr>
        <w:ind w:left="3560"/>
        <w:spacing w:after="0"/>
        <w:rPr>
          <w:sz w:val="20"/>
          <w:szCs w:val="20"/>
          <w:color w:val="auto"/>
        </w:rPr>
      </w:pPr>
      <w:r>
        <w:rPr>
          <w:rFonts w:ascii="Arial" w:cs="Arial" w:eastAsia="Arial" w:hAnsi="Arial"/>
          <w:sz w:val="19"/>
          <w:szCs w:val="19"/>
          <w:color w:val="auto"/>
        </w:rPr>
        <w:t>Title: EVP &amp; Chief Investment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Signature Page to Amendment Number Two to Shellpoint – PHH Subservicing Agreement</w:t>
      </w:r>
    </w:p>
    <w:p>
      <w:pPr>
        <w:sectPr>
          <w:pgSz w:w="11900" w:h="16838" w:orient="portrait"/>
          <w:cols w:equalWidth="0" w:num="1">
            <w:col w:w="11240"/>
          </w:cols>
          <w:pgMar w:left="320" w:top="1340" w:right="339" w:bottom="1440" w:gutter="0" w:footer="0" w:header="0"/>
        </w:sectPr>
      </w:pPr>
    </w:p>
    <w:bookmarkStart w:id="127" w:name="page128"/>
    <w:bookmarkEnd w:id="127"/>
    <w:p>
      <w:pPr>
        <w:ind w:left="2600"/>
        <w:spacing w:after="0"/>
        <w:rPr>
          <w:sz w:val="20"/>
          <w:szCs w:val="20"/>
          <w:color w:val="auto"/>
        </w:rPr>
      </w:pPr>
      <w:r>
        <w:rPr>
          <w:rFonts w:ascii="Arial" w:cs="Arial" w:eastAsia="Arial" w:hAnsi="Arial"/>
          <w:sz w:val="21"/>
          <w:szCs w:val="21"/>
          <w:b w:val="1"/>
          <w:bCs w:val="1"/>
          <w:color w:val="auto"/>
        </w:rPr>
        <w:t>NEWREZ LLC D/B/A</w:t>
      </w:r>
    </w:p>
    <w:p>
      <w:pPr>
        <w:ind w:left="2600"/>
        <w:spacing w:after="0" w:line="205" w:lineRule="auto"/>
        <w:rPr>
          <w:sz w:val="20"/>
          <w:szCs w:val="20"/>
          <w:color w:val="auto"/>
        </w:rPr>
      </w:pPr>
      <w:r>
        <w:rPr>
          <w:rFonts w:ascii="Arial" w:cs="Arial" w:eastAsia="Arial" w:hAnsi="Arial"/>
          <w:sz w:val="21"/>
          <w:szCs w:val="21"/>
          <w:b w:val="1"/>
          <w:bCs w:val="1"/>
          <w:color w:val="auto"/>
        </w:rPr>
        <w:t>SHELLPOINT MORTGAGE SERVICING</w:t>
      </w:r>
    </w:p>
    <w:p>
      <w:pPr>
        <w:ind w:left="2600"/>
        <w:spacing w:after="0"/>
        <w:rPr>
          <w:sz w:val="20"/>
          <w:szCs w:val="20"/>
          <w:color w:val="auto"/>
        </w:rPr>
      </w:pPr>
      <w:r>
        <w:rPr>
          <w:rFonts w:ascii="Arial" w:cs="Arial" w:eastAsia="Arial" w:hAnsi="Arial"/>
          <w:sz w:val="21"/>
          <w:szCs w:val="21"/>
          <w:b w:val="1"/>
          <w:bCs w:val="1"/>
          <w:color w:val="auto"/>
        </w:rPr>
        <w:t>(</w:t>
      </w:r>
      <w:r>
        <w:rPr>
          <w:rFonts w:ascii="Arial" w:cs="Arial" w:eastAsia="Arial" w:hAnsi="Arial"/>
          <w:sz w:val="21"/>
          <w:szCs w:val="21"/>
          <w:color w:val="auto"/>
        </w:rPr>
        <w:t>Owner/Servicer)</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440"/>
        <w:spacing w:after="0"/>
        <w:rPr>
          <w:sz w:val="20"/>
          <w:szCs w:val="20"/>
          <w:color w:val="auto"/>
        </w:rPr>
      </w:pPr>
      <w:r>
        <w:rPr>
          <w:rFonts w:ascii="Arial" w:cs="Arial" w:eastAsia="Arial" w:hAnsi="Arial"/>
          <w:sz w:val="19"/>
          <w:szCs w:val="19"/>
          <w:color w:val="auto"/>
        </w:rPr>
        <w:t>By: /s/ Nicola Santoro, Jr.</w:t>
      </w:r>
    </w:p>
    <w:p>
      <w:pPr>
        <w:ind w:left="2440"/>
        <w:spacing w:after="0" w:line="198" w:lineRule="auto"/>
        <w:rPr>
          <w:sz w:val="20"/>
          <w:szCs w:val="20"/>
          <w:color w:val="auto"/>
        </w:rPr>
      </w:pPr>
      <w:r>
        <w:rPr>
          <w:rFonts w:ascii="Arial" w:cs="Arial" w:eastAsia="Arial" w:hAnsi="Arial"/>
          <w:sz w:val="19"/>
          <w:szCs w:val="19"/>
          <w:color w:val="auto"/>
        </w:rPr>
        <w:t>Name: Nicola Santoro,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1758950</wp:posOffset>
            </wp:positionH>
            <wp:positionV relativeFrom="paragraph">
              <wp:posOffset>-113030</wp:posOffset>
            </wp:positionV>
            <wp:extent cx="127889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7">
                      <a:extLst>
                        <a:ext uri="{28A0092B-C50C-407E-A947-70E740481C1C}"/>
                      </a:extLst>
                    </a:blip>
                    <a:srcRect/>
                    <a:stretch>
                      <a:fillRect/>
                    </a:stretch>
                  </pic:blipFill>
                  <pic:spPr bwMode="auto">
                    <a:xfrm>
                      <a:off x="0" y="0"/>
                      <a:ext cx="1278890" cy="8255"/>
                    </a:xfrm>
                    <a:prstGeom prst="rect">
                      <a:avLst/>
                    </a:prstGeom>
                    <a:noFill/>
                  </pic:spPr>
                </pic:pic>
              </a:graphicData>
            </a:graphic>
          </wp:anchor>
        </w:drawing>
      </w:r>
    </w:p>
    <w:p>
      <w:pPr>
        <w:ind w:left="2440"/>
        <w:spacing w:after="0"/>
        <w:rPr>
          <w:sz w:val="20"/>
          <w:szCs w:val="20"/>
          <w:color w:val="auto"/>
        </w:rPr>
      </w:pPr>
      <w:r>
        <w:rPr>
          <w:rFonts w:ascii="Arial" w:cs="Arial" w:eastAsia="Arial" w:hAnsi="Arial"/>
          <w:sz w:val="19"/>
          <w:szCs w:val="19"/>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Signature Page to Amendment Number Two to Shellpoint – PHH Subservicing Agreement</w:t>
      </w:r>
    </w:p>
    <w:p>
      <w:pPr>
        <w:sectPr>
          <w:pgSz w:w="11900" w:h="16838" w:orient="portrait"/>
          <w:cols w:equalWidth="0" w:num="1">
            <w:col w:w="9019"/>
          </w:cols>
          <w:pgMar w:left="1440" w:top="1329" w:right="1440" w:bottom="1440" w:gutter="0" w:footer="0" w:header="0"/>
        </w:sectPr>
      </w:pPr>
    </w:p>
    <w:bookmarkStart w:id="128" w:name="page129"/>
    <w:bookmarkEnd w:id="128"/>
    <w:p>
      <w:pPr>
        <w:jc w:val="center"/>
        <w:spacing w:after="0"/>
        <w:rPr>
          <w:sz w:val="20"/>
          <w:szCs w:val="20"/>
          <w:color w:val="auto"/>
        </w:rPr>
      </w:pPr>
      <w:r>
        <w:rPr>
          <w:rFonts w:ascii="Arial" w:cs="Arial" w:eastAsia="Arial" w:hAnsi="Arial"/>
          <w:sz w:val="19"/>
          <w:szCs w:val="19"/>
          <w:b w:val="1"/>
          <w:bCs w:val="1"/>
          <w:color w:val="1F497D"/>
        </w:rPr>
        <w:t>Ocwen Financial Corporation</w:t>
      </w:r>
    </w:p>
    <w:p>
      <w:pPr>
        <w:jc w:val="center"/>
        <w:spacing w:after="0" w:line="198" w:lineRule="auto"/>
        <w:rPr>
          <w:sz w:val="20"/>
          <w:szCs w:val="20"/>
          <w:color w:val="auto"/>
        </w:rPr>
      </w:pPr>
      <w:r>
        <w:rPr>
          <w:rFonts w:ascii="Arial" w:cs="Arial" w:eastAsia="Arial" w:hAnsi="Arial"/>
          <w:sz w:val="19"/>
          <w:szCs w:val="19"/>
          <w:color w:val="auto"/>
        </w:rPr>
        <w:t>1661 Worthington Road, Suite 100</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West Palm Beach, FL 33409</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OFFER OF EMPLOYMENT</w:t>
      </w:r>
    </w:p>
    <w:p>
      <w:pPr>
        <w:spacing w:after="0" w:line="181" w:lineRule="exact"/>
        <w:rPr>
          <w:sz w:val="20"/>
          <w:szCs w:val="20"/>
          <w:color w:val="auto"/>
        </w:rPr>
      </w:pPr>
    </w:p>
    <w:p>
      <w:pPr>
        <w:spacing w:after="0"/>
        <w:rPr>
          <w:sz w:val="20"/>
          <w:szCs w:val="20"/>
          <w:color w:val="auto"/>
        </w:rPr>
      </w:pPr>
      <w:r>
        <w:rPr>
          <w:rFonts w:ascii="Arial" w:cs="Arial" w:eastAsia="Arial" w:hAnsi="Arial"/>
          <w:sz w:val="19"/>
          <w:szCs w:val="19"/>
          <w:color w:val="auto"/>
        </w:rPr>
        <w:t>Sean O’Neil</w:t>
      </w:r>
    </w:p>
    <w:p>
      <w:pPr>
        <w:spacing w:after="0"/>
        <w:rPr>
          <w:sz w:val="20"/>
          <w:szCs w:val="20"/>
          <w:color w:val="auto"/>
        </w:rPr>
      </w:pPr>
      <w:r>
        <w:rPr>
          <w:rFonts w:ascii="Arial" w:cs="Arial" w:eastAsia="Arial" w:hAnsi="Arial"/>
          <w:sz w:val="19"/>
          <w:szCs w:val="19"/>
          <w:color w:val="auto"/>
        </w:rPr>
        <w:t>Via Email</w:t>
      </w:r>
    </w:p>
    <w:p>
      <w:pPr>
        <w:spacing w:after="0" w:line="195" w:lineRule="exact"/>
        <w:rPr>
          <w:sz w:val="20"/>
          <w:szCs w:val="20"/>
          <w:color w:val="auto"/>
        </w:rPr>
      </w:pPr>
    </w:p>
    <w:p>
      <w:pPr>
        <w:spacing w:after="0"/>
        <w:rPr>
          <w:sz w:val="20"/>
          <w:szCs w:val="20"/>
          <w:color w:val="auto"/>
        </w:rPr>
      </w:pPr>
      <w:r>
        <w:rPr>
          <w:rFonts w:ascii="Arial" w:cs="Arial" w:eastAsia="Arial" w:hAnsi="Arial"/>
          <w:sz w:val="19"/>
          <w:szCs w:val="19"/>
          <w:color w:val="auto"/>
        </w:rPr>
        <w:t>Dear Sean:</w:t>
      </w:r>
    </w:p>
    <w:p>
      <w:pPr>
        <w:spacing w:after="0" w:line="195" w:lineRule="exact"/>
        <w:rPr>
          <w:sz w:val="20"/>
          <w:szCs w:val="20"/>
          <w:color w:val="auto"/>
        </w:rPr>
      </w:pPr>
    </w:p>
    <w:p>
      <w:pPr>
        <w:jc w:val="both"/>
        <w:spacing w:after="0" w:line="215" w:lineRule="auto"/>
        <w:rPr>
          <w:sz w:val="20"/>
          <w:szCs w:val="20"/>
          <w:color w:val="auto"/>
        </w:rPr>
      </w:pPr>
      <w:r>
        <w:rPr>
          <w:rFonts w:ascii="Arial" w:cs="Arial" w:eastAsia="Arial" w:hAnsi="Arial"/>
          <w:sz w:val="19"/>
          <w:szCs w:val="19"/>
          <w:color w:val="auto"/>
        </w:rPr>
        <w:t xml:space="preserve">On behalf of Glen Messina, President and CEO of Ocwen Financial Corporation (the Company), we are very excited to confirm our offer of employment to you as </w:t>
      </w:r>
      <w:r>
        <w:rPr>
          <w:rFonts w:ascii="Arial" w:cs="Arial" w:eastAsia="Arial" w:hAnsi="Arial"/>
          <w:sz w:val="19"/>
          <w:szCs w:val="19"/>
          <w:i w:val="1"/>
          <w:iCs w:val="1"/>
          <w:color w:val="auto"/>
        </w:rPr>
        <w:t>Executive Vice President, Chief Financial Officer</w:t>
      </w:r>
      <w:r>
        <w:rPr>
          <w:rFonts w:ascii="Arial" w:cs="Arial" w:eastAsia="Arial" w:hAnsi="Arial"/>
          <w:sz w:val="19"/>
          <w:szCs w:val="19"/>
          <w:color w:val="auto"/>
        </w:rPr>
        <w:t>, reporting to Mr. Messina. This offer will remain open until May 31, 2022 and is conditioned upon your employment beginning on or before June 13, 2022.</w:t>
      </w:r>
    </w:p>
    <w:p>
      <w:pPr>
        <w:spacing w:after="0" w:line="188" w:lineRule="exact"/>
        <w:rPr>
          <w:sz w:val="20"/>
          <w:szCs w:val="20"/>
          <w:color w:val="auto"/>
        </w:rPr>
      </w:pPr>
    </w:p>
    <w:p>
      <w:pPr>
        <w:jc w:val="both"/>
        <w:spacing w:after="0" w:line="224" w:lineRule="auto"/>
        <w:rPr>
          <w:sz w:val="20"/>
          <w:szCs w:val="20"/>
          <w:color w:val="auto"/>
        </w:rPr>
      </w:pPr>
      <w:r>
        <w:rPr>
          <w:rFonts w:ascii="Arial" w:cs="Arial" w:eastAsia="Arial" w:hAnsi="Arial"/>
          <w:sz w:val="19"/>
          <w:szCs w:val="19"/>
          <w:color w:val="auto"/>
        </w:rPr>
        <w:t>Below is an outline of your annual target compensation package totaling $1,750,000. All compensation is subject to applicable withholding taxes and deductions and is contingent upon your continued employment.</w:t>
      </w:r>
    </w:p>
    <w:p>
      <w:pPr>
        <w:spacing w:after="0" w:line="163" w:lineRule="exact"/>
        <w:rPr>
          <w:sz w:val="20"/>
          <w:szCs w:val="20"/>
          <w:color w:val="auto"/>
        </w:rPr>
      </w:pPr>
    </w:p>
    <w:p>
      <w:pPr>
        <w:jc w:val="both"/>
        <w:ind w:left="620"/>
        <w:spacing w:after="0" w:line="237" w:lineRule="auto"/>
        <w:rPr>
          <w:sz w:val="20"/>
          <w:szCs w:val="20"/>
          <w:color w:val="auto"/>
        </w:rPr>
      </w:pPr>
      <w:r>
        <w:rPr>
          <w:rFonts w:ascii="Arial" w:cs="Arial" w:eastAsia="Arial" w:hAnsi="Arial"/>
          <w:sz w:val="19"/>
          <w:szCs w:val="19"/>
          <w:b w:val="1"/>
          <w:bCs w:val="1"/>
          <w:color w:val="auto"/>
        </w:rPr>
        <w:t>Salary</w:t>
      </w:r>
      <w:r>
        <w:rPr>
          <w:rFonts w:ascii="Arial" w:cs="Arial" w:eastAsia="Arial" w:hAnsi="Arial"/>
          <w:sz w:val="19"/>
          <w:szCs w:val="19"/>
          <w:color w:val="auto"/>
        </w:rPr>
        <w:t>. You will receive an annual base salary of $550,000, which is payable in bi-weekly installments. As an exempt</w:t>
      </w:r>
      <w:r>
        <w:rPr>
          <w:rFonts w:ascii="Arial" w:cs="Arial" w:eastAsia="Arial" w:hAnsi="Arial"/>
          <w:sz w:val="19"/>
          <w:szCs w:val="19"/>
          <w:b w:val="1"/>
          <w:bCs w:val="1"/>
          <w:color w:val="auto"/>
        </w:rPr>
        <w:t xml:space="preserve"> </w:t>
      </w:r>
      <w:r>
        <w:rPr>
          <w:rFonts w:ascii="Arial" w:cs="Arial" w:eastAsia="Arial" w:hAnsi="Arial"/>
          <w:sz w:val="19"/>
          <w:szCs w:val="19"/>
          <w:color w:val="auto"/>
        </w:rPr>
        <w:t>employee, you will be ineligible for overtime.</w:t>
      </w:r>
    </w:p>
    <w:p>
      <w:pPr>
        <w:spacing w:after="0" w:line="163" w:lineRule="exact"/>
        <w:rPr>
          <w:sz w:val="20"/>
          <w:szCs w:val="20"/>
          <w:color w:val="auto"/>
        </w:rPr>
      </w:pPr>
    </w:p>
    <w:p>
      <w:pPr>
        <w:jc w:val="both"/>
        <w:ind w:left="620"/>
        <w:spacing w:after="0" w:line="234" w:lineRule="auto"/>
        <w:rPr>
          <w:sz w:val="20"/>
          <w:szCs w:val="20"/>
          <w:color w:val="auto"/>
        </w:rPr>
      </w:pPr>
      <w:r>
        <w:rPr>
          <w:rFonts w:ascii="Arial" w:cs="Arial" w:eastAsia="Arial" w:hAnsi="Arial"/>
          <w:sz w:val="19"/>
          <w:szCs w:val="19"/>
          <w:b w:val="1"/>
          <w:bCs w:val="1"/>
          <w:color w:val="auto"/>
        </w:rPr>
        <w:t xml:space="preserve">AIP. </w:t>
      </w:r>
      <w:r>
        <w:rPr>
          <w:rFonts w:ascii="Arial" w:cs="Arial" w:eastAsia="Arial" w:hAnsi="Arial"/>
          <w:sz w:val="19"/>
          <w:szCs w:val="19"/>
          <w:color w:val="auto"/>
        </w:rPr>
        <w:t>Your annual incentive compensation target under the Annual Incentive Plan (AIP) will equal $550,000 or 100% of your</w:t>
      </w:r>
      <w:r>
        <w:rPr>
          <w:rFonts w:ascii="Arial" w:cs="Arial" w:eastAsia="Arial" w:hAnsi="Arial"/>
          <w:sz w:val="19"/>
          <w:szCs w:val="19"/>
          <w:b w:val="1"/>
          <w:bCs w:val="1"/>
          <w:color w:val="auto"/>
        </w:rPr>
        <w:t xml:space="preserve"> </w:t>
      </w:r>
      <w:r>
        <w:rPr>
          <w:rFonts w:ascii="Arial" w:cs="Arial" w:eastAsia="Arial" w:hAnsi="Arial"/>
          <w:sz w:val="19"/>
          <w:szCs w:val="19"/>
          <w:color w:val="auto"/>
        </w:rPr>
        <w:t>base salary. Actual payout is based on Company, business unit and individual performance, subject to the Plan as it may be amended from time to time. Your AIP target for 2022 will not be pro-rated provided you begin employment by June 13</w:t>
      </w:r>
      <w:r>
        <w:rPr>
          <w:rFonts w:ascii="Arial" w:cs="Arial" w:eastAsia="Arial" w:hAnsi="Arial"/>
          <w:sz w:val="24"/>
          <w:szCs w:val="24"/>
          <w:color w:val="auto"/>
          <w:vertAlign w:val="superscript"/>
        </w:rPr>
        <w:t>th</w:t>
      </w:r>
      <w:r>
        <w:rPr>
          <w:rFonts w:ascii="Arial" w:cs="Arial" w:eastAsia="Arial" w:hAnsi="Arial"/>
          <w:sz w:val="19"/>
          <w:szCs w:val="19"/>
          <w:color w:val="auto"/>
        </w:rPr>
        <w:t>.</w:t>
      </w:r>
    </w:p>
    <w:p>
      <w:pPr>
        <w:spacing w:after="0" w:line="80" w:lineRule="exact"/>
        <w:rPr>
          <w:sz w:val="20"/>
          <w:szCs w:val="20"/>
          <w:color w:val="auto"/>
        </w:rPr>
      </w:pPr>
    </w:p>
    <w:p>
      <w:pPr>
        <w:jc w:val="both"/>
        <w:ind w:left="620"/>
        <w:spacing w:after="0" w:line="214" w:lineRule="auto"/>
        <w:rPr>
          <w:sz w:val="20"/>
          <w:szCs w:val="20"/>
          <w:color w:val="auto"/>
        </w:rPr>
      </w:pPr>
      <w:r>
        <w:rPr>
          <w:rFonts w:ascii="Arial" w:cs="Arial" w:eastAsia="Arial" w:hAnsi="Arial"/>
          <w:sz w:val="19"/>
          <w:szCs w:val="19"/>
          <w:b w:val="1"/>
          <w:bCs w:val="1"/>
          <w:color w:val="auto"/>
        </w:rPr>
        <w:t xml:space="preserve">LTIP. </w:t>
      </w:r>
      <w:r>
        <w:rPr>
          <w:rFonts w:ascii="Arial" w:cs="Arial" w:eastAsia="Arial" w:hAnsi="Arial"/>
          <w:sz w:val="19"/>
          <w:szCs w:val="19"/>
          <w:color w:val="auto"/>
        </w:rPr>
        <w:t>You will receive a 2022 Long-Term Incentive Plan (LTIP) award with the target value of $650,000, 118% of your base</w:t>
      </w:r>
      <w:r>
        <w:rPr>
          <w:rFonts w:ascii="Arial" w:cs="Arial" w:eastAsia="Arial" w:hAnsi="Arial"/>
          <w:sz w:val="19"/>
          <w:szCs w:val="19"/>
          <w:b w:val="1"/>
          <w:bCs w:val="1"/>
          <w:color w:val="auto"/>
        </w:rPr>
        <w:t xml:space="preserve"> </w:t>
      </w:r>
      <w:r>
        <w:rPr>
          <w:rFonts w:ascii="Arial" w:cs="Arial" w:eastAsia="Arial" w:hAnsi="Arial"/>
          <w:sz w:val="19"/>
          <w:szCs w:val="19"/>
          <w:color w:val="auto"/>
        </w:rPr>
        <w:t>salary, the unit quantity of which will denominated by Ocwen’s average closing stock price for the 30-day period ending with your employment start date. This award is subject to approval of the grant by the Compensation &amp; Human Capital Committee of the Ocwen Board of Directors, the terms of Ocwen’s 2021 Equity Incentive Plan and the terms of the applicable award agreements:</w:t>
      </w:r>
    </w:p>
    <w:p>
      <w:pPr>
        <w:spacing w:after="0" w:line="187" w:lineRule="exact"/>
        <w:rPr>
          <w:sz w:val="20"/>
          <w:szCs w:val="20"/>
          <w:color w:val="auto"/>
        </w:rPr>
      </w:pPr>
    </w:p>
    <w:p>
      <w:pPr>
        <w:ind w:left="1240" w:hanging="306"/>
        <w:spacing w:after="0" w:line="224" w:lineRule="auto"/>
        <w:tabs>
          <w:tab w:leader="none" w:pos="1203" w:val="left"/>
        </w:tabs>
        <w:numPr>
          <w:ilvl w:val="0"/>
          <w:numId w:val="102"/>
        </w:numPr>
        <w:rPr>
          <w:rFonts w:ascii="Arial" w:cs="Arial" w:eastAsia="Arial" w:hAnsi="Arial"/>
          <w:sz w:val="19"/>
          <w:szCs w:val="19"/>
          <w:color w:val="auto"/>
        </w:rPr>
      </w:pPr>
      <w:r>
        <w:rPr>
          <w:rFonts w:ascii="Arial" w:cs="Arial" w:eastAsia="Arial" w:hAnsi="Arial"/>
          <w:sz w:val="19"/>
          <w:szCs w:val="19"/>
          <w:color w:val="auto"/>
        </w:rPr>
        <w:t>50% of target units will be granted as time-vested Restricted Stock Units (RSUs), vesting in equal thirds on each of the first three anniversaries of your employment start date; and</w:t>
      </w:r>
    </w:p>
    <w:p>
      <w:pPr>
        <w:spacing w:after="0" w:line="186" w:lineRule="exact"/>
        <w:rPr>
          <w:rFonts w:ascii="Arial" w:cs="Arial" w:eastAsia="Arial" w:hAnsi="Arial"/>
          <w:sz w:val="19"/>
          <w:szCs w:val="19"/>
          <w:color w:val="auto"/>
        </w:rPr>
      </w:pPr>
    </w:p>
    <w:p>
      <w:pPr>
        <w:jc w:val="both"/>
        <w:ind w:left="1240" w:hanging="306"/>
        <w:spacing w:after="0" w:line="215" w:lineRule="auto"/>
        <w:tabs>
          <w:tab w:leader="none" w:pos="1203" w:val="left"/>
        </w:tabs>
        <w:numPr>
          <w:ilvl w:val="0"/>
          <w:numId w:val="102"/>
        </w:numPr>
        <w:rPr>
          <w:rFonts w:ascii="Arial" w:cs="Arial" w:eastAsia="Arial" w:hAnsi="Arial"/>
          <w:sz w:val="19"/>
          <w:szCs w:val="19"/>
          <w:color w:val="auto"/>
        </w:rPr>
      </w:pPr>
      <w:r>
        <w:rPr>
          <w:rFonts w:ascii="Arial" w:cs="Arial" w:eastAsia="Arial" w:hAnsi="Arial"/>
          <w:sz w:val="19"/>
          <w:szCs w:val="19"/>
          <w:color w:val="auto"/>
        </w:rPr>
        <w:t>50% of target units will be granted as Performance Restricted Stock Units (PRSUs), vesting in its entirety on the third anniversary of your employment start date. The performance-based component of the Award measures Total Shareholder Return (TSR) performance against a group of peer companies.</w:t>
      </w:r>
    </w:p>
    <w:p>
      <w:pPr>
        <w:spacing w:after="0" w:line="188" w:lineRule="exact"/>
        <w:rPr>
          <w:sz w:val="20"/>
          <w:szCs w:val="20"/>
          <w:color w:val="auto"/>
        </w:rPr>
      </w:pPr>
    </w:p>
    <w:p>
      <w:pPr>
        <w:spacing w:after="0"/>
        <w:rPr>
          <w:sz w:val="20"/>
          <w:szCs w:val="20"/>
          <w:color w:val="auto"/>
        </w:rPr>
      </w:pPr>
      <w:r>
        <w:rPr>
          <w:rFonts w:ascii="Arial" w:cs="Arial" w:eastAsia="Arial" w:hAnsi="Arial"/>
          <w:sz w:val="19"/>
          <w:szCs w:val="19"/>
          <w:color w:val="auto"/>
        </w:rPr>
        <w:t>In addition, you will be eligible for the following one-time compensation arrangements:</w:t>
      </w:r>
    </w:p>
    <w:p>
      <w:pPr>
        <w:spacing w:after="0" w:line="171" w:lineRule="exact"/>
        <w:rPr>
          <w:sz w:val="20"/>
          <w:szCs w:val="20"/>
          <w:color w:val="auto"/>
        </w:rPr>
      </w:pPr>
    </w:p>
    <w:p>
      <w:pPr>
        <w:ind w:left="620"/>
        <w:spacing w:after="0" w:line="211" w:lineRule="auto"/>
        <w:rPr>
          <w:sz w:val="20"/>
          <w:szCs w:val="20"/>
          <w:color w:val="auto"/>
        </w:rPr>
      </w:pPr>
      <w:r>
        <w:rPr>
          <w:rFonts w:ascii="Arial" w:cs="Arial" w:eastAsia="Arial" w:hAnsi="Arial"/>
          <w:sz w:val="19"/>
          <w:szCs w:val="19"/>
          <w:b w:val="1"/>
          <w:bCs w:val="1"/>
          <w:color w:val="auto"/>
        </w:rPr>
        <w:t xml:space="preserve">Cash Sign-on Bonus. </w:t>
      </w:r>
      <w:r>
        <w:rPr>
          <w:rFonts w:ascii="Arial" w:cs="Arial" w:eastAsia="Arial" w:hAnsi="Arial"/>
          <w:sz w:val="19"/>
          <w:szCs w:val="19"/>
          <w:color w:val="auto"/>
        </w:rPr>
        <w:t>You will receive a cash sign-on bonus totaling the amount of $650,000, payable in the following</w:t>
      </w:r>
      <w:r>
        <w:rPr>
          <w:rFonts w:ascii="Arial" w:cs="Arial" w:eastAsia="Arial" w:hAnsi="Arial"/>
          <w:sz w:val="19"/>
          <w:szCs w:val="19"/>
          <w:b w:val="1"/>
          <w:bCs w:val="1"/>
          <w:color w:val="auto"/>
        </w:rPr>
        <w:t xml:space="preserve"> </w:t>
      </w:r>
      <w:r>
        <w:rPr>
          <w:rFonts w:ascii="Arial" w:cs="Arial" w:eastAsia="Arial" w:hAnsi="Arial"/>
          <w:sz w:val="19"/>
          <w:szCs w:val="19"/>
          <w:color w:val="auto"/>
        </w:rPr>
        <w:t>installments:</w:t>
      </w:r>
    </w:p>
    <w:p>
      <w:pPr>
        <w:ind w:left="1260" w:hanging="326"/>
        <w:spacing w:after="0" w:line="200" w:lineRule="auto"/>
        <w:tabs>
          <w:tab w:leader="none" w:pos="1260" w:val="left"/>
        </w:tabs>
        <w:numPr>
          <w:ilvl w:val="0"/>
          <w:numId w:val="103"/>
        </w:numPr>
        <w:rPr>
          <w:rFonts w:ascii="Arial" w:cs="Arial" w:eastAsia="Arial" w:hAnsi="Arial"/>
          <w:sz w:val="19"/>
          <w:szCs w:val="19"/>
          <w:color w:val="auto"/>
        </w:rPr>
      </w:pPr>
      <w:r>
        <w:rPr>
          <w:rFonts w:ascii="Arial" w:cs="Arial" w:eastAsia="Arial" w:hAnsi="Arial"/>
          <w:sz w:val="19"/>
          <w:szCs w:val="19"/>
          <w:color w:val="auto"/>
        </w:rPr>
        <w:t>$125,000 within 30 days following your employment start date;</w:t>
      </w:r>
    </w:p>
    <w:p>
      <w:pPr>
        <w:ind w:left="1260" w:hanging="326"/>
        <w:spacing w:after="0" w:line="198" w:lineRule="auto"/>
        <w:tabs>
          <w:tab w:leader="none" w:pos="1260" w:val="left"/>
        </w:tabs>
        <w:numPr>
          <w:ilvl w:val="0"/>
          <w:numId w:val="103"/>
        </w:numPr>
        <w:rPr>
          <w:rFonts w:ascii="Arial" w:cs="Arial" w:eastAsia="Arial" w:hAnsi="Arial"/>
          <w:sz w:val="19"/>
          <w:szCs w:val="19"/>
          <w:color w:val="auto"/>
        </w:rPr>
      </w:pPr>
      <w:r>
        <w:rPr>
          <w:rFonts w:ascii="Arial" w:cs="Arial" w:eastAsia="Arial" w:hAnsi="Arial"/>
          <w:sz w:val="19"/>
          <w:szCs w:val="19"/>
          <w:color w:val="auto"/>
        </w:rPr>
        <w:t>$250,000 within 30 days following your one-year employment anniversary;</w:t>
      </w:r>
    </w:p>
    <w:p>
      <w:pPr>
        <w:ind w:left="1260" w:hanging="326"/>
        <w:spacing w:after="0" w:line="198" w:lineRule="auto"/>
        <w:tabs>
          <w:tab w:leader="none" w:pos="1260" w:val="left"/>
        </w:tabs>
        <w:numPr>
          <w:ilvl w:val="0"/>
          <w:numId w:val="103"/>
        </w:numPr>
        <w:rPr>
          <w:rFonts w:ascii="Arial" w:cs="Arial" w:eastAsia="Arial" w:hAnsi="Arial"/>
          <w:sz w:val="19"/>
          <w:szCs w:val="19"/>
          <w:color w:val="auto"/>
        </w:rPr>
      </w:pPr>
      <w:r>
        <w:rPr>
          <w:rFonts w:ascii="Arial" w:cs="Arial" w:eastAsia="Arial" w:hAnsi="Arial"/>
          <w:sz w:val="19"/>
          <w:szCs w:val="19"/>
          <w:color w:val="auto"/>
        </w:rPr>
        <w:t>$125,000 within 30 days following your two-year employment anniversary; and</w:t>
      </w:r>
    </w:p>
    <w:p>
      <w:pPr>
        <w:ind w:left="1260" w:hanging="326"/>
        <w:spacing w:after="0"/>
        <w:tabs>
          <w:tab w:leader="none" w:pos="1260" w:val="left"/>
        </w:tabs>
        <w:numPr>
          <w:ilvl w:val="0"/>
          <w:numId w:val="103"/>
        </w:numPr>
        <w:rPr>
          <w:rFonts w:ascii="Arial" w:cs="Arial" w:eastAsia="Arial" w:hAnsi="Arial"/>
          <w:sz w:val="19"/>
          <w:szCs w:val="19"/>
          <w:color w:val="auto"/>
        </w:rPr>
      </w:pPr>
      <w:r>
        <w:rPr>
          <w:rFonts w:ascii="Arial" w:cs="Arial" w:eastAsia="Arial" w:hAnsi="Arial"/>
          <w:sz w:val="19"/>
          <w:szCs w:val="19"/>
          <w:color w:val="auto"/>
        </w:rPr>
        <w:t>$150,000 within 30 days following your three-year employment anniversary.</w:t>
      </w:r>
    </w:p>
    <w:p>
      <w:pPr>
        <w:spacing w:after="0" w:line="195" w:lineRule="exact"/>
        <w:rPr>
          <w:sz w:val="20"/>
          <w:szCs w:val="20"/>
          <w:color w:val="auto"/>
        </w:rPr>
      </w:pPr>
    </w:p>
    <w:p>
      <w:pPr>
        <w:ind w:left="620"/>
        <w:spacing w:after="0" w:line="224" w:lineRule="auto"/>
        <w:rPr>
          <w:sz w:val="20"/>
          <w:szCs w:val="20"/>
          <w:color w:val="auto"/>
        </w:rPr>
      </w:pPr>
      <w:r>
        <w:rPr>
          <w:rFonts w:ascii="Arial" w:cs="Arial" w:eastAsia="Arial" w:hAnsi="Arial"/>
          <w:sz w:val="19"/>
          <w:szCs w:val="19"/>
          <w:color w:val="auto"/>
        </w:rPr>
        <w:t xml:space="preserve">In the event you resign from your position (with the exception of a Resignation for Good Reason as defined in </w:t>
      </w:r>
      <w:r>
        <w:rPr>
          <w:rFonts w:ascii="Arial" w:cs="Arial" w:eastAsia="Arial" w:hAnsi="Arial"/>
          <w:sz w:val="19"/>
          <w:szCs w:val="19"/>
          <w:u w:val="single" w:color="auto"/>
          <w:color w:val="auto"/>
        </w:rPr>
        <w:t>Exhibit A</w:t>
      </w:r>
      <w:r>
        <w:rPr>
          <w:rFonts w:ascii="Arial" w:cs="Arial" w:eastAsia="Arial" w:hAnsi="Arial"/>
          <w:sz w:val="19"/>
          <w:szCs w:val="19"/>
          <w:color w:val="auto"/>
        </w:rPr>
        <w:t>) prior to the one-year anniversary of each cash sign-on payment, you will be required to reimburse the Company for that payment.</w:t>
      </w:r>
    </w:p>
    <w:p>
      <w:pPr>
        <w:sectPr>
          <w:pgSz w:w="11900" w:h="16838" w:orient="portrait"/>
          <w:cols w:equalWidth="0" w:num="1">
            <w:col w:w="11240"/>
          </w:cols>
          <w:pgMar w:left="320" w:top="1326" w:right="339" w:bottom="1440" w:gutter="0" w:footer="0" w:header="0"/>
        </w:sectPr>
      </w:pPr>
    </w:p>
    <w:bookmarkStart w:id="129" w:name="page130"/>
    <w:bookmarkEnd w:id="129"/>
    <w:p>
      <w:pPr>
        <w:jc w:val="both"/>
        <w:ind w:left="620"/>
        <w:spacing w:after="0" w:line="211" w:lineRule="auto"/>
        <w:rPr>
          <w:sz w:val="20"/>
          <w:szCs w:val="20"/>
          <w:color w:val="auto"/>
        </w:rPr>
      </w:pPr>
      <w:r>
        <w:rPr>
          <w:rFonts w:ascii="Arial" w:cs="Arial" w:eastAsia="Arial" w:hAnsi="Arial"/>
          <w:sz w:val="19"/>
          <w:szCs w:val="19"/>
          <w:b w:val="1"/>
          <w:bCs w:val="1"/>
          <w:color w:val="auto"/>
        </w:rPr>
        <w:t xml:space="preserve">Sign-on Restricted Stock Units. </w:t>
      </w:r>
      <w:r>
        <w:rPr>
          <w:rFonts w:ascii="Arial" w:cs="Arial" w:eastAsia="Arial" w:hAnsi="Arial"/>
          <w:sz w:val="19"/>
          <w:szCs w:val="19"/>
          <w:color w:val="auto"/>
        </w:rPr>
        <w:t>You will receive a one-time award of Restricted Stock Units, with the number of units</w:t>
      </w:r>
      <w:r>
        <w:rPr>
          <w:rFonts w:ascii="Arial" w:cs="Arial" w:eastAsia="Arial" w:hAnsi="Arial"/>
          <w:sz w:val="19"/>
          <w:szCs w:val="19"/>
          <w:b w:val="1"/>
          <w:bCs w:val="1"/>
          <w:color w:val="auto"/>
        </w:rPr>
        <w:t xml:space="preserve"> </w:t>
      </w:r>
      <w:r>
        <w:rPr>
          <w:rFonts w:ascii="Arial" w:cs="Arial" w:eastAsia="Arial" w:hAnsi="Arial"/>
          <w:sz w:val="19"/>
          <w:szCs w:val="19"/>
          <w:color w:val="auto"/>
        </w:rPr>
        <w:t>determined by dividing the target value of $1,250,000 by the closing share price of Ocwen common stock on your employment start date. These units will vest in equal fourths on the first, second, third and fourth anniversaries of the grant, and settling in shares of Ocwen common stock to the extent shares are available under the 2021 Equity Incentive Plan (and settling in cash to the extent shares are unavailable). This award is subject to approval of the grant by the Compensation &amp; Human Capital Committee of the Ocwen Board of Directors.</w:t>
      </w:r>
    </w:p>
    <w:p>
      <w:pPr>
        <w:spacing w:after="0" w:line="189" w:lineRule="exact"/>
        <w:rPr>
          <w:sz w:val="20"/>
          <w:szCs w:val="20"/>
          <w:color w:val="auto"/>
        </w:rPr>
      </w:pPr>
    </w:p>
    <w:p>
      <w:pPr>
        <w:jc w:val="both"/>
        <w:spacing w:after="0" w:line="211" w:lineRule="auto"/>
        <w:rPr>
          <w:sz w:val="20"/>
          <w:szCs w:val="20"/>
          <w:color w:val="auto"/>
        </w:rPr>
      </w:pPr>
      <w:r>
        <w:rPr>
          <w:rFonts w:ascii="Arial" w:cs="Arial" w:eastAsia="Arial" w:hAnsi="Arial"/>
          <w:sz w:val="19"/>
          <w:szCs w:val="19"/>
          <w:color w:val="auto"/>
        </w:rPr>
        <w:t xml:space="preserve">In the event of termination without cause or Resignation for Good Reason (as defined in </w:t>
      </w:r>
      <w:r>
        <w:rPr>
          <w:rFonts w:ascii="Arial" w:cs="Arial" w:eastAsia="Arial" w:hAnsi="Arial"/>
          <w:sz w:val="19"/>
          <w:szCs w:val="19"/>
          <w:u w:val="single" w:color="auto"/>
          <w:color w:val="auto"/>
        </w:rPr>
        <w:t>Exhibit A</w:t>
      </w:r>
      <w:r>
        <w:rPr>
          <w:rFonts w:ascii="Arial" w:cs="Arial" w:eastAsia="Arial" w:hAnsi="Arial"/>
          <w:sz w:val="19"/>
          <w:szCs w:val="19"/>
          <w:color w:val="auto"/>
        </w:rPr>
        <w:t>), Ocwen will pay you an amount equivalent to the value of any unpaid cash sign-on bonus payments and unvested sign-on Restricted Stock Units. In addition, any termination without cause or Resignation for Good Reason within four years of your employment start date will constitute an “Eligible Termination” under the Company’s United States Basic Severance Plan.</w:t>
      </w:r>
    </w:p>
    <w:p>
      <w:pPr>
        <w:spacing w:after="0" w:line="188" w:lineRule="exact"/>
        <w:rPr>
          <w:sz w:val="20"/>
          <w:szCs w:val="20"/>
          <w:color w:val="auto"/>
        </w:rPr>
      </w:pPr>
    </w:p>
    <w:p>
      <w:pPr>
        <w:jc w:val="both"/>
        <w:spacing w:after="0" w:line="207" w:lineRule="auto"/>
        <w:rPr>
          <w:sz w:val="20"/>
          <w:szCs w:val="20"/>
          <w:color w:val="auto"/>
        </w:rPr>
      </w:pPr>
      <w:r>
        <w:rPr>
          <w:rFonts w:ascii="Arial" w:cs="Arial" w:eastAsia="Arial" w:hAnsi="Arial"/>
          <w:sz w:val="19"/>
          <w:szCs w:val="19"/>
          <w:color w:val="auto"/>
        </w:rPr>
        <w:t>You will be eligible to participate in Company benefits plans including health, disability, life insurance, 401(k), paid time off, tuition assistance, employee assistance and wellness programs subject to the terms, conditions, and limitations contained in the applicable plan documents and insurance policies. You will be eligible for health insurance benefits on the first day of the month after 30 days of employment. You have 30 days from your hire date to enroll for these benefits. If you do not enroll, it is assumed that you have declined voluntary benefits, which means you'll have no medical, dental or other voluntary coverage for the year, unless you experience a qualified life status event.</w:t>
      </w:r>
    </w:p>
    <w:p>
      <w:pPr>
        <w:spacing w:after="0" w:line="187" w:lineRule="exact"/>
        <w:rPr>
          <w:sz w:val="20"/>
          <w:szCs w:val="20"/>
          <w:color w:val="auto"/>
        </w:rPr>
      </w:pPr>
    </w:p>
    <w:p>
      <w:pPr>
        <w:jc w:val="both"/>
        <w:spacing w:after="0" w:line="224" w:lineRule="auto"/>
        <w:rPr>
          <w:sz w:val="20"/>
          <w:szCs w:val="20"/>
          <w:color w:val="auto"/>
        </w:rPr>
      </w:pPr>
      <w:r>
        <w:rPr>
          <w:rFonts w:ascii="Arial" w:cs="Arial" w:eastAsia="Arial" w:hAnsi="Arial"/>
          <w:sz w:val="19"/>
          <w:szCs w:val="19"/>
          <w:color w:val="auto"/>
        </w:rPr>
        <w:t>In addition to Company-designated holidays each year, you will begin to accrue paid time off on a bi-weekly basis beginning your first day of employment, which can be used after completing 30 days of employment.</w:t>
      </w:r>
    </w:p>
    <w:p>
      <w:pPr>
        <w:spacing w:after="0" w:line="187" w:lineRule="exact"/>
        <w:rPr>
          <w:sz w:val="20"/>
          <w:szCs w:val="20"/>
          <w:color w:val="auto"/>
        </w:rPr>
      </w:pPr>
    </w:p>
    <w:p>
      <w:pPr>
        <w:jc w:val="both"/>
        <w:spacing w:after="0" w:line="198" w:lineRule="auto"/>
        <w:rPr>
          <w:sz w:val="20"/>
          <w:szCs w:val="20"/>
          <w:color w:val="auto"/>
        </w:rPr>
      </w:pPr>
      <w:r>
        <w:rPr>
          <w:rFonts w:ascii="Arial" w:cs="Arial" w:eastAsia="Arial" w:hAnsi="Arial"/>
          <w:sz w:val="19"/>
          <w:szCs w:val="19"/>
          <w:color w:val="auto"/>
        </w:rPr>
        <w:t>This offer and your acceptance are not to be construed as creating an employment contract for any definite period of time. In this regard, your employment is at-will. This means that either you or Ocwen are free to end the employment relationship at any time, with or without notice or cause. Nothing in this letter or Ocwen policies or procedures, either now or in the future, are intended to change the at-will nature of our relationship.</w:t>
      </w:r>
    </w:p>
    <w:p>
      <w:pPr>
        <w:spacing w:after="0" w:line="3" w:lineRule="exact"/>
        <w:rPr>
          <w:sz w:val="20"/>
          <w:szCs w:val="20"/>
          <w:color w:val="auto"/>
        </w:rPr>
      </w:pPr>
    </w:p>
    <w:p>
      <w:pPr>
        <w:jc w:val="both"/>
        <w:spacing w:after="0" w:line="224" w:lineRule="auto"/>
        <w:rPr>
          <w:sz w:val="20"/>
          <w:szCs w:val="20"/>
          <w:color w:val="auto"/>
        </w:rPr>
      </w:pPr>
      <w:r>
        <w:rPr>
          <w:rFonts w:ascii="Arial" w:cs="Arial" w:eastAsia="Arial" w:hAnsi="Arial"/>
          <w:sz w:val="19"/>
          <w:szCs w:val="19"/>
          <w:color w:val="auto"/>
        </w:rPr>
        <w:t>This offer and your acceptance are contingent upon the Company completing a satisfactory formal investigation of your background including a review of your employment history, criminal record and the successful completion of a drug screening.</w:t>
      </w:r>
    </w:p>
    <w:p>
      <w:pPr>
        <w:spacing w:after="0" w:line="187" w:lineRule="exact"/>
        <w:rPr>
          <w:sz w:val="20"/>
          <w:szCs w:val="20"/>
          <w:color w:val="auto"/>
        </w:rPr>
      </w:pPr>
    </w:p>
    <w:p>
      <w:pPr>
        <w:jc w:val="both"/>
        <w:spacing w:after="0" w:line="215" w:lineRule="auto"/>
        <w:rPr>
          <w:sz w:val="20"/>
          <w:szCs w:val="20"/>
          <w:color w:val="auto"/>
        </w:rPr>
      </w:pPr>
      <w:r>
        <w:rPr>
          <w:rFonts w:ascii="Arial" w:cs="Arial" w:eastAsia="Arial" w:hAnsi="Arial"/>
          <w:sz w:val="19"/>
          <w:szCs w:val="19"/>
          <w:color w:val="auto"/>
        </w:rPr>
        <w:t>You will also receive a Pre-Dispute Agreement, an Employee Confidentiality Agreement and a Conflict of Interest Agreement for your execution through an electronic signature system. Please complete at your earliest convenience following your acceptance of this offer and prior to your assigned start date.</w:t>
      </w:r>
    </w:p>
    <w:p>
      <w:pPr>
        <w:spacing w:after="0" w:line="188" w:lineRule="exact"/>
        <w:rPr>
          <w:sz w:val="20"/>
          <w:szCs w:val="20"/>
          <w:color w:val="auto"/>
        </w:rPr>
      </w:pPr>
    </w:p>
    <w:p>
      <w:pPr>
        <w:jc w:val="both"/>
        <w:spacing w:after="0" w:line="224" w:lineRule="auto"/>
        <w:rPr>
          <w:sz w:val="20"/>
          <w:szCs w:val="20"/>
          <w:color w:val="auto"/>
        </w:rPr>
      </w:pPr>
      <w:r>
        <w:rPr>
          <w:rFonts w:ascii="Arial" w:cs="Arial" w:eastAsia="Arial" w:hAnsi="Arial"/>
          <w:sz w:val="19"/>
          <w:szCs w:val="19"/>
          <w:color w:val="auto"/>
        </w:rPr>
        <w:t>We are very much looking forward to having you work with us at Ocwen and are confident you will find your role challenging and rewarding.</w:t>
      </w:r>
    </w:p>
    <w:p>
      <w:pPr>
        <w:spacing w:after="0" w:line="187" w:lineRule="exact"/>
        <w:rPr>
          <w:sz w:val="20"/>
          <w:szCs w:val="20"/>
          <w:color w:val="auto"/>
        </w:rPr>
      </w:pPr>
    </w:p>
    <w:p>
      <w:pPr>
        <w:spacing w:after="0"/>
        <w:rPr>
          <w:sz w:val="20"/>
          <w:szCs w:val="20"/>
          <w:color w:val="auto"/>
        </w:rPr>
      </w:pPr>
      <w:r>
        <w:rPr>
          <w:rFonts w:ascii="Arial" w:cs="Arial" w:eastAsia="Arial" w:hAnsi="Arial"/>
          <w:sz w:val="19"/>
          <w:szCs w:val="19"/>
          <w:color w:val="auto"/>
        </w:rPr>
        <w:t>Sincerely,</w:t>
      </w:r>
    </w:p>
    <w:p>
      <w:pPr>
        <w:spacing w:after="0" w:line="195" w:lineRule="exact"/>
        <w:rPr>
          <w:sz w:val="20"/>
          <w:szCs w:val="20"/>
          <w:color w:val="auto"/>
        </w:rPr>
      </w:pPr>
    </w:p>
    <w:p>
      <w:pPr>
        <w:spacing w:after="0"/>
        <w:rPr>
          <w:sz w:val="20"/>
          <w:szCs w:val="20"/>
          <w:color w:val="auto"/>
        </w:rPr>
      </w:pPr>
      <w:r>
        <w:rPr>
          <w:rFonts w:ascii="Arial" w:cs="Arial" w:eastAsia="Arial" w:hAnsi="Arial"/>
          <w:sz w:val="19"/>
          <w:szCs w:val="19"/>
          <w:color w:val="auto"/>
        </w:rPr>
        <w:t>/s/ Dennis Zeleny</w:t>
      </w:r>
    </w:p>
    <w:p>
      <w:pPr>
        <w:spacing w:after="0" w:line="157" w:lineRule="exact"/>
        <w:rPr>
          <w:sz w:val="20"/>
          <w:szCs w:val="20"/>
          <w:color w:val="auto"/>
        </w:rPr>
      </w:pPr>
    </w:p>
    <w:p>
      <w:pPr>
        <w:spacing w:after="0"/>
        <w:rPr>
          <w:sz w:val="20"/>
          <w:szCs w:val="20"/>
          <w:color w:val="auto"/>
        </w:rPr>
      </w:pPr>
      <w:r>
        <w:rPr>
          <w:rFonts w:ascii="Arial" w:cs="Arial" w:eastAsia="Arial" w:hAnsi="Arial"/>
          <w:sz w:val="19"/>
          <w:szCs w:val="19"/>
          <w:color w:val="auto"/>
        </w:rPr>
        <w:t>Dennis Zeleny</w:t>
      </w:r>
    </w:p>
    <w:p>
      <w:pPr>
        <w:spacing w:after="0" w:line="198" w:lineRule="auto"/>
        <w:rPr>
          <w:sz w:val="20"/>
          <w:szCs w:val="20"/>
          <w:color w:val="auto"/>
        </w:rPr>
      </w:pPr>
      <w:r>
        <w:rPr>
          <w:rFonts w:ascii="Arial" w:cs="Arial" w:eastAsia="Arial" w:hAnsi="Arial"/>
          <w:sz w:val="19"/>
          <w:szCs w:val="19"/>
          <w:color w:val="auto"/>
        </w:rPr>
        <w:t>EVP, Chief Administrative Officer</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Ocwen Financial Corporation</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260" w:type="dxa"/>
            <w:vAlign w:val="bottom"/>
          </w:tcPr>
          <w:p>
            <w:pPr>
              <w:spacing w:after="0"/>
              <w:rPr>
                <w:sz w:val="20"/>
                <w:szCs w:val="20"/>
                <w:color w:val="auto"/>
              </w:rPr>
            </w:pPr>
            <w:r>
              <w:rPr>
                <w:rFonts w:ascii="Arial" w:cs="Arial" w:eastAsia="Arial" w:hAnsi="Arial"/>
                <w:sz w:val="19"/>
                <w:szCs w:val="19"/>
                <w:color w:val="auto"/>
                <w:w w:val="97"/>
              </w:rPr>
              <w:t>Offer Accepted</w:t>
            </w:r>
          </w:p>
        </w:tc>
        <w:tc>
          <w:tcPr>
            <w:tcW w:w="35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600"/>
        </w:trPr>
        <w:tc>
          <w:tcPr>
            <w:tcW w:w="4840" w:type="dxa"/>
            <w:vAlign w:val="bottom"/>
            <w:gridSpan w:val="2"/>
          </w:tcPr>
          <w:p>
            <w:pPr>
              <w:spacing w:after="0"/>
              <w:rPr>
                <w:sz w:val="20"/>
                <w:szCs w:val="20"/>
                <w:color w:val="auto"/>
              </w:rPr>
            </w:pPr>
            <w:r>
              <w:rPr>
                <w:rFonts w:ascii="Arial" w:cs="Arial" w:eastAsia="Arial" w:hAnsi="Arial"/>
                <w:sz w:val="19"/>
                <w:szCs w:val="19"/>
                <w:color w:val="auto"/>
              </w:rPr>
              <w:t>/s/ Sean O’Neil__________________________</w:t>
            </w:r>
          </w:p>
        </w:tc>
        <w:tc>
          <w:tcPr>
            <w:tcW w:w="1800" w:type="dxa"/>
            <w:vAlign w:val="bottom"/>
            <w:gridSpan w:val="2"/>
          </w:tcPr>
          <w:p>
            <w:pPr>
              <w:jc w:val="right"/>
              <w:spacing w:after="0"/>
              <w:rPr>
                <w:sz w:val="20"/>
                <w:szCs w:val="20"/>
                <w:color w:val="auto"/>
              </w:rPr>
            </w:pPr>
            <w:r>
              <w:rPr>
                <w:rFonts w:ascii="Arial" w:cs="Arial" w:eastAsia="Arial" w:hAnsi="Arial"/>
                <w:sz w:val="19"/>
                <w:szCs w:val="19"/>
                <w:color w:val="auto"/>
                <w:w w:val="99"/>
              </w:rPr>
              <w:t>5/11/2022_________</w:t>
            </w:r>
          </w:p>
        </w:tc>
      </w:tr>
      <w:tr>
        <w:trPr>
          <w:trHeight w:val="224"/>
        </w:trPr>
        <w:tc>
          <w:tcPr>
            <w:tcW w:w="1260" w:type="dxa"/>
            <w:vAlign w:val="bottom"/>
            <w:tcBorders>
              <w:top w:val="single" w:sz="8" w:color="auto"/>
            </w:tcBorders>
          </w:tcPr>
          <w:p>
            <w:pPr>
              <w:spacing w:after="0"/>
              <w:rPr>
                <w:sz w:val="20"/>
                <w:szCs w:val="20"/>
                <w:color w:val="auto"/>
              </w:rPr>
            </w:pPr>
            <w:r>
              <w:rPr>
                <w:rFonts w:ascii="Arial" w:cs="Arial" w:eastAsia="Arial" w:hAnsi="Arial"/>
                <w:sz w:val="19"/>
                <w:szCs w:val="19"/>
                <w:color w:val="auto"/>
              </w:rPr>
              <w:t>Sean O’Neil</w:t>
            </w:r>
          </w:p>
        </w:tc>
        <w:tc>
          <w:tcPr>
            <w:tcW w:w="3580" w:type="dxa"/>
            <w:vAlign w:val="bottom"/>
          </w:tcPr>
          <w:p>
            <w:pPr>
              <w:ind w:left="1440"/>
              <w:spacing w:after="0" w:line="207" w:lineRule="exact"/>
              <w:rPr>
                <w:sz w:val="20"/>
                <w:szCs w:val="20"/>
                <w:color w:val="auto"/>
              </w:rPr>
            </w:pPr>
            <w:r>
              <w:rPr>
                <w:rFonts w:ascii="Arial" w:cs="Arial" w:eastAsia="Arial" w:hAnsi="Arial"/>
                <w:sz w:val="19"/>
                <w:szCs w:val="19"/>
                <w:color w:val="auto"/>
              </w:rPr>
              <w:t>Date</w:t>
            </w:r>
          </w:p>
        </w:tc>
        <w:tc>
          <w:tcPr>
            <w:tcW w:w="840" w:type="dxa"/>
            <w:vAlign w:val="bottom"/>
            <w:tcBorders>
              <w:top w:val="single" w:sz="8" w:color="auto"/>
            </w:tcBorders>
          </w:tcPr>
          <w:p>
            <w:pPr>
              <w:spacing w:after="0"/>
              <w:rPr>
                <w:sz w:val="19"/>
                <w:szCs w:val="19"/>
                <w:color w:val="auto"/>
              </w:rPr>
            </w:pPr>
          </w:p>
        </w:tc>
        <w:tc>
          <w:tcPr>
            <w:tcW w:w="960" w:type="dxa"/>
            <w:vAlign w:val="bottom"/>
          </w:tcPr>
          <w:p>
            <w:pPr>
              <w:spacing w:after="0"/>
              <w:rPr>
                <w:sz w:val="19"/>
                <w:szCs w:val="19"/>
                <w:color w:val="auto"/>
              </w:rPr>
            </w:pPr>
          </w:p>
        </w:tc>
      </w:tr>
    </w:tbl>
    <w:p>
      <w:pPr>
        <w:sectPr>
          <w:pgSz w:w="11900" w:h="16838" w:orient="portrait"/>
          <w:cols w:equalWidth="0" w:num="1">
            <w:col w:w="11240"/>
          </w:cols>
          <w:pgMar w:left="320" w:top="1340" w:right="339" w:bottom="1440" w:gutter="0" w:footer="0" w:header="0"/>
        </w:sectPr>
      </w:pPr>
    </w:p>
    <w:bookmarkStart w:id="130" w:name="page131"/>
    <w:bookmarkEnd w:id="13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right="4259" w:hanging="619"/>
        <w:spacing w:after="0" w:line="224" w:lineRule="auto"/>
        <w:rPr>
          <w:sz w:val="20"/>
          <w:szCs w:val="20"/>
          <w:color w:val="auto"/>
        </w:rPr>
      </w:pPr>
      <w:r>
        <w:rPr>
          <w:rFonts w:ascii="Arial" w:cs="Arial" w:eastAsia="Arial" w:hAnsi="Arial"/>
          <w:sz w:val="19"/>
          <w:szCs w:val="19"/>
          <w:color w:val="auto"/>
        </w:rPr>
        <w:t>Cc:</w:t>
      </w:r>
      <w:r>
        <w:rPr>
          <w:sz w:val="20"/>
          <w:szCs w:val="20"/>
          <w:color w:val="auto"/>
        </w:rPr>
        <w:t xml:space="preserve"> </w:t>
      </w:r>
      <w:r>
        <w:rPr>
          <w:rFonts w:ascii="Arial" w:cs="Arial" w:eastAsia="Arial" w:hAnsi="Arial"/>
          <w:sz w:val="19"/>
          <w:szCs w:val="19"/>
          <w:color w:val="auto"/>
        </w:rPr>
        <w:t>Glen Messina, President and CEO Ocwen Financial Corporation Jose Sanz, VP, Talent Acquisition and US Facilities</w:t>
      </w:r>
    </w:p>
    <w:p>
      <w:pPr>
        <w:sectPr>
          <w:pgSz w:w="11900" w:h="16838" w:orient="portrait"/>
          <w:cols w:equalWidth="0" w:num="1">
            <w:col w:w="9639"/>
          </w:cols>
          <w:pgMar w:left="820" w:top="1440" w:right="1440" w:bottom="1440" w:gutter="0" w:footer="0" w:header="0"/>
        </w:sectPr>
      </w:pPr>
    </w:p>
    <w:bookmarkStart w:id="131" w:name="page132"/>
    <w:bookmarkEnd w:id="131"/>
    <w:p>
      <w:pPr>
        <w:ind w:left="5220"/>
        <w:spacing w:after="0"/>
        <w:rPr>
          <w:sz w:val="20"/>
          <w:szCs w:val="20"/>
          <w:color w:val="auto"/>
        </w:rPr>
      </w:pPr>
      <w:r>
        <w:rPr>
          <w:rFonts w:ascii="Arial" w:cs="Arial" w:eastAsia="Arial" w:hAnsi="Arial"/>
          <w:sz w:val="19"/>
          <w:szCs w:val="19"/>
          <w:b w:val="1"/>
          <w:bCs w:val="1"/>
          <w:u w:val="single" w:color="auto"/>
          <w:color w:val="auto"/>
        </w:rPr>
        <w:t>Exhibit A</w:t>
      </w:r>
    </w:p>
    <w:p>
      <w:pPr>
        <w:spacing w:after="0" w:line="195" w:lineRule="exact"/>
        <w:rPr>
          <w:sz w:val="20"/>
          <w:szCs w:val="20"/>
          <w:color w:val="auto"/>
        </w:rPr>
      </w:pPr>
    </w:p>
    <w:p>
      <w:pPr>
        <w:ind w:left="4280"/>
        <w:spacing w:after="0"/>
        <w:rPr>
          <w:sz w:val="20"/>
          <w:szCs w:val="20"/>
          <w:color w:val="auto"/>
        </w:rPr>
      </w:pPr>
      <w:r>
        <w:rPr>
          <w:rFonts w:ascii="Arial" w:cs="Arial" w:eastAsia="Arial" w:hAnsi="Arial"/>
          <w:sz w:val="19"/>
          <w:szCs w:val="19"/>
          <w:b w:val="1"/>
          <w:bCs w:val="1"/>
          <w:color w:val="auto"/>
        </w:rPr>
        <w:t>Resignation for Good Reason</w:t>
      </w:r>
    </w:p>
    <w:p>
      <w:pPr>
        <w:spacing w:after="0" w:line="232" w:lineRule="exact"/>
        <w:rPr>
          <w:sz w:val="20"/>
          <w:szCs w:val="20"/>
          <w:color w:val="auto"/>
        </w:rPr>
      </w:pPr>
    </w:p>
    <w:p>
      <w:pPr>
        <w:spacing w:after="0"/>
        <w:rPr>
          <w:sz w:val="20"/>
          <w:szCs w:val="20"/>
          <w:color w:val="auto"/>
        </w:rPr>
      </w:pPr>
      <w:r>
        <w:rPr>
          <w:rFonts w:ascii="Arial" w:cs="Arial" w:eastAsia="Arial" w:hAnsi="Arial"/>
          <w:sz w:val="19"/>
          <w:szCs w:val="19"/>
          <w:color w:val="auto"/>
        </w:rPr>
        <w:t>“Good Reason” is deemed to exist if, absent your written consent, any of the following events occur:</w:t>
      </w:r>
    </w:p>
    <w:p>
      <w:pPr>
        <w:spacing w:after="0" w:line="195" w:lineRule="exact"/>
        <w:rPr>
          <w:sz w:val="20"/>
          <w:szCs w:val="20"/>
          <w:color w:val="auto"/>
        </w:rPr>
      </w:pPr>
    </w:p>
    <w:p>
      <w:pPr>
        <w:jc w:val="both"/>
        <w:ind w:left="620" w:hanging="307"/>
        <w:spacing w:after="0" w:line="269" w:lineRule="auto"/>
        <w:tabs>
          <w:tab w:leader="none" w:pos="632" w:val="left"/>
        </w:tabs>
        <w:numPr>
          <w:ilvl w:val="0"/>
          <w:numId w:val="104"/>
        </w:numPr>
        <w:rPr>
          <w:rFonts w:ascii="Arial" w:cs="Arial" w:eastAsia="Arial" w:hAnsi="Arial"/>
          <w:sz w:val="19"/>
          <w:szCs w:val="19"/>
          <w:color w:val="auto"/>
        </w:rPr>
      </w:pPr>
      <w:r>
        <w:rPr>
          <w:rFonts w:ascii="Arial" w:cs="Arial" w:eastAsia="Arial" w:hAnsi="Arial"/>
          <w:sz w:val="19"/>
          <w:szCs w:val="19"/>
          <w:color w:val="auto"/>
        </w:rPr>
        <w:t>A material reduction by the Company in your base salary, annual incentive opportunity or annual total target direct compensation, other than a reduction that is part of a general cost reduction affecting at least 90% of the executives of the Company holding a title of Executive Vice President and which does not exceed 10% of your annual base salary, AIP target, and/or LTIP target (as applicable) in the aggregate when combined with any such prior reductions; provided, however, that if a reduction described in this paragraph 1 occurs and you resign for Good Reason, then any severance payments or benefits provided to you under the United States Basic Severance Plan in accordance with the preceding offer letter shall be determined on the basis of your annual base salary and/or AIP target (as applicable) prior to such reduction. For the avoidance of doubt, if the Compensation and Human Capital Committee exercises its discretion to award an AIP payout at greater or lesser than target value, an LTIP Target award at greater or lesser value than in the offer letter, and/or if LTIP awards vest at a greater or lesser value than target value, that shall not constitute Good Reason under this paragraph 1;</w:t>
      </w:r>
    </w:p>
    <w:p>
      <w:pPr>
        <w:spacing w:after="0" w:line="6" w:lineRule="exact"/>
        <w:rPr>
          <w:rFonts w:ascii="Arial" w:cs="Arial" w:eastAsia="Arial" w:hAnsi="Arial"/>
          <w:sz w:val="19"/>
          <w:szCs w:val="19"/>
          <w:color w:val="auto"/>
        </w:rPr>
      </w:pPr>
    </w:p>
    <w:p>
      <w:pPr>
        <w:ind w:left="620" w:hanging="307"/>
        <w:spacing w:after="0" w:line="269" w:lineRule="auto"/>
        <w:tabs>
          <w:tab w:leader="none" w:pos="632" w:val="left"/>
        </w:tabs>
        <w:numPr>
          <w:ilvl w:val="0"/>
          <w:numId w:val="104"/>
        </w:numPr>
        <w:rPr>
          <w:rFonts w:ascii="Arial" w:cs="Arial" w:eastAsia="Arial" w:hAnsi="Arial"/>
          <w:sz w:val="19"/>
          <w:szCs w:val="19"/>
          <w:color w:val="auto"/>
        </w:rPr>
      </w:pPr>
      <w:r>
        <w:rPr>
          <w:rFonts w:ascii="Arial" w:cs="Arial" w:eastAsia="Arial" w:hAnsi="Arial"/>
          <w:sz w:val="19"/>
          <w:szCs w:val="19"/>
          <w:color w:val="auto"/>
        </w:rPr>
        <w:t xml:space="preserve">A material diminution in your position, duties or responsibilities,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following shall not qualify as a material diminution of your position, duties or responsibilities pursuant to this paragraph 2:</w:t>
      </w:r>
    </w:p>
    <w:p>
      <w:pPr>
        <w:spacing w:after="0" w:line="1" w:lineRule="exact"/>
        <w:rPr>
          <w:rFonts w:ascii="Arial" w:cs="Arial" w:eastAsia="Arial" w:hAnsi="Arial"/>
          <w:sz w:val="19"/>
          <w:szCs w:val="19"/>
          <w:color w:val="auto"/>
        </w:rPr>
      </w:pPr>
    </w:p>
    <w:p>
      <w:pPr>
        <w:ind w:left="960" w:hanging="336"/>
        <w:spacing w:after="0"/>
        <w:tabs>
          <w:tab w:leader="none" w:pos="960" w:val="left"/>
        </w:tabs>
        <w:numPr>
          <w:ilvl w:val="1"/>
          <w:numId w:val="104"/>
        </w:numPr>
        <w:rPr>
          <w:rFonts w:ascii="Arial" w:cs="Arial" w:eastAsia="Arial" w:hAnsi="Arial"/>
          <w:sz w:val="19"/>
          <w:szCs w:val="19"/>
          <w:color w:val="auto"/>
        </w:rPr>
      </w:pPr>
      <w:r>
        <w:rPr>
          <w:rFonts w:ascii="Arial" w:cs="Arial" w:eastAsia="Arial" w:hAnsi="Arial"/>
          <w:sz w:val="19"/>
          <w:szCs w:val="19"/>
          <w:color w:val="auto"/>
        </w:rPr>
        <w:t>A decrease in job grade, standing alone;</w:t>
      </w:r>
    </w:p>
    <w:p>
      <w:pPr>
        <w:spacing w:after="0" w:line="27" w:lineRule="exact"/>
        <w:rPr>
          <w:rFonts w:ascii="Arial" w:cs="Arial" w:eastAsia="Arial" w:hAnsi="Arial"/>
          <w:sz w:val="19"/>
          <w:szCs w:val="19"/>
          <w:color w:val="auto"/>
        </w:rPr>
      </w:pPr>
    </w:p>
    <w:p>
      <w:pPr>
        <w:ind w:left="960" w:hanging="336"/>
        <w:spacing w:after="0"/>
        <w:tabs>
          <w:tab w:leader="none" w:pos="960" w:val="left"/>
        </w:tabs>
        <w:numPr>
          <w:ilvl w:val="1"/>
          <w:numId w:val="104"/>
        </w:numPr>
        <w:rPr>
          <w:rFonts w:ascii="Arial" w:cs="Arial" w:eastAsia="Arial" w:hAnsi="Arial"/>
          <w:sz w:val="19"/>
          <w:szCs w:val="19"/>
          <w:color w:val="auto"/>
        </w:rPr>
      </w:pPr>
      <w:r>
        <w:rPr>
          <w:rFonts w:ascii="Arial" w:cs="Arial" w:eastAsia="Arial" w:hAnsi="Arial"/>
          <w:sz w:val="19"/>
          <w:szCs w:val="19"/>
          <w:color w:val="auto"/>
        </w:rPr>
        <w:t>A temporary change in position, duties, or responsibilities in order to facilitate a strategic initiative; or</w:t>
      </w:r>
    </w:p>
    <w:p>
      <w:pPr>
        <w:spacing w:after="0" w:line="27" w:lineRule="exact"/>
        <w:rPr>
          <w:rFonts w:ascii="Arial" w:cs="Arial" w:eastAsia="Arial" w:hAnsi="Arial"/>
          <w:sz w:val="19"/>
          <w:szCs w:val="19"/>
          <w:color w:val="auto"/>
        </w:rPr>
      </w:pPr>
    </w:p>
    <w:p>
      <w:pPr>
        <w:ind w:left="940" w:hanging="316"/>
        <w:spacing w:after="0" w:line="269" w:lineRule="auto"/>
        <w:tabs>
          <w:tab w:leader="none" w:pos="983" w:val="left"/>
        </w:tabs>
        <w:numPr>
          <w:ilvl w:val="1"/>
          <w:numId w:val="104"/>
        </w:numPr>
        <w:rPr>
          <w:rFonts w:ascii="Arial" w:cs="Arial" w:eastAsia="Arial" w:hAnsi="Arial"/>
          <w:sz w:val="19"/>
          <w:szCs w:val="19"/>
          <w:color w:val="auto"/>
        </w:rPr>
      </w:pPr>
      <w:r>
        <w:rPr>
          <w:rFonts w:ascii="Arial" w:cs="Arial" w:eastAsia="Arial" w:hAnsi="Arial"/>
          <w:sz w:val="19"/>
          <w:szCs w:val="19"/>
          <w:color w:val="auto"/>
        </w:rPr>
        <w:t>A strategic reduction in or transfer of the assets, liabilities, or operations of the Company not constituting a change in control;</w:t>
      </w:r>
    </w:p>
    <w:p>
      <w:pPr>
        <w:spacing w:after="0" w:line="1" w:lineRule="exact"/>
        <w:rPr>
          <w:rFonts w:ascii="Arial" w:cs="Arial" w:eastAsia="Arial" w:hAnsi="Arial"/>
          <w:sz w:val="19"/>
          <w:szCs w:val="19"/>
          <w:color w:val="auto"/>
        </w:rPr>
      </w:pPr>
    </w:p>
    <w:p>
      <w:pPr>
        <w:ind w:left="640" w:hanging="327"/>
        <w:spacing w:after="0"/>
        <w:tabs>
          <w:tab w:leader="none" w:pos="640" w:val="left"/>
        </w:tabs>
        <w:numPr>
          <w:ilvl w:val="0"/>
          <w:numId w:val="104"/>
        </w:numPr>
        <w:rPr>
          <w:rFonts w:ascii="Arial" w:cs="Arial" w:eastAsia="Arial" w:hAnsi="Arial"/>
          <w:sz w:val="19"/>
          <w:szCs w:val="19"/>
          <w:color w:val="auto"/>
        </w:rPr>
      </w:pPr>
      <w:r>
        <w:rPr>
          <w:rFonts w:ascii="Arial" w:cs="Arial" w:eastAsia="Arial" w:hAnsi="Arial"/>
          <w:sz w:val="19"/>
          <w:szCs w:val="19"/>
          <w:color w:val="auto"/>
        </w:rPr>
        <w:t>The Company’s material breach of any provision of this offer letter.</w:t>
      </w:r>
    </w:p>
    <w:p>
      <w:pPr>
        <w:spacing w:after="0" w:line="130" w:lineRule="exact"/>
        <w:rPr>
          <w:sz w:val="20"/>
          <w:szCs w:val="20"/>
          <w:color w:val="auto"/>
        </w:rPr>
      </w:pPr>
    </w:p>
    <w:p>
      <w:pPr>
        <w:ind w:left="320"/>
        <w:spacing w:after="0"/>
        <w:rPr>
          <w:sz w:val="20"/>
          <w:szCs w:val="20"/>
          <w:color w:val="auto"/>
        </w:rPr>
      </w:pP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upon the occurrence of any of the events described in paragraphs 1 – 3 above:</w:t>
      </w:r>
    </w:p>
    <w:p>
      <w:pPr>
        <w:spacing w:after="0" w:line="130" w:lineRule="exact"/>
        <w:rPr>
          <w:sz w:val="20"/>
          <w:szCs w:val="20"/>
          <w:color w:val="auto"/>
        </w:rPr>
      </w:pPr>
    </w:p>
    <w:p>
      <w:pPr>
        <w:ind w:left="620" w:firstLine="4"/>
        <w:spacing w:after="0" w:line="269" w:lineRule="auto"/>
        <w:tabs>
          <w:tab w:leader="none" w:pos="950" w:val="left"/>
        </w:tabs>
        <w:numPr>
          <w:ilvl w:val="0"/>
          <w:numId w:val="105"/>
        </w:numPr>
        <w:rPr>
          <w:rFonts w:ascii="Arial" w:cs="Arial" w:eastAsia="Arial" w:hAnsi="Arial"/>
          <w:sz w:val="19"/>
          <w:szCs w:val="19"/>
          <w:color w:val="auto"/>
        </w:rPr>
      </w:pPr>
      <w:r>
        <w:rPr>
          <w:rFonts w:ascii="Arial" w:cs="Arial" w:eastAsia="Arial" w:hAnsi="Arial"/>
          <w:sz w:val="19"/>
          <w:szCs w:val="19"/>
          <w:color w:val="auto"/>
        </w:rPr>
        <w:t>You give written notice to the Company setting forth in reasonable detail the basis of the event within 30 days of your becoming aware of it;</w:t>
      </w:r>
    </w:p>
    <w:p>
      <w:pPr>
        <w:spacing w:after="0" w:line="1" w:lineRule="exact"/>
        <w:rPr>
          <w:rFonts w:ascii="Arial" w:cs="Arial" w:eastAsia="Arial" w:hAnsi="Arial"/>
          <w:sz w:val="19"/>
          <w:szCs w:val="19"/>
          <w:color w:val="auto"/>
        </w:rPr>
      </w:pPr>
    </w:p>
    <w:p>
      <w:pPr>
        <w:ind w:left="920" w:hanging="296"/>
        <w:spacing w:after="0"/>
        <w:tabs>
          <w:tab w:leader="none" w:pos="920" w:val="left"/>
        </w:tabs>
        <w:numPr>
          <w:ilvl w:val="0"/>
          <w:numId w:val="105"/>
        </w:numPr>
        <w:rPr>
          <w:rFonts w:ascii="Arial" w:cs="Arial" w:eastAsia="Arial" w:hAnsi="Arial"/>
          <w:sz w:val="19"/>
          <w:szCs w:val="19"/>
          <w:color w:val="auto"/>
        </w:rPr>
      </w:pPr>
      <w:r>
        <w:rPr>
          <w:rFonts w:ascii="Arial" w:cs="Arial" w:eastAsia="Arial" w:hAnsi="Arial"/>
          <w:sz w:val="19"/>
          <w:szCs w:val="19"/>
          <w:color w:val="auto"/>
        </w:rPr>
        <w:t>Such event has not been cured within 30 days after your written notice; and</w:t>
      </w:r>
    </w:p>
    <w:p>
      <w:pPr>
        <w:spacing w:after="0" w:line="27" w:lineRule="exact"/>
        <w:rPr>
          <w:rFonts w:ascii="Arial" w:cs="Arial" w:eastAsia="Arial" w:hAnsi="Arial"/>
          <w:sz w:val="19"/>
          <w:szCs w:val="19"/>
          <w:color w:val="auto"/>
        </w:rPr>
      </w:pPr>
    </w:p>
    <w:p>
      <w:pPr>
        <w:ind w:left="940" w:hanging="316"/>
        <w:spacing w:after="0"/>
        <w:tabs>
          <w:tab w:leader="none" w:pos="940" w:val="left"/>
        </w:tabs>
        <w:numPr>
          <w:ilvl w:val="0"/>
          <w:numId w:val="105"/>
        </w:numPr>
        <w:rPr>
          <w:rFonts w:ascii="Arial" w:cs="Arial" w:eastAsia="Arial" w:hAnsi="Arial"/>
          <w:sz w:val="19"/>
          <w:szCs w:val="19"/>
          <w:color w:val="auto"/>
        </w:rPr>
      </w:pPr>
      <w:r>
        <w:rPr>
          <w:rFonts w:ascii="Arial" w:cs="Arial" w:eastAsia="Arial" w:hAnsi="Arial"/>
          <w:sz w:val="19"/>
          <w:szCs w:val="19"/>
          <w:color w:val="auto"/>
        </w:rPr>
        <w:t>You terminate your employment within 90 days after you give your notice under (A).</w:t>
      </w:r>
    </w:p>
    <w:p>
      <w:pPr>
        <w:sectPr>
          <w:pgSz w:w="11900" w:h="16838" w:orient="portrait"/>
          <w:cols w:equalWidth="0" w:num="1">
            <w:col w:w="11240"/>
          </w:cols>
          <w:pgMar w:left="320" w:top="1365" w:right="339" w:bottom="1440" w:gutter="0" w:footer="0" w:header="0"/>
        </w:sectPr>
      </w:pPr>
    </w:p>
    <w:bookmarkStart w:id="132" w:name="page133"/>
    <w:bookmarkEnd w:id="132"/>
    <w:p>
      <w:pPr>
        <w:jc w:val="right"/>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213360</wp:posOffset>
            </wp:positionH>
            <wp:positionV relativeFrom="page">
              <wp:posOffset>572770</wp:posOffset>
            </wp:positionV>
            <wp:extent cx="7121525" cy="1651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8">
                      <a:extLst>
                        <a:ext uri="{28A0092B-C50C-407E-A947-70E740481C1C}"/>
                      </a:extLst>
                    </a:blip>
                    <a:srcRect/>
                    <a:stretch>
                      <a:fillRect/>
                    </a:stretch>
                  </pic:blipFill>
                  <pic:spPr bwMode="auto">
                    <a:xfrm>
                      <a:off x="0" y="0"/>
                      <a:ext cx="7121525" cy="16510"/>
                    </a:xfrm>
                    <a:prstGeom prst="rect">
                      <a:avLst/>
                    </a:prstGeom>
                    <a:noFill/>
                  </pic:spPr>
                </pic:pic>
              </a:graphicData>
            </a:graphic>
          </wp:anchor>
        </w:drawing>
        <w:t>EXHIBIT 31.1</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I, Glen A. Messina, certify that:</w:t>
      </w:r>
    </w:p>
    <w:p>
      <w:pPr>
        <w:spacing w:after="0" w:line="218" w:lineRule="exact"/>
        <w:rPr>
          <w:sz w:val="20"/>
          <w:szCs w:val="20"/>
          <w:color w:val="auto"/>
        </w:rPr>
      </w:pPr>
    </w:p>
    <w:p>
      <w:pPr>
        <w:ind w:left="860" w:hanging="314"/>
        <w:spacing w:after="0"/>
        <w:tabs>
          <w:tab w:leader="none" w:pos="86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Ocwen Financial Corporation;</w:t>
      </w:r>
    </w:p>
    <w:p>
      <w:pPr>
        <w:spacing w:after="0" w:line="243" w:lineRule="exact"/>
        <w:rPr>
          <w:rFonts w:ascii="Arial" w:cs="Arial" w:eastAsia="Arial" w:hAnsi="Arial"/>
          <w:sz w:val="17"/>
          <w:szCs w:val="17"/>
          <w:color w:val="auto"/>
        </w:rPr>
      </w:pPr>
    </w:p>
    <w:p>
      <w:pPr>
        <w:jc w:val="both"/>
        <w:ind w:left="860" w:right="380" w:hanging="314"/>
        <w:spacing w:after="0" w:line="268" w:lineRule="auto"/>
        <w:tabs>
          <w:tab w:leader="none" w:pos="854" w:val="left"/>
        </w:tabs>
        <w:numPr>
          <w:ilvl w:val="0"/>
          <w:numId w:val="106"/>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7" w:lineRule="exact"/>
        <w:rPr>
          <w:rFonts w:ascii="Arial" w:cs="Arial" w:eastAsia="Arial" w:hAnsi="Arial"/>
          <w:sz w:val="17"/>
          <w:szCs w:val="17"/>
          <w:color w:val="auto"/>
        </w:rPr>
      </w:pPr>
    </w:p>
    <w:p>
      <w:pPr>
        <w:ind w:left="860" w:right="80" w:hanging="314"/>
        <w:spacing w:after="0" w:line="283" w:lineRule="auto"/>
        <w:tabs>
          <w:tab w:leader="none" w:pos="854" w:val="left"/>
        </w:tabs>
        <w:numPr>
          <w:ilvl w:val="0"/>
          <w:numId w:val="10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the other financial information included in this report, fairly present in all material respects the financial condition, results of operations and cash flows of the registrant as of, and for, the periods presented in this report;</w:t>
      </w:r>
    </w:p>
    <w:p>
      <w:pPr>
        <w:spacing w:after="0" w:line="185" w:lineRule="exact"/>
        <w:rPr>
          <w:rFonts w:ascii="Arial" w:cs="Arial" w:eastAsia="Arial" w:hAnsi="Arial"/>
          <w:sz w:val="17"/>
          <w:szCs w:val="17"/>
          <w:color w:val="auto"/>
        </w:rPr>
      </w:pPr>
    </w:p>
    <w:p>
      <w:pPr>
        <w:ind w:left="860" w:right="80" w:hanging="314"/>
        <w:spacing w:after="0" w:line="268" w:lineRule="auto"/>
        <w:tabs>
          <w:tab w:leader="none" w:pos="854" w:val="left"/>
        </w:tabs>
        <w:numPr>
          <w:ilvl w:val="0"/>
          <w:numId w:val="106"/>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 —15(f)) for the registrant and have:</w:t>
      </w:r>
    </w:p>
    <w:p>
      <w:pPr>
        <w:spacing w:after="0" w:line="197" w:lineRule="exact"/>
        <w:rPr>
          <w:rFonts w:ascii="Arial" w:cs="Arial" w:eastAsia="Arial" w:hAnsi="Arial"/>
          <w:sz w:val="17"/>
          <w:szCs w:val="17"/>
          <w:color w:val="auto"/>
        </w:rPr>
      </w:pPr>
    </w:p>
    <w:p>
      <w:pPr>
        <w:ind w:left="1160" w:right="320" w:hanging="304"/>
        <w:spacing w:after="0" w:line="268" w:lineRule="auto"/>
        <w:tabs>
          <w:tab w:leader="none" w:pos="1150" w:val="left"/>
        </w:tabs>
        <w:numPr>
          <w:ilvl w:val="1"/>
          <w:numId w:val="10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7" w:lineRule="exact"/>
        <w:rPr>
          <w:rFonts w:ascii="Arial" w:cs="Arial" w:eastAsia="Arial" w:hAnsi="Arial"/>
          <w:sz w:val="17"/>
          <w:szCs w:val="17"/>
          <w:color w:val="auto"/>
        </w:rPr>
      </w:pPr>
    </w:p>
    <w:p>
      <w:pPr>
        <w:ind w:left="1160" w:hanging="304"/>
        <w:spacing w:after="0" w:line="268" w:lineRule="auto"/>
        <w:tabs>
          <w:tab w:leader="none" w:pos="1160" w:val="left"/>
        </w:tabs>
        <w:numPr>
          <w:ilvl w:val="1"/>
          <w:numId w:val="106"/>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7" w:lineRule="exact"/>
        <w:rPr>
          <w:rFonts w:ascii="Arial" w:cs="Arial" w:eastAsia="Arial" w:hAnsi="Arial"/>
          <w:sz w:val="17"/>
          <w:szCs w:val="17"/>
          <w:color w:val="auto"/>
        </w:rPr>
      </w:pPr>
    </w:p>
    <w:p>
      <w:pPr>
        <w:jc w:val="both"/>
        <w:ind w:left="1160" w:right="760" w:hanging="304"/>
        <w:spacing w:after="0" w:line="353" w:lineRule="auto"/>
        <w:tabs>
          <w:tab w:leader="none" w:pos="1150" w:val="left"/>
        </w:tabs>
        <w:numPr>
          <w:ilvl w:val="1"/>
          <w:numId w:val="106"/>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8" w:lineRule="exact"/>
        <w:rPr>
          <w:rFonts w:ascii="Arial" w:cs="Arial" w:eastAsia="Arial" w:hAnsi="Arial"/>
          <w:sz w:val="15"/>
          <w:szCs w:val="15"/>
          <w:color w:val="auto"/>
        </w:rPr>
      </w:pPr>
    </w:p>
    <w:p>
      <w:pPr>
        <w:ind w:left="1160" w:right="20" w:hanging="304"/>
        <w:spacing w:after="0" w:line="268" w:lineRule="auto"/>
        <w:tabs>
          <w:tab w:leader="none" w:pos="1160" w:val="left"/>
        </w:tabs>
        <w:numPr>
          <w:ilvl w:val="1"/>
          <w:numId w:val="106"/>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2" w:lineRule="exact"/>
        <w:rPr>
          <w:rFonts w:ascii="Arial" w:cs="Arial" w:eastAsia="Arial" w:hAnsi="Arial"/>
          <w:sz w:val="17"/>
          <w:szCs w:val="17"/>
          <w:color w:val="auto"/>
        </w:rPr>
      </w:pPr>
    </w:p>
    <w:p>
      <w:pPr>
        <w:ind w:left="860" w:right="80" w:hanging="314"/>
        <w:spacing w:after="0" w:line="315" w:lineRule="auto"/>
        <w:tabs>
          <w:tab w:leader="none" w:pos="854" w:val="left"/>
        </w:tabs>
        <w:numPr>
          <w:ilvl w:val="0"/>
          <w:numId w:val="10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3" w:lineRule="exact"/>
        <w:rPr>
          <w:rFonts w:ascii="Arial" w:cs="Arial" w:eastAsia="Arial" w:hAnsi="Arial"/>
          <w:sz w:val="16"/>
          <w:szCs w:val="16"/>
          <w:color w:val="auto"/>
        </w:rPr>
      </w:pPr>
    </w:p>
    <w:p>
      <w:pPr>
        <w:ind w:left="1160" w:right="220" w:hanging="304"/>
        <w:spacing w:after="0" w:line="283" w:lineRule="auto"/>
        <w:tabs>
          <w:tab w:leader="none" w:pos="1150" w:val="left"/>
        </w:tabs>
        <w:numPr>
          <w:ilvl w:val="1"/>
          <w:numId w:val="10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5" w:lineRule="exact"/>
        <w:rPr>
          <w:rFonts w:ascii="Arial" w:cs="Arial" w:eastAsia="Arial" w:hAnsi="Arial"/>
          <w:sz w:val="17"/>
          <w:szCs w:val="17"/>
          <w:color w:val="auto"/>
        </w:rPr>
      </w:pPr>
    </w:p>
    <w:p>
      <w:pPr>
        <w:ind w:left="1160" w:right="160" w:hanging="304"/>
        <w:spacing w:after="0" w:line="261" w:lineRule="auto"/>
        <w:tabs>
          <w:tab w:leader="none" w:pos="1160" w:val="left"/>
        </w:tabs>
        <w:numPr>
          <w:ilvl w:val="1"/>
          <w:numId w:val="106"/>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7"/>
          <w:szCs w:val="17"/>
          <w:color w:val="auto"/>
        </w:rPr>
        <w:t>.</w:t>
      </w:r>
    </w:p>
    <w:p>
      <w:pPr>
        <w:spacing w:after="0" w:line="115" w:lineRule="exact"/>
        <w:rPr>
          <w:sz w:val="20"/>
          <w:szCs w:val="20"/>
          <w:color w:val="auto"/>
        </w:rPr>
      </w:pPr>
    </w:p>
    <w:p>
      <w:pPr>
        <w:ind w:left="20"/>
        <w:spacing w:after="0"/>
        <w:tabs>
          <w:tab w:leader="none" w:pos="6180" w:val="left"/>
        </w:tabs>
        <w:rPr>
          <w:sz w:val="20"/>
          <w:szCs w:val="20"/>
          <w:color w:val="auto"/>
        </w:rPr>
      </w:pPr>
      <w:r>
        <w:rPr>
          <w:rFonts w:ascii="Arial" w:cs="Arial" w:eastAsia="Arial" w:hAnsi="Arial"/>
          <w:sz w:val="17"/>
          <w:szCs w:val="17"/>
          <w:color w:val="auto"/>
        </w:rPr>
        <w:t>Date: August 4, 2022</w:t>
      </w:r>
      <w:r>
        <w:rPr>
          <w:sz w:val="20"/>
          <w:szCs w:val="20"/>
          <w:color w:val="auto"/>
        </w:rPr>
        <w:tab/>
      </w:r>
      <w:r>
        <w:rPr>
          <w:rFonts w:ascii="Arial" w:cs="Arial" w:eastAsia="Arial" w:hAnsi="Arial"/>
          <w:sz w:val="15"/>
          <w:szCs w:val="15"/>
          <w:color w:val="auto"/>
        </w:rPr>
        <w:t>/s/ Glen A. Messina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15240</wp:posOffset>
            </wp:positionV>
            <wp:extent cx="319976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9">
                      <a:extLst>
                        <a:ext uri="{28A0092B-C50C-407E-A947-70E740481C1C}"/>
                      </a:extLst>
                    </a:blip>
                    <a:srcRect/>
                    <a:stretch>
                      <a:fillRect/>
                    </a:stretch>
                  </pic:blipFill>
                  <pic:spPr bwMode="auto">
                    <a:xfrm>
                      <a:off x="0" y="0"/>
                      <a:ext cx="3199765" cy="8255"/>
                    </a:xfrm>
                    <a:prstGeom prst="rect">
                      <a:avLst/>
                    </a:prstGeom>
                    <a:noFill/>
                  </pic:spPr>
                </pic:pic>
              </a:graphicData>
            </a:graphic>
          </wp:anchor>
        </w:drawing>
      </w:r>
    </w:p>
    <w:p>
      <w:pPr>
        <w:spacing w:after="0" w:line="4" w:lineRule="exact"/>
        <w:rPr>
          <w:sz w:val="20"/>
          <w:szCs w:val="20"/>
          <w:color w:val="auto"/>
        </w:rPr>
      </w:pPr>
    </w:p>
    <w:p>
      <w:pPr>
        <w:ind w:left="6200"/>
        <w:spacing w:after="0"/>
        <w:rPr>
          <w:sz w:val="20"/>
          <w:szCs w:val="20"/>
          <w:color w:val="auto"/>
        </w:rPr>
      </w:pPr>
      <w:r>
        <w:rPr>
          <w:rFonts w:ascii="Arial" w:cs="Arial" w:eastAsia="Arial" w:hAnsi="Arial"/>
          <w:sz w:val="17"/>
          <w:szCs w:val="17"/>
          <w:color w:val="auto"/>
        </w:rPr>
        <w:t>Glen A. Messina, President</w:t>
      </w:r>
    </w:p>
    <w:p>
      <w:pPr>
        <w:ind w:left="6200"/>
        <w:spacing w:after="0"/>
        <w:rPr>
          <w:sz w:val="20"/>
          <w:szCs w:val="20"/>
          <w:color w:val="auto"/>
        </w:rPr>
      </w:pPr>
      <w:r>
        <w:rPr>
          <w:rFonts w:ascii="Arial" w:cs="Arial" w:eastAsia="Arial" w:hAnsi="Arial"/>
          <w:sz w:val="17"/>
          <w:szCs w:val="17"/>
          <w:color w:val="auto"/>
        </w:rPr>
        <w:t>and Chief Executive Officer</w:t>
      </w:r>
    </w:p>
    <w:p>
      <w:pPr>
        <w:sectPr>
          <w:pgSz w:w="11900" w:h="16838" w:orient="portrait"/>
          <w:cols w:equalWidth="0" w:num="1">
            <w:col w:w="11240"/>
          </w:cols>
          <w:pgMar w:left="320" w:top="1038" w:right="339" w:bottom="1440" w:gutter="0" w:footer="0" w:header="0"/>
        </w:sectPr>
      </w:pPr>
    </w:p>
    <w:bookmarkStart w:id="133" w:name="page134"/>
    <w:bookmarkEnd w:id="133"/>
    <w:p>
      <w:pPr>
        <w:jc w:val="right"/>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213360</wp:posOffset>
            </wp:positionH>
            <wp:positionV relativeFrom="page">
              <wp:posOffset>572770</wp:posOffset>
            </wp:positionV>
            <wp:extent cx="7121525" cy="1651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0">
                      <a:extLst>
                        <a:ext uri="{28A0092B-C50C-407E-A947-70E740481C1C}"/>
                      </a:extLst>
                    </a:blip>
                    <a:srcRect/>
                    <a:stretch>
                      <a:fillRect/>
                    </a:stretch>
                  </pic:blipFill>
                  <pic:spPr bwMode="auto">
                    <a:xfrm>
                      <a:off x="0" y="0"/>
                      <a:ext cx="7121525" cy="16510"/>
                    </a:xfrm>
                    <a:prstGeom prst="rect">
                      <a:avLst/>
                    </a:prstGeom>
                    <a:noFill/>
                  </pic:spPr>
                </pic:pic>
              </a:graphicData>
            </a:graphic>
          </wp:anchor>
        </w:drawing>
        <w:t>EXHIBIT 31.2</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I, Sean B. O'Neil, certify that:</w:t>
      </w:r>
    </w:p>
    <w:p>
      <w:pPr>
        <w:spacing w:after="0" w:line="218" w:lineRule="exact"/>
        <w:rPr>
          <w:sz w:val="20"/>
          <w:szCs w:val="20"/>
          <w:color w:val="auto"/>
        </w:rPr>
      </w:pPr>
    </w:p>
    <w:p>
      <w:pPr>
        <w:ind w:left="860" w:hanging="314"/>
        <w:spacing w:after="0"/>
        <w:tabs>
          <w:tab w:leader="none" w:pos="86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Ocwen Financial Corporation;</w:t>
      </w:r>
    </w:p>
    <w:p>
      <w:pPr>
        <w:spacing w:after="0" w:line="243" w:lineRule="exact"/>
        <w:rPr>
          <w:rFonts w:ascii="Arial" w:cs="Arial" w:eastAsia="Arial" w:hAnsi="Arial"/>
          <w:sz w:val="17"/>
          <w:szCs w:val="17"/>
          <w:color w:val="auto"/>
        </w:rPr>
      </w:pPr>
    </w:p>
    <w:p>
      <w:pPr>
        <w:jc w:val="both"/>
        <w:ind w:left="860" w:right="380" w:hanging="314"/>
        <w:spacing w:after="0" w:line="268" w:lineRule="auto"/>
        <w:tabs>
          <w:tab w:leader="none" w:pos="854" w:val="left"/>
        </w:tabs>
        <w:numPr>
          <w:ilvl w:val="0"/>
          <w:numId w:val="107"/>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7" w:lineRule="exact"/>
        <w:rPr>
          <w:rFonts w:ascii="Arial" w:cs="Arial" w:eastAsia="Arial" w:hAnsi="Arial"/>
          <w:sz w:val="17"/>
          <w:szCs w:val="17"/>
          <w:color w:val="auto"/>
        </w:rPr>
      </w:pPr>
    </w:p>
    <w:p>
      <w:pPr>
        <w:ind w:left="860" w:right="80" w:hanging="314"/>
        <w:spacing w:after="0" w:line="283" w:lineRule="auto"/>
        <w:tabs>
          <w:tab w:leader="none" w:pos="854" w:val="left"/>
        </w:tabs>
        <w:numPr>
          <w:ilvl w:val="0"/>
          <w:numId w:val="10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the other financial information included in this report, fairly present in all material respects the financial condition, results of operations and cash flows of the registrant as of, and for, the periods presented in this report;</w:t>
      </w:r>
    </w:p>
    <w:p>
      <w:pPr>
        <w:spacing w:after="0" w:line="185" w:lineRule="exact"/>
        <w:rPr>
          <w:rFonts w:ascii="Arial" w:cs="Arial" w:eastAsia="Arial" w:hAnsi="Arial"/>
          <w:sz w:val="17"/>
          <w:szCs w:val="17"/>
          <w:color w:val="auto"/>
        </w:rPr>
      </w:pPr>
    </w:p>
    <w:p>
      <w:pPr>
        <w:ind w:left="860" w:right="80" w:hanging="314"/>
        <w:spacing w:after="0" w:line="268" w:lineRule="auto"/>
        <w:tabs>
          <w:tab w:leader="none" w:pos="854" w:val="left"/>
        </w:tabs>
        <w:numPr>
          <w:ilvl w:val="0"/>
          <w:numId w:val="107"/>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 —15(f)) for the registrant and have:</w:t>
      </w:r>
    </w:p>
    <w:p>
      <w:pPr>
        <w:spacing w:after="0" w:line="197" w:lineRule="exact"/>
        <w:rPr>
          <w:rFonts w:ascii="Arial" w:cs="Arial" w:eastAsia="Arial" w:hAnsi="Arial"/>
          <w:sz w:val="17"/>
          <w:szCs w:val="17"/>
          <w:color w:val="auto"/>
        </w:rPr>
      </w:pPr>
    </w:p>
    <w:p>
      <w:pPr>
        <w:ind w:left="1160" w:right="320" w:hanging="304"/>
        <w:spacing w:after="0" w:line="268" w:lineRule="auto"/>
        <w:tabs>
          <w:tab w:leader="none" w:pos="1150" w:val="left"/>
        </w:tabs>
        <w:numPr>
          <w:ilvl w:val="1"/>
          <w:numId w:val="10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7" w:lineRule="exact"/>
        <w:rPr>
          <w:rFonts w:ascii="Arial" w:cs="Arial" w:eastAsia="Arial" w:hAnsi="Arial"/>
          <w:sz w:val="17"/>
          <w:szCs w:val="17"/>
          <w:color w:val="auto"/>
        </w:rPr>
      </w:pPr>
    </w:p>
    <w:p>
      <w:pPr>
        <w:ind w:left="1160" w:hanging="304"/>
        <w:spacing w:after="0" w:line="268" w:lineRule="auto"/>
        <w:tabs>
          <w:tab w:leader="none" w:pos="1160" w:val="left"/>
        </w:tabs>
        <w:numPr>
          <w:ilvl w:val="1"/>
          <w:numId w:val="107"/>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7" w:lineRule="exact"/>
        <w:rPr>
          <w:rFonts w:ascii="Arial" w:cs="Arial" w:eastAsia="Arial" w:hAnsi="Arial"/>
          <w:sz w:val="17"/>
          <w:szCs w:val="17"/>
          <w:color w:val="auto"/>
        </w:rPr>
      </w:pPr>
    </w:p>
    <w:p>
      <w:pPr>
        <w:jc w:val="both"/>
        <w:ind w:left="1160" w:right="760" w:hanging="304"/>
        <w:spacing w:after="0" w:line="353" w:lineRule="auto"/>
        <w:tabs>
          <w:tab w:leader="none" w:pos="1150" w:val="left"/>
        </w:tabs>
        <w:numPr>
          <w:ilvl w:val="1"/>
          <w:numId w:val="107"/>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8" w:lineRule="exact"/>
        <w:rPr>
          <w:rFonts w:ascii="Arial" w:cs="Arial" w:eastAsia="Arial" w:hAnsi="Arial"/>
          <w:sz w:val="15"/>
          <w:szCs w:val="15"/>
          <w:color w:val="auto"/>
        </w:rPr>
      </w:pPr>
    </w:p>
    <w:p>
      <w:pPr>
        <w:ind w:left="1160" w:right="20" w:hanging="304"/>
        <w:spacing w:after="0" w:line="268" w:lineRule="auto"/>
        <w:tabs>
          <w:tab w:leader="none" w:pos="1160" w:val="left"/>
        </w:tabs>
        <w:numPr>
          <w:ilvl w:val="1"/>
          <w:numId w:val="107"/>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2" w:lineRule="exact"/>
        <w:rPr>
          <w:rFonts w:ascii="Arial" w:cs="Arial" w:eastAsia="Arial" w:hAnsi="Arial"/>
          <w:sz w:val="17"/>
          <w:szCs w:val="17"/>
          <w:color w:val="auto"/>
        </w:rPr>
      </w:pPr>
    </w:p>
    <w:p>
      <w:pPr>
        <w:ind w:left="860" w:right="80" w:hanging="314"/>
        <w:spacing w:after="0" w:line="315" w:lineRule="auto"/>
        <w:tabs>
          <w:tab w:leader="none" w:pos="854" w:val="left"/>
        </w:tabs>
        <w:numPr>
          <w:ilvl w:val="0"/>
          <w:numId w:val="10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3" w:lineRule="exact"/>
        <w:rPr>
          <w:rFonts w:ascii="Arial" w:cs="Arial" w:eastAsia="Arial" w:hAnsi="Arial"/>
          <w:sz w:val="16"/>
          <w:szCs w:val="16"/>
          <w:color w:val="auto"/>
        </w:rPr>
      </w:pPr>
    </w:p>
    <w:p>
      <w:pPr>
        <w:ind w:left="1160" w:right="220" w:hanging="304"/>
        <w:spacing w:after="0" w:line="283" w:lineRule="auto"/>
        <w:tabs>
          <w:tab w:leader="none" w:pos="1150" w:val="left"/>
        </w:tabs>
        <w:numPr>
          <w:ilvl w:val="1"/>
          <w:numId w:val="10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5" w:lineRule="exact"/>
        <w:rPr>
          <w:rFonts w:ascii="Arial" w:cs="Arial" w:eastAsia="Arial" w:hAnsi="Arial"/>
          <w:sz w:val="17"/>
          <w:szCs w:val="17"/>
          <w:color w:val="auto"/>
        </w:rPr>
      </w:pPr>
    </w:p>
    <w:p>
      <w:pPr>
        <w:ind w:left="1160" w:right="160" w:hanging="304"/>
        <w:spacing w:after="0" w:line="283" w:lineRule="auto"/>
        <w:tabs>
          <w:tab w:leader="none" w:pos="1160" w:val="left"/>
        </w:tabs>
        <w:numPr>
          <w:ilvl w:val="1"/>
          <w:numId w:val="107"/>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p>
      <w:pPr>
        <w:ind w:left="20"/>
        <w:spacing w:after="0"/>
        <w:tabs>
          <w:tab w:leader="none" w:pos="6180" w:val="left"/>
        </w:tabs>
        <w:rPr>
          <w:sz w:val="20"/>
          <w:szCs w:val="20"/>
          <w:color w:val="auto"/>
        </w:rPr>
      </w:pPr>
      <w:r>
        <w:rPr>
          <w:rFonts w:ascii="Arial" w:cs="Arial" w:eastAsia="Arial" w:hAnsi="Arial"/>
          <w:sz w:val="17"/>
          <w:szCs w:val="17"/>
          <w:color w:val="auto"/>
        </w:rPr>
        <w:t>Date: August 4, 2022</w:t>
      </w:r>
      <w:r>
        <w:rPr>
          <w:sz w:val="20"/>
          <w:szCs w:val="20"/>
          <w:color w:val="auto"/>
        </w:rPr>
        <w:tab/>
      </w:r>
      <w:r>
        <w:rPr>
          <w:rFonts w:ascii="Arial" w:cs="Arial" w:eastAsia="Arial" w:hAnsi="Arial"/>
          <w:sz w:val="15"/>
          <w:szCs w:val="15"/>
          <w:color w:val="auto"/>
        </w:rPr>
        <w:t>/s/ Sean B. O'Neil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15240</wp:posOffset>
            </wp:positionV>
            <wp:extent cx="319976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1">
                      <a:extLst>
                        <a:ext uri="{28A0092B-C50C-407E-A947-70E740481C1C}"/>
                      </a:extLst>
                    </a:blip>
                    <a:srcRect/>
                    <a:stretch>
                      <a:fillRect/>
                    </a:stretch>
                  </pic:blipFill>
                  <pic:spPr bwMode="auto">
                    <a:xfrm>
                      <a:off x="0" y="0"/>
                      <a:ext cx="3199765" cy="8255"/>
                    </a:xfrm>
                    <a:prstGeom prst="rect">
                      <a:avLst/>
                    </a:prstGeom>
                    <a:noFill/>
                  </pic:spPr>
                </pic:pic>
              </a:graphicData>
            </a:graphic>
          </wp:anchor>
        </w:drawing>
      </w:r>
    </w:p>
    <w:p>
      <w:pPr>
        <w:spacing w:after="0" w:line="17" w:lineRule="exact"/>
        <w:rPr>
          <w:sz w:val="20"/>
          <w:szCs w:val="20"/>
          <w:color w:val="auto"/>
        </w:rPr>
      </w:pPr>
    </w:p>
    <w:p>
      <w:pPr>
        <w:ind w:left="6200"/>
        <w:spacing w:after="0"/>
        <w:rPr>
          <w:sz w:val="20"/>
          <w:szCs w:val="20"/>
          <w:color w:val="auto"/>
        </w:rPr>
      </w:pPr>
      <w:r>
        <w:rPr>
          <w:rFonts w:ascii="Arial" w:cs="Arial" w:eastAsia="Arial" w:hAnsi="Arial"/>
          <w:sz w:val="17"/>
          <w:szCs w:val="17"/>
          <w:color w:val="auto"/>
        </w:rPr>
        <w:t>Sean O'Neil, Executive Vice President and Chief Financial Officer</w:t>
      </w:r>
    </w:p>
    <w:p>
      <w:pPr>
        <w:sectPr>
          <w:pgSz w:w="11900" w:h="16838" w:orient="portrait"/>
          <w:cols w:equalWidth="0" w:num="1">
            <w:col w:w="11240"/>
          </w:cols>
          <w:pgMar w:left="320" w:top="1038" w:right="339" w:bottom="1440" w:gutter="0" w:footer="0" w:header="0"/>
        </w:sectPr>
      </w:pPr>
    </w:p>
    <w:bookmarkStart w:id="134" w:name="page135"/>
    <w:bookmarkEnd w:id="134"/>
    <w:p>
      <w:pPr>
        <w:jc w:val="right"/>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213360</wp:posOffset>
            </wp:positionH>
            <wp:positionV relativeFrom="page">
              <wp:posOffset>572770</wp:posOffset>
            </wp:positionV>
            <wp:extent cx="7121525" cy="1651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2">
                      <a:extLst>
                        <a:ext uri="{28A0092B-C50C-407E-A947-70E740481C1C}"/>
                      </a:extLst>
                    </a:blip>
                    <a:srcRect/>
                    <a:stretch>
                      <a:fillRect/>
                    </a:stretch>
                  </pic:blipFill>
                  <pic:spPr bwMode="auto">
                    <a:xfrm>
                      <a:off x="0" y="0"/>
                      <a:ext cx="7121525" cy="16510"/>
                    </a:xfrm>
                    <a:prstGeom prst="rect">
                      <a:avLst/>
                    </a:prstGeom>
                    <a:noFill/>
                  </pic:spPr>
                </pic:pic>
              </a:graphicData>
            </a:graphic>
          </wp:anchor>
        </w:drawing>
        <w:t>EXHIBIT 32.1</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I, Glen A. Messina, state and attest that:</w:t>
      </w:r>
    </w:p>
    <w:p>
      <w:pPr>
        <w:spacing w:after="0" w:line="218" w:lineRule="exact"/>
        <w:rPr>
          <w:sz w:val="20"/>
          <w:szCs w:val="20"/>
          <w:color w:val="auto"/>
        </w:rPr>
      </w:pPr>
    </w:p>
    <w:p>
      <w:pPr>
        <w:ind w:left="460" w:hanging="379"/>
        <w:spacing w:after="0"/>
        <w:tabs>
          <w:tab w:leader="none" w:pos="46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I am the principal executive officer of Ocwen Financial Corporation (the Registrant).</w:t>
      </w:r>
    </w:p>
    <w:p>
      <w:pPr>
        <w:spacing w:after="0" w:line="243" w:lineRule="exact"/>
        <w:rPr>
          <w:rFonts w:ascii="Arial" w:cs="Arial" w:eastAsia="Arial" w:hAnsi="Arial"/>
          <w:sz w:val="17"/>
          <w:szCs w:val="17"/>
          <w:color w:val="auto"/>
        </w:rPr>
      </w:pPr>
    </w:p>
    <w:p>
      <w:pPr>
        <w:ind w:left="460" w:hanging="379"/>
        <w:spacing w:after="0"/>
        <w:tabs>
          <w:tab w:leader="none" w:pos="46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I hereby certify, pursuant to 18 U.S.C. Section 1350, as adopted pursuant to Section 906 of the Sarbanes-Oxley Act of 2002, that</w:t>
      </w:r>
    </w:p>
    <w:p>
      <w:pPr>
        <w:spacing w:after="0" w:line="243" w:lineRule="exact"/>
        <w:rPr>
          <w:rFonts w:ascii="Arial" w:cs="Arial" w:eastAsia="Arial" w:hAnsi="Arial"/>
          <w:sz w:val="17"/>
          <w:szCs w:val="17"/>
          <w:color w:val="auto"/>
        </w:rPr>
      </w:pPr>
    </w:p>
    <w:p>
      <w:pPr>
        <w:ind w:left="940" w:right="200" w:hanging="316"/>
        <w:spacing w:after="0" w:line="353" w:lineRule="auto"/>
        <w:tabs>
          <w:tab w:leader="none" w:pos="936" w:val="left"/>
        </w:tabs>
        <w:numPr>
          <w:ilvl w:val="1"/>
          <w:numId w:val="108"/>
        </w:numPr>
        <w:rPr>
          <w:rFonts w:ascii="Arial" w:cs="Arial" w:eastAsia="Arial" w:hAnsi="Arial"/>
          <w:sz w:val="15"/>
          <w:szCs w:val="15"/>
          <w:color w:val="auto"/>
        </w:rPr>
      </w:pPr>
      <w:r>
        <w:rPr>
          <w:rFonts w:ascii="Arial" w:cs="Arial" w:eastAsia="Arial" w:hAnsi="Arial"/>
          <w:sz w:val="15"/>
          <w:szCs w:val="15"/>
          <w:color w:val="auto"/>
        </w:rPr>
        <w:t>the Quarterly Report on Form 10-Q of the Registrant for the quarter ended June 30, 2022 (the periodic report) containing financial statements fully complies with the requirements of Section 13(a) or 15(d), as applicable, of the Securities Exchange Act of 1934 (15 U.S.C. 78m or 78o(d)); and</w:t>
      </w:r>
    </w:p>
    <w:p>
      <w:pPr>
        <w:spacing w:after="0" w:line="138" w:lineRule="exact"/>
        <w:rPr>
          <w:rFonts w:ascii="Arial" w:cs="Arial" w:eastAsia="Arial" w:hAnsi="Arial"/>
          <w:sz w:val="15"/>
          <w:szCs w:val="15"/>
          <w:color w:val="auto"/>
        </w:rPr>
      </w:pPr>
    </w:p>
    <w:p>
      <w:pPr>
        <w:ind w:left="940" w:right="440" w:hanging="316"/>
        <w:spacing w:after="0" w:line="283" w:lineRule="auto"/>
        <w:tabs>
          <w:tab w:leader="none" w:pos="936" w:val="left"/>
        </w:tabs>
        <w:numPr>
          <w:ilvl w:val="1"/>
          <w:numId w:val="108"/>
        </w:numPr>
        <w:rPr>
          <w:rFonts w:ascii="Arial" w:cs="Arial" w:eastAsia="Arial" w:hAnsi="Arial"/>
          <w:sz w:val="17"/>
          <w:szCs w:val="17"/>
          <w:color w:val="auto"/>
        </w:rPr>
      </w:pPr>
      <w:r>
        <w:rPr>
          <w:rFonts w:ascii="Arial" w:cs="Arial" w:eastAsia="Arial" w:hAnsi="Arial"/>
          <w:sz w:val="17"/>
          <w:szCs w:val="17"/>
          <w:color w:val="auto"/>
        </w:rPr>
        <w:t>the information contained in the periodic report fairly represents, in all material respects, the financial condition and results of operations of the Registrant for the periods presented.</w:t>
      </w:r>
    </w:p>
    <w:p>
      <w:pPr>
        <w:spacing w:after="0" w:line="250" w:lineRule="exact"/>
        <w:rPr>
          <w:sz w:val="20"/>
          <w:szCs w:val="20"/>
          <w:color w:val="auto"/>
        </w:rPr>
      </w:pPr>
    </w:p>
    <w:tbl>
      <w:tblPr>
        <w:tblLayout w:type="fixed"/>
        <w:tblInd w:w="560" w:type="dxa"/>
        <w:tblCellMar>
          <w:top w:w="0" w:type="dxa"/>
          <w:left w:w="0" w:type="dxa"/>
          <w:bottom w:w="0" w:type="dxa"/>
          <w:right w:w="0" w:type="dxa"/>
        </w:tblCellMar>
      </w:tblPr>
      <w:tr>
        <w:trPr>
          <w:trHeight w:val="219"/>
        </w:trPr>
        <w:tc>
          <w:tcPr>
            <w:tcW w:w="760" w:type="dxa"/>
            <w:vAlign w:val="bottom"/>
          </w:tcPr>
          <w:p>
            <w:pPr>
              <w:spacing w:after="0"/>
              <w:rPr>
                <w:sz w:val="20"/>
                <w:szCs w:val="20"/>
                <w:color w:val="auto"/>
              </w:rPr>
            </w:pPr>
            <w:r>
              <w:rPr>
                <w:rFonts w:ascii="Arial" w:cs="Arial" w:eastAsia="Arial" w:hAnsi="Arial"/>
                <w:sz w:val="17"/>
                <w:szCs w:val="17"/>
                <w:color w:val="auto"/>
              </w:rPr>
              <w:t>Name:</w:t>
            </w:r>
          </w:p>
        </w:tc>
        <w:tc>
          <w:tcPr>
            <w:tcW w:w="53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Glen A. Messina</w:t>
            </w:r>
          </w:p>
        </w:tc>
      </w:tr>
      <w:tr>
        <w:trPr>
          <w:trHeight w:val="226"/>
        </w:trPr>
        <w:tc>
          <w:tcPr>
            <w:tcW w:w="760" w:type="dxa"/>
            <w:vAlign w:val="bottom"/>
          </w:tcPr>
          <w:p>
            <w:pPr>
              <w:spacing w:after="0"/>
              <w:rPr>
                <w:sz w:val="20"/>
                <w:szCs w:val="20"/>
                <w:color w:val="auto"/>
              </w:rPr>
            </w:pPr>
            <w:r>
              <w:rPr>
                <w:rFonts w:ascii="Arial" w:cs="Arial" w:eastAsia="Arial" w:hAnsi="Arial"/>
                <w:sz w:val="17"/>
                <w:szCs w:val="17"/>
                <w:color w:val="auto"/>
              </w:rPr>
              <w:t>Title:</w:t>
            </w:r>
          </w:p>
        </w:tc>
        <w:tc>
          <w:tcPr>
            <w:tcW w:w="5380" w:type="dxa"/>
            <w:vAlign w:val="bottom"/>
          </w:tcPr>
          <w:p>
            <w:pPr>
              <w:ind w:left="20"/>
              <w:spacing w:after="0"/>
              <w:rPr>
                <w:sz w:val="20"/>
                <w:szCs w:val="20"/>
                <w:color w:val="auto"/>
              </w:rPr>
            </w:pPr>
            <w:r>
              <w:rPr>
                <w:rFonts w:ascii="Arial" w:cs="Arial" w:eastAsia="Arial" w:hAnsi="Arial"/>
                <w:sz w:val="17"/>
                <w:szCs w:val="17"/>
                <w:color w:val="auto"/>
              </w:rPr>
              <w:t>President and Chief Executive Officer</w:t>
            </w:r>
          </w:p>
        </w:tc>
      </w:tr>
      <w:tr>
        <w:trPr>
          <w:trHeight w:val="245"/>
        </w:trPr>
        <w:tc>
          <w:tcPr>
            <w:tcW w:w="760" w:type="dxa"/>
            <w:vAlign w:val="bottom"/>
          </w:tcPr>
          <w:p>
            <w:pPr>
              <w:spacing w:after="0"/>
              <w:rPr>
                <w:sz w:val="20"/>
                <w:szCs w:val="20"/>
                <w:color w:val="auto"/>
              </w:rPr>
            </w:pPr>
            <w:r>
              <w:rPr>
                <w:rFonts w:ascii="Arial" w:cs="Arial" w:eastAsia="Arial" w:hAnsi="Arial"/>
                <w:sz w:val="17"/>
                <w:szCs w:val="17"/>
                <w:color w:val="auto"/>
              </w:rPr>
              <w:t>Date:</w:t>
            </w:r>
          </w:p>
        </w:tc>
        <w:tc>
          <w:tcPr>
            <w:tcW w:w="5380" w:type="dxa"/>
            <w:vAlign w:val="bottom"/>
          </w:tcPr>
          <w:p>
            <w:pPr>
              <w:ind w:left="20"/>
              <w:spacing w:after="0"/>
              <w:rPr>
                <w:sz w:val="20"/>
                <w:szCs w:val="20"/>
                <w:color w:val="auto"/>
              </w:rPr>
            </w:pPr>
            <w:r>
              <w:rPr>
                <w:rFonts w:ascii="Arial" w:cs="Arial" w:eastAsia="Arial" w:hAnsi="Arial"/>
                <w:sz w:val="17"/>
                <w:szCs w:val="17"/>
                <w:color w:val="auto"/>
              </w:rPr>
              <w:t>August 4, 2022</w:t>
            </w:r>
          </w:p>
        </w:tc>
      </w:tr>
    </w:tbl>
    <w:p>
      <w:pPr>
        <w:sectPr>
          <w:pgSz w:w="11900" w:h="16838" w:orient="portrait"/>
          <w:cols w:equalWidth="0" w:num="1">
            <w:col w:w="11240"/>
          </w:cols>
          <w:pgMar w:left="320" w:top="1038" w:right="339" w:bottom="1440" w:gutter="0" w:footer="0" w:header="0"/>
        </w:sectPr>
      </w:pPr>
    </w:p>
    <w:bookmarkStart w:id="135" w:name="page136"/>
    <w:bookmarkEnd w:id="135"/>
    <w:p>
      <w:pPr>
        <w:jc w:val="right"/>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213360</wp:posOffset>
            </wp:positionH>
            <wp:positionV relativeFrom="page">
              <wp:posOffset>572770</wp:posOffset>
            </wp:positionV>
            <wp:extent cx="7121525" cy="1651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3">
                      <a:extLst>
                        <a:ext uri="{28A0092B-C50C-407E-A947-70E740481C1C}"/>
                      </a:extLst>
                    </a:blip>
                    <a:srcRect/>
                    <a:stretch>
                      <a:fillRect/>
                    </a:stretch>
                  </pic:blipFill>
                  <pic:spPr bwMode="auto">
                    <a:xfrm>
                      <a:off x="0" y="0"/>
                      <a:ext cx="7121525" cy="16510"/>
                    </a:xfrm>
                    <a:prstGeom prst="rect">
                      <a:avLst/>
                    </a:prstGeom>
                    <a:noFill/>
                  </pic:spPr>
                </pic:pic>
              </a:graphicData>
            </a:graphic>
          </wp:anchor>
        </w:drawing>
        <w:t>EXHIBIT 32.2</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I, Sean B. O'Neil, state and attest that:</w:t>
      </w:r>
    </w:p>
    <w:p>
      <w:pPr>
        <w:spacing w:after="0" w:line="218" w:lineRule="exact"/>
        <w:rPr>
          <w:sz w:val="20"/>
          <w:szCs w:val="20"/>
          <w:color w:val="auto"/>
        </w:rPr>
      </w:pPr>
    </w:p>
    <w:p>
      <w:pPr>
        <w:ind w:left="460" w:hanging="379"/>
        <w:spacing w:after="0"/>
        <w:tabs>
          <w:tab w:leader="none" w:pos="46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I am the principal financial officer of Ocwen Financial Corporation (the Registrant).</w:t>
      </w:r>
    </w:p>
    <w:p>
      <w:pPr>
        <w:spacing w:after="0" w:line="243" w:lineRule="exact"/>
        <w:rPr>
          <w:rFonts w:ascii="Arial" w:cs="Arial" w:eastAsia="Arial" w:hAnsi="Arial"/>
          <w:sz w:val="17"/>
          <w:szCs w:val="17"/>
          <w:color w:val="auto"/>
        </w:rPr>
      </w:pPr>
    </w:p>
    <w:p>
      <w:pPr>
        <w:ind w:left="460" w:hanging="379"/>
        <w:spacing w:after="0"/>
        <w:tabs>
          <w:tab w:leader="none" w:pos="46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I hereby certify, pursuant to 18 U.S.C. Section 1350, as adopted pursuant to Section 906 of the Sarbanes-Oxley Act of 2002, that</w:t>
      </w:r>
    </w:p>
    <w:p>
      <w:pPr>
        <w:spacing w:after="0" w:line="243" w:lineRule="exact"/>
        <w:rPr>
          <w:rFonts w:ascii="Arial" w:cs="Arial" w:eastAsia="Arial" w:hAnsi="Arial"/>
          <w:sz w:val="17"/>
          <w:szCs w:val="17"/>
          <w:color w:val="auto"/>
        </w:rPr>
      </w:pPr>
    </w:p>
    <w:p>
      <w:pPr>
        <w:ind w:left="940" w:right="200" w:hanging="316"/>
        <w:spacing w:after="0" w:line="353" w:lineRule="auto"/>
        <w:tabs>
          <w:tab w:leader="none" w:pos="936" w:val="left"/>
        </w:tabs>
        <w:numPr>
          <w:ilvl w:val="1"/>
          <w:numId w:val="109"/>
        </w:numPr>
        <w:rPr>
          <w:rFonts w:ascii="Arial" w:cs="Arial" w:eastAsia="Arial" w:hAnsi="Arial"/>
          <w:sz w:val="15"/>
          <w:szCs w:val="15"/>
          <w:color w:val="auto"/>
        </w:rPr>
      </w:pPr>
      <w:r>
        <w:rPr>
          <w:rFonts w:ascii="Arial" w:cs="Arial" w:eastAsia="Arial" w:hAnsi="Arial"/>
          <w:sz w:val="15"/>
          <w:szCs w:val="15"/>
          <w:color w:val="auto"/>
        </w:rPr>
        <w:t>the Quarterly Report on Form 10-Q of the Registrant for the quarter ended June 30, 2022 (the periodic report) containing financial statements fully complies with the requirements of Section 13(a) or 15(d), as applicable, of the Securities Exchange Act of 1934 (15 U.S.C. 78m or 78o(d)); and</w:t>
      </w:r>
    </w:p>
    <w:p>
      <w:pPr>
        <w:spacing w:after="0" w:line="138" w:lineRule="exact"/>
        <w:rPr>
          <w:rFonts w:ascii="Arial" w:cs="Arial" w:eastAsia="Arial" w:hAnsi="Arial"/>
          <w:sz w:val="15"/>
          <w:szCs w:val="15"/>
          <w:color w:val="auto"/>
        </w:rPr>
      </w:pPr>
    </w:p>
    <w:p>
      <w:pPr>
        <w:ind w:left="940" w:right="440" w:hanging="316"/>
        <w:spacing w:after="0" w:line="283" w:lineRule="auto"/>
        <w:tabs>
          <w:tab w:leader="none" w:pos="936" w:val="left"/>
        </w:tabs>
        <w:numPr>
          <w:ilvl w:val="1"/>
          <w:numId w:val="109"/>
        </w:numPr>
        <w:rPr>
          <w:rFonts w:ascii="Arial" w:cs="Arial" w:eastAsia="Arial" w:hAnsi="Arial"/>
          <w:sz w:val="17"/>
          <w:szCs w:val="17"/>
          <w:color w:val="auto"/>
        </w:rPr>
      </w:pPr>
      <w:r>
        <w:rPr>
          <w:rFonts w:ascii="Arial" w:cs="Arial" w:eastAsia="Arial" w:hAnsi="Arial"/>
          <w:sz w:val="17"/>
          <w:szCs w:val="17"/>
          <w:color w:val="auto"/>
        </w:rPr>
        <w:t>the information contained in the periodic report fairly represents, in all material respects, the financial condition and results of operations of the Registrant for the periods presented.</w:t>
      </w:r>
    </w:p>
    <w:p>
      <w:pPr>
        <w:spacing w:after="0" w:line="250" w:lineRule="exact"/>
        <w:rPr>
          <w:sz w:val="20"/>
          <w:szCs w:val="20"/>
          <w:color w:val="auto"/>
        </w:rPr>
      </w:pPr>
    </w:p>
    <w:tbl>
      <w:tblPr>
        <w:tblLayout w:type="fixed"/>
        <w:tblInd w:w="560" w:type="dxa"/>
        <w:tblCellMar>
          <w:top w:w="0" w:type="dxa"/>
          <w:left w:w="0" w:type="dxa"/>
          <w:bottom w:w="0" w:type="dxa"/>
          <w:right w:w="0" w:type="dxa"/>
        </w:tblCellMar>
      </w:tblPr>
      <w:tr>
        <w:trPr>
          <w:trHeight w:val="219"/>
        </w:trPr>
        <w:tc>
          <w:tcPr>
            <w:tcW w:w="760" w:type="dxa"/>
            <w:vAlign w:val="bottom"/>
          </w:tcPr>
          <w:p>
            <w:pPr>
              <w:spacing w:after="0"/>
              <w:rPr>
                <w:sz w:val="20"/>
                <w:szCs w:val="20"/>
                <w:color w:val="auto"/>
              </w:rPr>
            </w:pPr>
            <w:r>
              <w:rPr>
                <w:rFonts w:ascii="Arial" w:cs="Arial" w:eastAsia="Arial" w:hAnsi="Arial"/>
                <w:sz w:val="17"/>
                <w:szCs w:val="17"/>
                <w:color w:val="auto"/>
              </w:rPr>
              <w:t>Name:</w:t>
            </w:r>
          </w:p>
        </w:tc>
        <w:tc>
          <w:tcPr>
            <w:tcW w:w="53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Sean B. O'Neil</w:t>
            </w:r>
          </w:p>
        </w:tc>
      </w:tr>
      <w:tr>
        <w:trPr>
          <w:trHeight w:val="239"/>
        </w:trPr>
        <w:tc>
          <w:tcPr>
            <w:tcW w:w="760" w:type="dxa"/>
            <w:vAlign w:val="bottom"/>
          </w:tcPr>
          <w:p>
            <w:pPr>
              <w:spacing w:after="0"/>
              <w:rPr>
                <w:sz w:val="20"/>
                <w:szCs w:val="20"/>
                <w:color w:val="auto"/>
              </w:rPr>
            </w:pPr>
            <w:r>
              <w:rPr>
                <w:rFonts w:ascii="Arial" w:cs="Arial" w:eastAsia="Arial" w:hAnsi="Arial"/>
                <w:sz w:val="17"/>
                <w:szCs w:val="17"/>
                <w:color w:val="auto"/>
              </w:rPr>
              <w:t>Title:</w:t>
            </w:r>
          </w:p>
        </w:tc>
        <w:tc>
          <w:tcPr>
            <w:tcW w:w="5380" w:type="dxa"/>
            <w:vAlign w:val="bottom"/>
          </w:tcPr>
          <w:p>
            <w:pPr>
              <w:ind w:left="20"/>
              <w:spacing w:after="0"/>
              <w:rPr>
                <w:sz w:val="20"/>
                <w:szCs w:val="20"/>
                <w:color w:val="auto"/>
              </w:rPr>
            </w:pPr>
            <w:r>
              <w:rPr>
                <w:rFonts w:ascii="Arial" w:cs="Arial" w:eastAsia="Arial" w:hAnsi="Arial"/>
                <w:sz w:val="17"/>
                <w:szCs w:val="17"/>
                <w:color w:val="auto"/>
              </w:rPr>
              <w:t>Executive Vice President and Chief Financial Officer</w:t>
            </w:r>
          </w:p>
        </w:tc>
      </w:tr>
      <w:tr>
        <w:trPr>
          <w:trHeight w:val="245"/>
        </w:trPr>
        <w:tc>
          <w:tcPr>
            <w:tcW w:w="760" w:type="dxa"/>
            <w:vAlign w:val="bottom"/>
          </w:tcPr>
          <w:p>
            <w:pPr>
              <w:spacing w:after="0"/>
              <w:rPr>
                <w:sz w:val="20"/>
                <w:szCs w:val="20"/>
                <w:color w:val="auto"/>
              </w:rPr>
            </w:pPr>
            <w:r>
              <w:rPr>
                <w:rFonts w:ascii="Arial" w:cs="Arial" w:eastAsia="Arial" w:hAnsi="Arial"/>
                <w:sz w:val="17"/>
                <w:szCs w:val="17"/>
                <w:color w:val="auto"/>
              </w:rPr>
              <w:t>Date:</w:t>
            </w:r>
          </w:p>
        </w:tc>
        <w:tc>
          <w:tcPr>
            <w:tcW w:w="5380" w:type="dxa"/>
            <w:vAlign w:val="bottom"/>
          </w:tcPr>
          <w:p>
            <w:pPr>
              <w:ind w:left="20"/>
              <w:spacing w:after="0"/>
              <w:rPr>
                <w:sz w:val="20"/>
                <w:szCs w:val="20"/>
                <w:color w:val="auto"/>
              </w:rPr>
            </w:pPr>
            <w:r>
              <w:rPr>
                <w:rFonts w:ascii="Arial" w:cs="Arial" w:eastAsia="Arial" w:hAnsi="Arial"/>
                <w:sz w:val="17"/>
                <w:szCs w:val="17"/>
                <w:color w:val="auto"/>
              </w:rPr>
              <w:t>August 4, 2022</w:t>
            </w:r>
          </w:p>
        </w:tc>
      </w:tr>
    </w:tbl>
    <w:p>
      <w:pPr>
        <w:spacing w:after="0" w:line="1" w:lineRule="exact"/>
        <w:rPr>
          <w:sz w:val="20"/>
          <w:szCs w:val="20"/>
          <w:color w:val="auto"/>
        </w:rPr>
      </w:pPr>
    </w:p>
    <w:sectPr>
      <w:pgSz w:w="11900" w:h="16838" w:orient="portrait"/>
      <w:cols w:equalWidth="0" w:num="1">
        <w:col w:w="11240"/>
      </w:cols>
      <w:pgMar w:left="320" w:top="103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F9C13C"/>
    <w:multiLevelType w:val="hybridMultilevel"/>
    <w:lvl w:ilvl="0">
      <w:lvlJc w:val="left"/>
      <w:lvlText w:val="☒"/>
      <w:numFmt w:val="bullet"/>
      <w:start w:val="1"/>
    </w:lvl>
  </w:abstractNum>
  <w:abstractNum w:abstractNumId="1">
    <w:nsid w:val="649BB77C"/>
    <w:multiLevelType w:val="hybridMultilevel"/>
    <w:lvl w:ilvl="0">
      <w:lvlJc w:val="left"/>
      <w:lvlText w:val="☐"/>
      <w:numFmt w:val="bullet"/>
      <w:start w:val="1"/>
    </w:lvl>
  </w:abstractNum>
  <w:abstractNum w:abstractNumId="2">
    <w:nsid w:val="275AC794"/>
    <w:multiLevelType w:val="hybridMultilevel"/>
    <w:lvl w:ilvl="0">
      <w:lvlJc w:val="left"/>
      <w:lvlText w:val="•"/>
      <w:numFmt w:val="bullet"/>
      <w:start w:val="1"/>
    </w:lvl>
  </w:abstractNum>
  <w:abstractNum w:abstractNumId="3">
    <w:nsid w:val="39386575"/>
    <w:multiLevelType w:val="hybridMultilevel"/>
    <w:lvl w:ilvl="0">
      <w:lvlJc w:val="left"/>
      <w:lvlText w:val="•"/>
      <w:numFmt w:val="bullet"/>
      <w:start w:val="1"/>
    </w:lvl>
  </w:abstractNum>
  <w:abstractNum w:abstractNumId="4">
    <w:nsid w:val="1CF10FD8"/>
    <w:multiLevelType w:val="hybridMultilevel"/>
    <w:lvl w:ilvl="0">
      <w:lvlJc w:val="left"/>
      <w:lvlText w:val="%1."/>
      <w:numFmt w:val="decimal"/>
      <w:start w:val="718"/>
    </w:lvl>
  </w:abstractNum>
  <w:abstractNum w:abstractNumId="5">
    <w:nsid w:val="180115BE"/>
    <w:multiLevelType w:val="hybridMultilevel"/>
    <w:lvl w:ilvl="0">
      <w:lvlJc w:val="left"/>
      <w:lvlText w:val="(%1)"/>
      <w:numFmt w:val="decimal"/>
      <w:start w:val="1"/>
    </w:lvl>
  </w:abstractNum>
  <w:abstractNum w:abstractNumId="6">
    <w:nsid w:val="235BA861"/>
    <w:multiLevelType w:val="hybridMultilevel"/>
    <w:lvl w:ilvl="0">
      <w:lvlJc w:val="left"/>
      <w:lvlText w:val="(%1)"/>
      <w:numFmt w:val="decimal"/>
      <w:start w:val="1"/>
    </w:lvl>
  </w:abstractNum>
  <w:abstractNum w:abstractNumId="7">
    <w:nsid w:val="47398C89"/>
    <w:multiLevelType w:val="hybridMultilevel"/>
    <w:lvl w:ilvl="0">
      <w:lvlJc w:val="left"/>
      <w:lvlText w:val="(%1)"/>
      <w:numFmt w:val="lowerLetter"/>
      <w:start w:val="1"/>
    </w:lvl>
  </w:abstractNum>
  <w:abstractNum w:abstractNumId="8">
    <w:nsid w:val="354FE9F9"/>
    <w:multiLevelType w:val="hybridMultilevel"/>
    <w:lvl w:ilvl="0">
      <w:lvlJc w:val="left"/>
      <w:lvlText w:val="(%1)"/>
      <w:numFmt w:val="decimal"/>
      <w:start w:val="1"/>
    </w:lvl>
  </w:abstractNum>
  <w:abstractNum w:abstractNumId="9">
    <w:nsid w:val="15B5AF5C"/>
    <w:multiLevelType w:val="hybridMultilevel"/>
    <w:lvl w:ilvl="0">
      <w:lvlJc w:val="left"/>
      <w:lvlText w:val="(%1)"/>
      <w:numFmt w:val="decimal"/>
      <w:start w:val="1"/>
    </w:lvl>
  </w:abstractNum>
  <w:abstractNum w:abstractNumId="10">
    <w:nsid w:val="741226BB"/>
    <w:multiLevelType w:val="hybridMultilevel"/>
    <w:lvl w:ilvl="0">
      <w:lvlJc w:val="left"/>
      <w:lvlText w:val="(%1)"/>
      <w:numFmt w:val="decimal"/>
      <w:start w:val="1"/>
    </w:lvl>
  </w:abstractNum>
  <w:abstractNum w:abstractNumId="11">
    <w:nsid w:val="D34B6A8"/>
    <w:multiLevelType w:val="hybridMultilevel"/>
    <w:lvl w:ilvl="0">
      <w:lvlJc w:val="left"/>
      <w:lvlText w:val="(%1)"/>
      <w:numFmt w:val="decimal"/>
      <w:start w:val="1"/>
    </w:lvl>
  </w:abstractNum>
  <w:abstractNum w:abstractNumId="12">
    <w:nsid w:val="10233C99"/>
    <w:multiLevelType w:val="hybridMultilevel"/>
    <w:lvl w:ilvl="0">
      <w:lvlJc w:val="left"/>
      <w:lvlText w:val="(%1)"/>
      <w:numFmt w:val="decimal"/>
      <w:start w:val="2"/>
    </w:lvl>
  </w:abstractNum>
  <w:abstractNum w:abstractNumId="13">
    <w:nsid w:val="3F6AB60F"/>
    <w:multiLevelType w:val="hybridMultilevel"/>
    <w:lvl w:ilvl="0">
      <w:lvlJc w:val="left"/>
      <w:lvlText w:val="(%1)"/>
      <w:numFmt w:val="decimal"/>
      <w:start w:val="1"/>
    </w:lvl>
  </w:abstractNum>
  <w:abstractNum w:abstractNumId="14">
    <w:nsid w:val="61574095"/>
    <w:multiLevelType w:val="hybridMultilevel"/>
    <w:lvl w:ilvl="0">
      <w:lvlJc w:val="left"/>
      <w:lvlText w:val="(%1)"/>
      <w:numFmt w:val="decimal"/>
      <w:start w:val="1"/>
    </w:lvl>
  </w:abstractNum>
  <w:abstractNum w:abstractNumId="15">
    <w:nsid w:val="7E0C57B1"/>
    <w:multiLevelType w:val="hybridMultilevel"/>
    <w:lvl w:ilvl="0">
      <w:lvlJc w:val="left"/>
      <w:lvlText w:val="(%1)"/>
      <w:numFmt w:val="decimal"/>
      <w:start w:val="1"/>
    </w:lvl>
  </w:abstractNum>
  <w:abstractNum w:abstractNumId="16">
    <w:nsid w:val="77AE35EB"/>
    <w:multiLevelType w:val="hybridMultilevel"/>
    <w:lvl w:ilvl="0">
      <w:lvlJc w:val="left"/>
      <w:lvlText w:val="(%1)"/>
      <w:numFmt w:val="decimal"/>
      <w:start w:val="1"/>
    </w:lvl>
  </w:abstractNum>
  <w:abstractNum w:abstractNumId="17">
    <w:nsid w:val="579BE4F1"/>
    <w:multiLevelType w:val="hybridMultilevel"/>
    <w:lvl w:ilvl="0">
      <w:lvlJc w:val="left"/>
      <w:lvlText w:val="(%1)"/>
      <w:numFmt w:val="decimal"/>
      <w:start w:val="1"/>
    </w:lvl>
  </w:abstractNum>
  <w:abstractNum w:abstractNumId="18">
    <w:nsid w:val="310C50B3"/>
    <w:multiLevelType w:val="hybridMultilevel"/>
    <w:lvl w:ilvl="0">
      <w:lvlJc w:val="left"/>
      <w:lvlText w:val="(%1)"/>
      <w:numFmt w:val="lowerLetter"/>
      <w:start w:val="2"/>
    </w:lvl>
  </w:abstractNum>
  <w:abstractNum w:abstractNumId="19">
    <w:nsid w:val="5FF87E05"/>
    <w:multiLevelType w:val="hybridMultilevel"/>
    <w:lvl w:ilvl="0">
      <w:lvlJc w:val="left"/>
      <w:lvlText w:val="(%1)"/>
      <w:numFmt w:val="decimal"/>
      <w:start w:val="1"/>
    </w:lvl>
  </w:abstractNum>
  <w:abstractNum w:abstractNumId="20">
    <w:nsid w:val="2F305DEF"/>
    <w:multiLevelType w:val="hybridMultilevel"/>
    <w:lvl w:ilvl="0">
      <w:lvlJc w:val="left"/>
      <w:lvlText w:val="(%1)"/>
      <w:numFmt w:val="decimal"/>
      <w:start w:val="1"/>
    </w:lvl>
  </w:abstractNum>
  <w:abstractNum w:abstractNumId="21">
    <w:nsid w:val="25A70BF7"/>
    <w:multiLevelType w:val="hybridMultilevel"/>
    <w:lvl w:ilvl="0">
      <w:lvlJc w:val="left"/>
      <w:lvlText w:val="(%1)"/>
      <w:numFmt w:val="decimal"/>
      <w:start w:val="4"/>
    </w:lvl>
  </w:abstractNum>
  <w:abstractNum w:abstractNumId="22">
    <w:nsid w:val="1DBABF00"/>
    <w:multiLevelType w:val="hybridMultilevel"/>
    <w:lvl w:ilvl="0">
      <w:lvlJc w:val="left"/>
      <w:lvlText w:val="(%1)"/>
      <w:numFmt w:val="decimal"/>
      <w:start w:val="1"/>
    </w:lvl>
  </w:abstractNum>
  <w:abstractNum w:abstractNumId="23">
    <w:nsid w:val="4AD084E9"/>
    <w:multiLevelType w:val="hybridMultilevel"/>
    <w:lvl w:ilvl="0">
      <w:lvlJc w:val="left"/>
      <w:lvlText w:val="(%1)"/>
      <w:numFmt w:val="decimal"/>
      <w:start w:val="6"/>
    </w:lvl>
  </w:abstractNum>
  <w:abstractNum w:abstractNumId="24">
    <w:nsid w:val="1F48EAA1"/>
    <w:multiLevelType w:val="hybridMultilevel"/>
    <w:lvl w:ilvl="0">
      <w:lvlJc w:val="left"/>
      <w:lvlText w:val="(%1)"/>
      <w:numFmt w:val="decimal"/>
      <w:start w:val="1"/>
    </w:lvl>
  </w:abstractNum>
  <w:abstractNum w:abstractNumId="25">
    <w:nsid w:val="1381823A"/>
    <w:multiLevelType w:val="hybridMultilevel"/>
    <w:lvl w:ilvl="0">
      <w:lvlJc w:val="left"/>
      <w:lvlText w:val="(%1)"/>
      <w:numFmt w:val="decimal"/>
      <w:start w:val="2"/>
    </w:lvl>
  </w:abstractNum>
  <w:abstractNum w:abstractNumId="26">
    <w:nsid w:val="5DB70AE5"/>
    <w:multiLevelType w:val="hybridMultilevel"/>
    <w:lvl w:ilvl="0">
      <w:lvlJc w:val="left"/>
      <w:lvlText w:val="(%1)"/>
      <w:numFmt w:val="decimal"/>
      <w:start w:val="1"/>
    </w:lvl>
  </w:abstractNum>
  <w:abstractNum w:abstractNumId="27">
    <w:nsid w:val="100F8FCA"/>
    <w:multiLevelType w:val="hybridMultilevel"/>
    <w:lvl w:ilvl="0">
      <w:lvlJc w:val="left"/>
      <w:lvlText w:val="(%1)"/>
      <w:numFmt w:val="decimal"/>
      <w:start w:val="2"/>
    </w:lvl>
  </w:abstractNum>
  <w:abstractNum w:abstractNumId="28">
    <w:nsid w:val="6590700B"/>
    <w:multiLevelType w:val="hybridMultilevel"/>
    <w:lvl w:ilvl="0">
      <w:lvlJc w:val="left"/>
      <w:lvlText w:val="•"/>
      <w:numFmt w:val="bullet"/>
      <w:start w:val="1"/>
    </w:lvl>
  </w:abstractNum>
  <w:abstractNum w:abstractNumId="29">
    <w:nsid w:val="15014ACB"/>
    <w:multiLevelType w:val="hybridMultilevel"/>
    <w:lvl w:ilvl="0">
      <w:lvlJc w:val="left"/>
      <w:lvlText w:val="(%1)"/>
      <w:numFmt w:val="decimal"/>
      <w:start w:val="1"/>
    </w:lvl>
  </w:abstractNum>
  <w:abstractNum w:abstractNumId="30">
    <w:nsid w:val="5F5E7FD0"/>
    <w:multiLevelType w:val="hybridMultilevel"/>
    <w:lvl w:ilvl="0">
      <w:lvlJc w:val="left"/>
      <w:lvlText w:val="•"/>
      <w:numFmt w:val="bullet"/>
      <w:start w:val="1"/>
    </w:lvl>
  </w:abstractNum>
  <w:abstractNum w:abstractNumId="31">
    <w:nsid w:val="98A3148"/>
    <w:multiLevelType w:val="hybridMultilevel"/>
    <w:lvl w:ilvl="0">
      <w:lvlJc w:val="left"/>
      <w:lvlText w:val="•"/>
      <w:numFmt w:val="bullet"/>
      <w:start w:val="1"/>
    </w:lvl>
  </w:abstractNum>
  <w:abstractNum w:abstractNumId="32">
    <w:nsid w:val="799D0247"/>
    <w:multiLevelType w:val="hybridMultilevel"/>
    <w:lvl w:ilvl="0">
      <w:lvlJc w:val="left"/>
      <w:lvlText w:val="(%1)"/>
      <w:numFmt w:val="lowerRoman"/>
      <w:start w:val="1"/>
    </w:lvl>
  </w:abstractNum>
  <w:abstractNum w:abstractNumId="33">
    <w:nsid w:val="6B94764"/>
    <w:multiLevelType w:val="hybridMultilevel"/>
    <w:lvl w:ilvl="0">
      <w:lvlJc w:val="left"/>
      <w:lvlText w:val="(%1)"/>
      <w:numFmt w:val="decimal"/>
      <w:start w:val="1"/>
    </w:lvl>
  </w:abstractNum>
  <w:abstractNum w:abstractNumId="34">
    <w:nsid w:val="42C296BD"/>
    <w:multiLevelType w:val="hybridMultilevel"/>
    <w:lvl w:ilvl="0">
      <w:lvlJc w:val="left"/>
      <w:lvlText w:val="(%1)"/>
      <w:numFmt w:val="decimal"/>
      <w:start w:val="1"/>
    </w:lvl>
  </w:abstractNum>
  <w:abstractNum w:abstractNumId="35">
    <w:nsid w:val="168E121F"/>
    <w:multiLevelType w:val="hybridMultilevel"/>
    <w:lvl w:ilvl="0">
      <w:lvlJc w:val="left"/>
      <w:lvlText w:val="(%1)"/>
      <w:numFmt w:val="decimal"/>
      <w:start w:val="1"/>
    </w:lvl>
  </w:abstractNum>
  <w:abstractNum w:abstractNumId="36">
    <w:nsid w:val="1EBA5D23"/>
    <w:multiLevelType w:val="hybridMultilevel"/>
    <w:lvl w:ilvl="0">
      <w:lvlJc w:val="left"/>
      <w:lvlText w:val="(%1)"/>
      <w:numFmt w:val="decimal"/>
      <w:start w:val="1"/>
    </w:lvl>
  </w:abstractNum>
  <w:abstractNum w:abstractNumId="37">
    <w:nsid w:val="661E3F1E"/>
    <w:multiLevelType w:val="hybridMultilevel"/>
    <w:lvl w:ilvl="0">
      <w:lvlJc w:val="left"/>
      <w:lvlText w:val="(%1)"/>
      <w:numFmt w:val="decimal"/>
      <w:start w:val="1"/>
    </w:lvl>
  </w:abstractNum>
  <w:abstractNum w:abstractNumId="38">
    <w:nsid w:val="5DC79EA8"/>
    <w:multiLevelType w:val="hybridMultilevel"/>
    <w:lvl w:ilvl="0">
      <w:lvlJc w:val="left"/>
      <w:lvlText w:val="(%1)"/>
      <w:numFmt w:val="decimal"/>
      <w:start w:val="1"/>
    </w:lvl>
  </w:abstractNum>
  <w:abstractNum w:abstractNumId="39">
    <w:nsid w:val="540A471C"/>
    <w:multiLevelType w:val="hybridMultilevel"/>
    <w:lvl w:ilvl="0">
      <w:lvlJc w:val="left"/>
      <w:lvlText w:val="•"/>
      <w:numFmt w:val="bullet"/>
      <w:start w:val="1"/>
    </w:lvl>
  </w:abstractNum>
  <w:abstractNum w:abstractNumId="40">
    <w:nsid w:val="7BD3EE7B"/>
    <w:multiLevelType w:val="hybridMultilevel"/>
    <w:lvl w:ilvl="0">
      <w:lvlJc w:val="left"/>
      <w:lvlText w:val="•"/>
      <w:numFmt w:val="bullet"/>
      <w:start w:val="1"/>
    </w:lvl>
  </w:abstractNum>
  <w:abstractNum w:abstractNumId="41">
    <w:nsid w:val="51D9C564"/>
    <w:multiLevelType w:val="hybridMultilevel"/>
    <w:lvl w:ilvl="0">
      <w:lvlJc w:val="left"/>
      <w:lvlText w:val="•"/>
      <w:numFmt w:val="bullet"/>
      <w:start w:val="1"/>
    </w:lvl>
  </w:abstractNum>
  <w:abstractNum w:abstractNumId="42">
    <w:nsid w:val="613EFDC5"/>
    <w:multiLevelType w:val="hybridMultilevel"/>
    <w:lvl w:ilvl="0">
      <w:lvlJc w:val="left"/>
      <w:lvlText w:val="(%1)"/>
      <w:numFmt w:val="decimal"/>
      <w:start w:val="1"/>
    </w:lvl>
  </w:abstractNum>
  <w:abstractNum w:abstractNumId="43">
    <w:nsid w:val="BF72B14"/>
    <w:multiLevelType w:val="hybridMultilevel"/>
    <w:lvl w:ilvl="0">
      <w:lvlJc w:val="left"/>
      <w:lvlText w:val="(%1)"/>
      <w:numFmt w:val="decimal"/>
      <w:start w:val="1"/>
    </w:lvl>
  </w:abstractNum>
  <w:abstractNum w:abstractNumId="44">
    <w:nsid w:val="11447B73"/>
    <w:multiLevelType w:val="hybridMultilevel"/>
    <w:lvl w:ilvl="0">
      <w:lvlJc w:val="left"/>
      <w:lvlText w:val="(%1)"/>
      <w:numFmt w:val="decimal"/>
      <w:start w:val="1"/>
    </w:lvl>
  </w:abstractNum>
  <w:abstractNum w:abstractNumId="45">
    <w:nsid w:val="42963E5A"/>
    <w:multiLevelType w:val="hybridMultilevel"/>
    <w:lvl w:ilvl="0">
      <w:lvlJc w:val="left"/>
      <w:lvlText w:val="(%1)"/>
      <w:numFmt w:val="decimal"/>
      <w:start w:val="1"/>
    </w:lvl>
  </w:abstractNum>
  <w:abstractNum w:abstractNumId="46">
    <w:nsid w:val="A0382C5"/>
    <w:multiLevelType w:val="hybridMultilevel"/>
    <w:lvl w:ilvl="0">
      <w:lvlJc w:val="left"/>
      <w:lvlText w:val="(%1)"/>
      <w:numFmt w:val="decimal"/>
      <w:start w:val="1"/>
    </w:lvl>
  </w:abstractNum>
  <w:abstractNum w:abstractNumId="47">
    <w:nsid w:val="8F2B15E"/>
    <w:multiLevelType w:val="hybridMultilevel"/>
    <w:lvl w:ilvl="0">
      <w:lvlJc w:val="left"/>
      <w:lvlText w:val="(%1)"/>
      <w:numFmt w:val="decimal"/>
      <w:start w:val="1"/>
    </w:lvl>
  </w:abstractNum>
  <w:abstractNum w:abstractNumId="48">
    <w:nsid w:val="1A32234B"/>
    <w:multiLevelType w:val="hybridMultilevel"/>
    <w:lvl w:ilvl="0">
      <w:lvlJc w:val="left"/>
      <w:lvlText w:val="(%1)"/>
      <w:numFmt w:val="decimal"/>
      <w:start w:val="1"/>
    </w:lvl>
  </w:abstractNum>
  <w:abstractNum w:abstractNumId="49">
    <w:nsid w:val="3B0FD379"/>
    <w:multiLevelType w:val="hybridMultilevel"/>
    <w:lvl w:ilvl="0">
      <w:lvlJc w:val="left"/>
      <w:lvlText w:val="(%1)"/>
      <w:numFmt w:val="decimal"/>
      <w:start w:val="1"/>
    </w:lvl>
  </w:abstractNum>
  <w:abstractNum w:abstractNumId="50">
    <w:nsid w:val="68EB2F63"/>
    <w:multiLevelType w:val="hybridMultilevel"/>
    <w:lvl w:ilvl="0">
      <w:lvlJc w:val="left"/>
      <w:lvlText w:val="(%1)"/>
      <w:numFmt w:val="decimal"/>
      <w:start w:val="1"/>
    </w:lvl>
  </w:abstractNum>
  <w:abstractNum w:abstractNumId="51">
    <w:nsid w:val="4962813B"/>
    <w:multiLevelType w:val="hybridMultilevel"/>
    <w:lvl w:ilvl="0">
      <w:lvlJc w:val="left"/>
      <w:lvlText w:val="(%1)"/>
      <w:numFmt w:val="decimal"/>
      <w:start w:val="1"/>
    </w:lvl>
  </w:abstractNum>
  <w:abstractNum w:abstractNumId="52">
    <w:nsid w:val="60B6DF70"/>
    <w:multiLevelType w:val="hybridMultilevel"/>
    <w:lvl w:ilvl="0">
      <w:lvlJc w:val="left"/>
      <w:lvlText w:val="(%1)"/>
      <w:numFmt w:val="decimal"/>
      <w:start w:val="1"/>
    </w:lvl>
  </w:abstractNum>
  <w:abstractNum w:abstractNumId="53">
    <w:nsid w:val="6A5EE64"/>
    <w:multiLevelType w:val="hybridMultilevel"/>
    <w:lvl w:ilvl="0">
      <w:lvlJc w:val="left"/>
      <w:lvlText w:val="(%1)"/>
      <w:numFmt w:val="decimal"/>
      <w:start w:val="1"/>
    </w:lvl>
  </w:abstractNum>
  <w:abstractNum w:abstractNumId="54">
    <w:nsid w:val="14330624"/>
    <w:multiLevelType w:val="hybridMultilevel"/>
    <w:lvl w:ilvl="0">
      <w:lvlJc w:val="left"/>
      <w:lvlText w:val="(%1)"/>
      <w:numFmt w:val="decimal"/>
      <w:start w:val="1"/>
    </w:lvl>
  </w:abstractNum>
  <w:abstractNum w:abstractNumId="55">
    <w:nsid w:val="7FFFCA11"/>
    <w:multiLevelType w:val="hybridMultilevel"/>
    <w:lvl w:ilvl="0">
      <w:lvlJc w:val="left"/>
      <w:lvlText w:val="(%1)"/>
      <w:numFmt w:val="decimal"/>
      <w:start w:val="1"/>
    </w:lvl>
  </w:abstractNum>
  <w:abstractNum w:abstractNumId="56">
    <w:nsid w:val="1A27709E"/>
    <w:multiLevelType w:val="hybridMultilevel"/>
    <w:lvl w:ilvl="0">
      <w:lvlJc w:val="left"/>
      <w:lvlText w:val="(%1)"/>
      <w:numFmt w:val="decimal"/>
      <w:start w:val="1"/>
    </w:lvl>
  </w:abstractNum>
  <w:abstractNum w:abstractNumId="57">
    <w:nsid w:val="71EA1109"/>
    <w:multiLevelType w:val="hybridMultilevel"/>
    <w:lvl w:ilvl="0">
      <w:lvlJc w:val="left"/>
      <w:lvlText w:val="•"/>
      <w:numFmt w:val="bullet"/>
      <w:start w:val="1"/>
    </w:lvl>
  </w:abstractNum>
  <w:abstractNum w:abstractNumId="58">
    <w:nsid w:val="100F59DC"/>
    <w:multiLevelType w:val="hybridMultilevel"/>
    <w:lvl w:ilvl="0">
      <w:lvlJc w:val="left"/>
      <w:lvlText w:val="•"/>
      <w:numFmt w:val="bullet"/>
      <w:start w:val="1"/>
    </w:lvl>
  </w:abstractNum>
  <w:abstractNum w:abstractNumId="59">
    <w:nsid w:val="7FB7E0AA"/>
    <w:multiLevelType w:val="hybridMultilevel"/>
    <w:lvl w:ilvl="0">
      <w:lvlJc w:val="left"/>
      <w:lvlText w:val="•"/>
      <w:numFmt w:val="bullet"/>
      <w:start w:val="1"/>
    </w:lvl>
  </w:abstractNum>
  <w:abstractNum w:abstractNumId="60">
    <w:nsid w:val="6EB5BD4"/>
    <w:multiLevelType w:val="hybridMultilevel"/>
    <w:lvl w:ilvl="0">
      <w:lvlJc w:val="left"/>
      <w:lvlText w:val="•"/>
      <w:numFmt w:val="bullet"/>
      <w:start w:val="1"/>
    </w:lvl>
  </w:abstractNum>
  <w:abstractNum w:abstractNumId="61">
    <w:nsid w:val="6F6DD9AC"/>
    <w:multiLevelType w:val="hybridMultilevel"/>
    <w:lvl w:ilvl="0">
      <w:lvlJc w:val="left"/>
      <w:lvlText w:val="•"/>
      <w:numFmt w:val="bullet"/>
      <w:start w:val="1"/>
    </w:lvl>
  </w:abstractNum>
  <w:abstractNum w:abstractNumId="62">
    <w:nsid w:val="94211F2"/>
    <w:multiLevelType w:val="hybridMultilevel"/>
    <w:lvl w:ilvl="0">
      <w:lvlJc w:val="left"/>
      <w:lvlText w:val="(%1)"/>
      <w:numFmt w:val="decimal"/>
      <w:start w:val="1"/>
    </w:lvl>
  </w:abstractNum>
  <w:abstractNum w:abstractNumId="63">
    <w:nsid w:val="885E1B"/>
    <w:multiLevelType w:val="hybridMultilevel"/>
    <w:lvl w:ilvl="0">
      <w:lvlJc w:val="left"/>
      <w:lvlText w:val="(%1)"/>
      <w:numFmt w:val="lowerRoman"/>
      <w:start w:val="1"/>
    </w:lvl>
  </w:abstractNum>
  <w:abstractNum w:abstractNumId="64">
    <w:nsid w:val="76272110"/>
    <w:multiLevelType w:val="hybridMultilevel"/>
    <w:lvl w:ilvl="0">
      <w:lvlJc w:val="left"/>
      <w:lvlText w:val="(%1)"/>
      <w:numFmt w:val="decimal"/>
      <w:start w:val="1"/>
    </w:lvl>
  </w:abstractNum>
  <w:abstractNum w:abstractNumId="65">
    <w:nsid w:val="4C04A8AF"/>
    <w:multiLevelType w:val="hybridMultilevel"/>
    <w:lvl w:ilvl="0">
      <w:lvlJc w:val="left"/>
      <w:lvlText w:val="(%1)"/>
      <w:numFmt w:val="decimal"/>
      <w:start w:val="1"/>
    </w:lvl>
  </w:abstractNum>
  <w:abstractNum w:abstractNumId="66">
    <w:nsid w:val="1716703B"/>
    <w:multiLevelType w:val="hybridMultilevel"/>
    <w:lvl w:ilvl="0">
      <w:lvlJc w:val="left"/>
      <w:lvlText w:val="%1"/>
      <w:numFmt w:val="decimal"/>
      <w:start w:val="101"/>
    </w:lvl>
  </w:abstractNum>
  <w:abstractNum w:abstractNumId="67">
    <w:nsid w:val="14E17E33"/>
    <w:multiLevelType w:val="hybridMultilevel"/>
    <w:lvl w:ilvl="0">
      <w:lvlJc w:val="left"/>
      <w:lvlText w:val="†"/>
      <w:numFmt w:val="bullet"/>
      <w:start w:val="1"/>
    </w:lvl>
    <w:lvl w:ilvl="1">
      <w:lvlJc w:val="left"/>
      <w:lvlText w:val="%2"/>
      <w:numFmt w:val="decimal"/>
      <w:start w:val="104"/>
    </w:lvl>
  </w:abstractNum>
  <w:abstractNum w:abstractNumId="68">
    <w:nsid w:val="3222E7CD"/>
    <w:multiLevelType w:val="hybridMultilevel"/>
    <w:lvl w:ilvl="0">
      <w:lvlJc w:val="left"/>
      <w:lvlText w:val="(%1)"/>
      <w:numFmt w:val="decimal"/>
      <w:start w:val="1"/>
    </w:lvl>
  </w:abstractNum>
  <w:abstractNum w:abstractNumId="69">
    <w:nsid w:val="74DE0EE3"/>
    <w:multiLevelType w:val="hybridMultilevel"/>
    <w:lvl w:ilvl="0">
      <w:lvlJc w:val="left"/>
      <w:lvlText w:val="(%1)"/>
      <w:numFmt w:val="lowerLetter"/>
      <w:start w:val="2"/>
    </w:lvl>
  </w:abstractNum>
  <w:abstractNum w:abstractNumId="70">
    <w:nsid w:val="68EBC550"/>
    <w:multiLevelType w:val="hybridMultilevel"/>
    <w:lvl w:ilvl="0">
      <w:lvlJc w:val="left"/>
      <w:lvlText w:val="(%1)"/>
      <w:numFmt w:val="lowerLetter"/>
      <w:start w:val="3"/>
    </w:lvl>
  </w:abstractNum>
  <w:abstractNum w:abstractNumId="71">
    <w:nsid w:val="2DF6D648"/>
    <w:multiLevelType w:val="hybridMultilevel"/>
    <w:lvl w:ilvl="0">
      <w:lvlJc w:val="left"/>
      <w:lvlText w:val="(%1)"/>
      <w:numFmt w:val="lowerLetter"/>
      <w:start w:val="4"/>
    </w:lvl>
  </w:abstractNum>
  <w:abstractNum w:abstractNumId="72">
    <w:nsid w:val="46B7D447"/>
    <w:multiLevelType w:val="hybridMultilevel"/>
    <w:lvl w:ilvl="0">
      <w:lvlJc w:val="left"/>
      <w:lvlText w:val="(%1)"/>
      <w:numFmt w:val="lowerLetter"/>
      <w:start w:val="5"/>
    </w:lvl>
  </w:abstractNum>
  <w:abstractNum w:abstractNumId="73">
    <w:nsid w:val="4A2AC315"/>
    <w:multiLevelType w:val="hybridMultilevel"/>
    <w:lvl w:ilvl="0">
      <w:lvlJc w:val="left"/>
      <w:lvlText w:val="(%1)"/>
      <w:numFmt w:val="lowerLetter"/>
      <w:start w:val="8"/>
    </w:lvl>
  </w:abstractNum>
  <w:abstractNum w:abstractNumId="74">
    <w:nsid w:val="39EE015C"/>
    <w:multiLevelType w:val="hybridMultilevel"/>
    <w:lvl w:ilvl="0">
      <w:lvlJc w:val="left"/>
      <w:lvlText w:val="%1"/>
      <w:numFmt w:val="lowerLetter"/>
      <w:start w:val="1"/>
    </w:lvl>
    <w:lvl w:ilvl="1">
      <w:lvlJc w:val="left"/>
      <w:lvlText w:val="(%2)"/>
      <w:numFmt w:val="lowerLetter"/>
      <w:start w:val="1"/>
    </w:lvl>
  </w:abstractNum>
  <w:abstractNum w:abstractNumId="75">
    <w:nsid w:val="57FC4FBB"/>
    <w:multiLevelType w:val="hybridMultilevel"/>
    <w:lvl w:ilvl="0">
      <w:lvlJc w:val="left"/>
      <w:lvlText w:val="(%1)"/>
      <w:numFmt w:val="lowerLetter"/>
      <w:start w:val="9"/>
    </w:lvl>
    <w:lvl w:ilvl="1">
      <w:lvlJc w:val="left"/>
      <w:lvlText w:val="(%2)"/>
      <w:numFmt w:val="lowerLetter"/>
      <w:start w:val="2"/>
    </w:lvl>
  </w:abstractNum>
  <w:abstractNum w:abstractNumId="76">
    <w:nsid w:val="CC1016F"/>
    <w:multiLevelType w:val="hybridMultilevel"/>
    <w:lvl w:ilvl="0">
      <w:lvlJc w:val="left"/>
      <w:lvlText w:val="(%1)"/>
      <w:numFmt w:val="lowerLetter"/>
      <w:start w:val="10"/>
    </w:lvl>
    <w:lvl w:ilvl="1">
      <w:lvlJc w:val="left"/>
      <w:lvlText w:val="(%2)"/>
      <w:numFmt w:val="lowerRoman"/>
      <w:start w:val="2"/>
    </w:lvl>
  </w:abstractNum>
  <w:abstractNum w:abstractNumId="77">
    <w:nsid w:val="43F18422"/>
    <w:multiLevelType w:val="hybridMultilevel"/>
    <w:lvl w:ilvl="0">
      <w:lvlJc w:val="left"/>
      <w:lvlText w:val="%1"/>
      <w:numFmt w:val="lowerLetter"/>
      <w:start w:val="1"/>
    </w:lvl>
    <w:lvl w:ilvl="1">
      <w:lvlJc w:val="left"/>
      <w:lvlText w:val="(%2)"/>
      <w:numFmt w:val="lowerRoman"/>
      <w:start w:val="3"/>
    </w:lvl>
  </w:abstractNum>
  <w:abstractNum w:abstractNumId="78">
    <w:nsid w:val="60EF0119"/>
    <w:multiLevelType w:val="hybridMultilevel"/>
    <w:lvl w:ilvl="0">
      <w:lvlJc w:val="left"/>
      <w:lvlText w:val="(%1)"/>
      <w:numFmt w:val="lowerLetter"/>
      <w:start w:val="12"/>
    </w:lvl>
    <w:lvl w:ilvl="1">
      <w:lvlJc w:val="left"/>
      <w:lvlText w:val="%2"/>
      <w:numFmt w:val="lowerRoman"/>
      <w:start w:val="1"/>
    </w:lvl>
  </w:abstractNum>
  <w:abstractNum w:abstractNumId="79">
    <w:nsid w:val="26F324BA"/>
    <w:multiLevelType w:val="hybridMultilevel"/>
    <w:lvl w:ilvl="0">
      <w:lvlJc w:val="left"/>
      <w:lvlText w:val="(%1)"/>
      <w:numFmt w:val="lowerLetter"/>
      <w:start w:val="13"/>
    </w:lvl>
    <w:lvl w:ilvl="1">
      <w:lvlJc w:val="left"/>
      <w:lvlText w:val="(%2)"/>
      <w:numFmt w:val="lowerRoman"/>
      <w:start w:val="8"/>
    </w:lvl>
  </w:abstractNum>
  <w:abstractNum w:abstractNumId="80">
    <w:nsid w:val="7F01579B"/>
    <w:multiLevelType w:val="hybridMultilevel"/>
    <w:lvl w:ilvl="0">
      <w:lvlJc w:val="left"/>
      <w:lvlText w:val="(%1)"/>
      <w:numFmt w:val="lowerLetter"/>
      <w:start w:val="35"/>
    </w:lvl>
    <w:lvl w:ilvl="1">
      <w:lvlJc w:val="left"/>
      <w:lvlText w:val="%2"/>
      <w:numFmt w:val="lowerRoman"/>
      <w:start w:val="1"/>
    </w:lvl>
  </w:abstractNum>
  <w:abstractNum w:abstractNumId="81">
    <w:nsid w:val="49DA307D"/>
    <w:multiLevelType w:val="hybridMultilevel"/>
    <w:lvl w:ilvl="0">
      <w:lvlJc w:val="left"/>
      <w:lvlText w:val="(%1)"/>
      <w:numFmt w:val="lowerLetter"/>
      <w:start w:val="14"/>
    </w:lvl>
  </w:abstractNum>
  <w:abstractNum w:abstractNumId="82">
    <w:nsid w:val="7055A5F5"/>
    <w:multiLevelType w:val="hybridMultilevel"/>
    <w:lvl w:ilvl="0">
      <w:lvlJc w:val="left"/>
      <w:lvlText w:val="(%1)"/>
      <w:numFmt w:val="lowerLetter"/>
      <w:start w:val="1"/>
    </w:lvl>
  </w:abstractNum>
  <w:abstractNum w:abstractNumId="83">
    <w:nsid w:val="5FB8370B"/>
    <w:multiLevelType w:val="hybridMultilevel"/>
    <w:lvl w:ilvl="0">
      <w:lvlJc w:val="left"/>
      <w:lvlText w:val="(%1)"/>
      <w:numFmt w:val="lowerLetter"/>
      <w:start w:val="3"/>
    </w:lvl>
  </w:abstractNum>
  <w:abstractNum w:abstractNumId="84">
    <w:nsid w:val="50801EE1"/>
    <w:multiLevelType w:val="hybridMultilevel"/>
    <w:lvl w:ilvl="0">
      <w:lvlJc w:val="left"/>
      <w:lvlText w:val="(%1)"/>
      <w:numFmt w:val="lowerLetter"/>
      <w:start w:val="4"/>
    </w:lvl>
  </w:abstractNum>
  <w:abstractNum w:abstractNumId="85">
    <w:nsid w:val="488AC1A"/>
    <w:multiLevelType w:val="hybridMultilevel"/>
    <w:lvl w:ilvl="0">
      <w:lvlJc w:val="left"/>
      <w:lvlText w:val="(%1)"/>
      <w:numFmt w:val="lowerLetter"/>
      <w:start w:val="7"/>
    </w:lvl>
    <w:lvl w:ilvl="1">
      <w:lvlJc w:val="left"/>
      <w:lvlText w:val="(%2)"/>
      <w:numFmt w:val="lowerLetter"/>
      <w:start w:val="1"/>
    </w:lvl>
  </w:abstractNum>
  <w:abstractNum w:abstractNumId="86">
    <w:nsid w:val="5FB8011C"/>
    <w:multiLevelType w:val="hybridMultilevel"/>
    <w:lvl w:ilvl="0">
      <w:lvlJc w:val="left"/>
      <w:lvlText w:val="(%1)"/>
      <w:numFmt w:val="lowerLetter"/>
      <w:start w:val="8"/>
    </w:lvl>
    <w:lvl w:ilvl="1">
      <w:lvlJc w:val="left"/>
      <w:lvlText w:val="(%2)"/>
      <w:numFmt w:val="lowerLetter"/>
      <w:start w:val="2"/>
    </w:lvl>
  </w:abstractNum>
  <w:abstractNum w:abstractNumId="87">
    <w:nsid w:val="6AA78F7F"/>
    <w:multiLevelType w:val="hybridMultilevel"/>
    <w:lvl w:ilvl="0">
      <w:lvlJc w:val="left"/>
      <w:lvlText w:val="%1"/>
      <w:numFmt w:val="lowerLetter"/>
      <w:start w:val="1"/>
    </w:lvl>
    <w:lvl w:ilvl="1">
      <w:lvlJc w:val="left"/>
      <w:lvlText w:val="(%2)"/>
      <w:numFmt w:val="lowerLetter"/>
      <w:start w:val="35"/>
    </w:lvl>
  </w:abstractNum>
  <w:abstractNum w:abstractNumId="88">
    <w:nsid w:val="7672BD23"/>
    <w:multiLevelType w:val="hybridMultilevel"/>
    <w:lvl w:ilvl="0">
      <w:lvlJc w:val="left"/>
      <w:lvlText w:val="%1"/>
      <w:numFmt w:val="lowerLetter"/>
      <w:start w:val="1"/>
    </w:lvl>
    <w:lvl w:ilvl="1">
      <w:lvlJc w:val="left"/>
      <w:lvlText w:val="(%2)"/>
      <w:numFmt w:val="lowerLetter"/>
      <w:start w:val="61"/>
    </w:lvl>
  </w:abstractNum>
  <w:abstractNum w:abstractNumId="89">
    <w:nsid w:val="6FC75AF8"/>
    <w:multiLevelType w:val="hybridMultilevel"/>
    <w:lvl w:ilvl="0">
      <w:lvlJc w:val="left"/>
      <w:lvlText w:val="(%1)"/>
      <w:numFmt w:val="lowerLetter"/>
      <w:start w:val="10"/>
    </w:lvl>
    <w:lvl w:ilvl="1">
      <w:lvlJc w:val="left"/>
      <w:lvlText w:val="(%2)"/>
      <w:numFmt w:val="lowerLetter"/>
      <w:start w:val="61"/>
    </w:lvl>
  </w:abstractNum>
  <w:abstractNum w:abstractNumId="90">
    <w:nsid w:val="6A5F7029"/>
    <w:multiLevelType w:val="hybridMultilevel"/>
    <w:lvl w:ilvl="0">
      <w:lvlJc w:val="left"/>
      <w:lvlText w:val="(%1)"/>
      <w:numFmt w:val="lowerLetter"/>
      <w:start w:val="11"/>
    </w:lvl>
    <w:lvl w:ilvl="1">
      <w:lvlJc w:val="left"/>
      <w:lvlText w:val="(%2)"/>
      <w:numFmt w:val="lowerLetter"/>
      <w:start w:val="4"/>
    </w:lvl>
  </w:abstractNum>
  <w:abstractNum w:abstractNumId="91">
    <w:nsid w:val="7D5E18F8"/>
    <w:multiLevelType w:val="hybridMultilevel"/>
    <w:lvl w:ilvl="0">
      <w:lvlJc w:val="left"/>
      <w:lvlText w:val="(%1)"/>
      <w:numFmt w:val="lowerLetter"/>
      <w:start w:val="1"/>
    </w:lvl>
  </w:abstractNum>
  <w:abstractNum w:abstractNumId="92">
    <w:nsid w:val="5F3534A4"/>
    <w:multiLevelType w:val="hybridMultilevel"/>
    <w:lvl w:ilvl="0">
      <w:lvlJc w:val="left"/>
      <w:lvlText w:val="(%1)"/>
      <w:numFmt w:val="lowerLetter"/>
      <w:start w:val="3"/>
    </w:lvl>
  </w:abstractNum>
  <w:abstractNum w:abstractNumId="93">
    <w:nsid w:val="73A1821B"/>
    <w:multiLevelType w:val="hybridMultilevel"/>
    <w:lvl w:ilvl="0">
      <w:lvlJc w:val="left"/>
      <w:lvlText w:val="(%1)"/>
      <w:numFmt w:val="lowerLetter"/>
      <w:start w:val="4"/>
    </w:lvl>
  </w:abstractNum>
  <w:abstractNum w:abstractNumId="94">
    <w:nsid w:val="7DE67713"/>
    <w:multiLevelType w:val="hybridMultilevel"/>
    <w:lvl w:ilvl="0">
      <w:lvlJc w:val="left"/>
      <w:lvlText w:val="(%1)"/>
      <w:numFmt w:val="lowerLetter"/>
      <w:start w:val="7"/>
    </w:lvl>
    <w:lvl w:ilvl="1">
      <w:lvlJc w:val="left"/>
      <w:lvlText w:val="(%2)"/>
      <w:numFmt w:val="lowerLetter"/>
      <w:start w:val="1"/>
    </w:lvl>
  </w:abstractNum>
  <w:abstractNum w:abstractNumId="95">
    <w:nsid w:val="555C55B5"/>
    <w:multiLevelType w:val="hybridMultilevel"/>
    <w:lvl w:ilvl="0">
      <w:lvlJc w:val="left"/>
      <w:lvlText w:val="(%1)"/>
      <w:numFmt w:val="lowerLetter"/>
      <w:start w:val="8"/>
    </w:lvl>
    <w:lvl w:ilvl="1">
      <w:lvlJc w:val="left"/>
      <w:lvlText w:val="(%2)"/>
      <w:numFmt w:val="lowerLetter"/>
      <w:start w:val="2"/>
    </w:lvl>
  </w:abstractNum>
  <w:abstractNum w:abstractNumId="96">
    <w:nsid w:val="3FA62ACA"/>
    <w:multiLevelType w:val="hybridMultilevel"/>
    <w:lvl w:ilvl="0">
      <w:lvlJc w:val="left"/>
      <w:lvlText w:val="%1"/>
      <w:numFmt w:val="lowerLetter"/>
      <w:start w:val="1"/>
    </w:lvl>
    <w:lvl w:ilvl="1">
      <w:lvlJc w:val="left"/>
      <w:lvlText w:val="(%2)"/>
      <w:numFmt w:val="lowerLetter"/>
      <w:start w:val="35"/>
    </w:lvl>
  </w:abstractNum>
  <w:abstractNum w:abstractNumId="97">
    <w:nsid w:val="14FCE74E"/>
    <w:multiLevelType w:val="hybridMultilevel"/>
    <w:lvl w:ilvl="0">
      <w:lvlJc w:val="left"/>
      <w:lvlText w:val="%1"/>
      <w:numFmt w:val="lowerLetter"/>
      <w:start w:val="1"/>
    </w:lvl>
    <w:lvl w:ilvl="1">
      <w:lvlJc w:val="left"/>
      <w:lvlText w:val="(%2)"/>
      <w:numFmt w:val="lowerLetter"/>
      <w:start w:val="61"/>
    </w:lvl>
  </w:abstractNum>
  <w:abstractNum w:abstractNumId="98">
    <w:nsid w:val="6A3DD3E8"/>
    <w:multiLevelType w:val="hybridMultilevel"/>
    <w:lvl w:ilvl="0">
      <w:lvlJc w:val="left"/>
      <w:lvlText w:val="(%1)"/>
      <w:numFmt w:val="lowerLetter"/>
      <w:start w:val="10"/>
    </w:lvl>
    <w:lvl w:ilvl="1">
      <w:lvlJc w:val="left"/>
      <w:lvlText w:val="(%2)"/>
      <w:numFmt w:val="lowerLetter"/>
      <w:start w:val="61"/>
    </w:lvl>
  </w:abstractNum>
  <w:abstractNum w:abstractNumId="99">
    <w:nsid w:val="71C91298"/>
    <w:multiLevelType w:val="hybridMultilevel"/>
    <w:lvl w:ilvl="0">
      <w:lvlJc w:val="left"/>
      <w:lvlText w:val="%1"/>
      <w:numFmt w:val="lowerLetter"/>
      <w:start w:val="1"/>
    </w:lvl>
    <w:lvl w:ilvl="1">
      <w:lvlJc w:val="left"/>
      <w:lvlText w:val="(%2)"/>
      <w:numFmt w:val="lowerLetter"/>
      <w:start w:val="4"/>
    </w:lvl>
  </w:abstractNum>
  <w:abstractNum w:abstractNumId="100">
    <w:nsid w:val="9DAF632"/>
    <w:multiLevelType w:val="hybridMultilevel"/>
    <w:lvl w:ilvl="0">
      <w:lvlJc w:val="left"/>
      <w:lvlText w:val="(%1)"/>
      <w:numFmt w:val="lowerLetter"/>
      <w:start w:val="12"/>
    </w:lvl>
  </w:abstractNum>
  <w:abstractNum w:abstractNumId="101">
    <w:nsid w:val="53299938"/>
    <w:multiLevelType w:val="hybridMultilevel"/>
    <w:lvl w:ilvl="0">
      <w:lvlJc w:val="left"/>
      <w:lvlText w:val="•"/>
      <w:numFmt w:val="bullet"/>
      <w:start w:val="1"/>
    </w:lvl>
  </w:abstractNum>
  <w:abstractNum w:abstractNumId="102">
    <w:nsid w:val="1FBFE8E0"/>
    <w:multiLevelType w:val="hybridMultilevel"/>
    <w:lvl w:ilvl="0">
      <w:lvlJc w:val="left"/>
      <w:lvlText w:val="(%1)"/>
      <w:numFmt w:val="decimal"/>
      <w:start w:val="1"/>
    </w:lvl>
  </w:abstractNum>
  <w:abstractNum w:abstractNumId="103">
    <w:nsid w:val="5092CA79"/>
    <w:multiLevelType w:val="hybridMultilevel"/>
    <w:lvl w:ilvl="0">
      <w:lvlJc w:val="left"/>
      <w:lvlText w:val="(%1)"/>
      <w:numFmt w:val="decimal"/>
      <w:start w:val="1"/>
    </w:lvl>
    <w:lvl w:ilvl="1">
      <w:lvlJc w:val="left"/>
      <w:lvlText w:val="(%2)"/>
      <w:numFmt w:val="upperLetter"/>
      <w:start w:val="1"/>
    </w:lvl>
  </w:abstractNum>
  <w:abstractNum w:abstractNumId="104">
    <w:nsid w:val="1D545C4D"/>
    <w:multiLevelType w:val="hybridMultilevel"/>
    <w:lvl w:ilvl="0">
      <w:lvlJc w:val="left"/>
      <w:lvlText w:val="(%1)"/>
      <w:numFmt w:val="upperLetter"/>
      <w:start w:val="1"/>
    </w:lvl>
  </w:abstractNum>
  <w:abstractNum w:abstractNumId="105">
    <w:nsid w:val="59ADEA3D"/>
    <w:multiLevelType w:val="hybridMultilevel"/>
    <w:lvl w:ilvl="0">
      <w:lvlJc w:val="left"/>
      <w:lvlText w:val="(%1)"/>
      <w:numFmt w:val="decimal"/>
      <w:start w:val="1"/>
    </w:lvl>
    <w:lvl w:ilvl="1">
      <w:lvlJc w:val="left"/>
      <w:lvlText w:val="%2."/>
      <w:numFmt w:val="lowerLetter"/>
      <w:start w:val="1"/>
    </w:lvl>
  </w:abstractNum>
  <w:abstractNum w:abstractNumId="106">
    <w:nsid w:val="288F1A34"/>
    <w:multiLevelType w:val="hybridMultilevel"/>
    <w:lvl w:ilvl="0">
      <w:lvlJc w:val="left"/>
      <w:lvlText w:val="(%1)"/>
      <w:numFmt w:val="decimal"/>
      <w:start w:val="1"/>
    </w:lvl>
    <w:lvl w:ilvl="1">
      <w:lvlJc w:val="left"/>
      <w:lvlText w:val="%2."/>
      <w:numFmt w:val="lowerLetter"/>
      <w:start w:val="1"/>
    </w:lvl>
  </w:abstractNum>
  <w:abstractNum w:abstractNumId="107">
    <w:nsid w:val="2A155DBC"/>
    <w:multiLevelType w:val="hybridMultilevel"/>
    <w:lvl w:ilvl="0">
      <w:lvlJc w:val="left"/>
      <w:lvlText w:val="(%1)"/>
      <w:numFmt w:val="decimal"/>
      <w:start w:val="1"/>
    </w:lvl>
    <w:lvl w:ilvl="1">
      <w:lvlJc w:val="left"/>
      <w:lvlText w:val="•"/>
      <w:numFmt w:val="bullet"/>
      <w:start w:val="1"/>
    </w:lvl>
  </w:abstractNum>
  <w:abstractNum w:abstractNumId="108">
    <w:nsid w:val="1D9F6E5F"/>
    <w:multiLevelType w:val="hybridMultilevel"/>
    <w:lvl w:ilvl="0">
      <w:lvlJc w:val="left"/>
      <w:lvlText w:val="(%1)"/>
      <w:numFmt w:val="decimal"/>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2" Type="http://schemas.openxmlformats.org/officeDocument/2006/relationships/image" Target="media/image143.png"/><Relationship Id="rId153" Type="http://schemas.openxmlformats.org/officeDocument/2006/relationships/image" Target="media/image144.png"/><Relationship Id="rId155" Type="http://schemas.openxmlformats.org/officeDocument/2006/relationships/image" Target="media/image145.png"/><Relationship Id="rId156" Type="http://schemas.openxmlformats.org/officeDocument/2006/relationships/image" Target="media/image146.png"/><Relationship Id="rId157" Type="http://schemas.openxmlformats.org/officeDocument/2006/relationships/image" Target="media/image147.png"/><Relationship Id="rId158" Type="http://schemas.openxmlformats.org/officeDocument/2006/relationships/image" Target="media/image148.png"/><Relationship Id="rId159" Type="http://schemas.openxmlformats.org/officeDocument/2006/relationships/image" Target="media/image149.png"/><Relationship Id="rId160" Type="http://schemas.openxmlformats.org/officeDocument/2006/relationships/image" Target="media/image150.png"/><Relationship Id="rId161" Type="http://schemas.openxmlformats.org/officeDocument/2006/relationships/image" Target="media/image151.png"/><Relationship Id="rId162" Type="http://schemas.openxmlformats.org/officeDocument/2006/relationships/image" Target="media/image152.png"/><Relationship Id="rId163" Type="http://schemas.openxmlformats.org/officeDocument/2006/relationships/image" Target="media/image153.png"/><Relationship Id="rId164" Type="http://schemas.openxmlformats.org/officeDocument/2006/relationships/image" Target="media/image154.png"/><Relationship Id="rId165" Type="http://schemas.openxmlformats.org/officeDocument/2006/relationships/image" Target="media/image155.png"/><Relationship Id="rId166" Type="http://schemas.openxmlformats.org/officeDocument/2006/relationships/image" Target="media/image156.png"/><Relationship Id="rId167" Type="http://schemas.openxmlformats.org/officeDocument/2006/relationships/image" Target="media/image157.png"/><Relationship Id="rId168" Type="http://schemas.openxmlformats.org/officeDocument/2006/relationships/image" Target="media/image158.png"/><Relationship Id="rId169" Type="http://schemas.openxmlformats.org/officeDocument/2006/relationships/image" Target="media/image159.png"/><Relationship Id="rId170" Type="http://schemas.openxmlformats.org/officeDocument/2006/relationships/image" Target="media/image160.png"/><Relationship Id="rId171" Type="http://schemas.openxmlformats.org/officeDocument/2006/relationships/image" Target="media/image161.png"/><Relationship Id="rId172" Type="http://schemas.openxmlformats.org/officeDocument/2006/relationships/image" Target="media/image162.png"/><Relationship Id="rId173" Type="http://schemas.openxmlformats.org/officeDocument/2006/relationships/image" Target="media/image163.png"/><Relationship Id="rId150" Type="http://schemas.openxmlformats.org/officeDocument/2006/relationships/hyperlink" Target="http://www.sec.gov/Archives/edgar/data/873860/000162828020015371/a20200930ex31.htm" TargetMode="External"/><Relationship Id="rId151" Type="http://schemas.openxmlformats.org/officeDocument/2006/relationships/hyperlink" Target="http://www.sec.gov/Archives/edgar/data/873860/000149315219002478/ex3-1.htm" TargetMode="External"/><Relationship Id="rId154" Type="http://schemas.openxmlformats.org/officeDocument/2006/relationships/hyperlink" Target="http://www.sec.gov/Archives/edgar/data/873860/000149315222015355/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2022-08-04T16:23:12Z</dcterms:created>
  <dcterms:modified xsi:type="dcterms:W3CDTF">2022-08-04T16:23:12Z</dcterms:modified>
</cp:coreProperties>
</file>