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67575" cy="558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55880"/>
                    </a:xfrm>
                    <a:prstGeom prst="rect">
                      <a:avLst/>
                    </a:prstGeom>
                    <a:noFill/>
                  </pic:spPr>
                </pic:pic>
              </a:graphicData>
            </a:graphic>
          </wp:anchor>
        </w:drawing>
        <w:t>UNITED STATES</w:t>
      </w:r>
    </w:p>
    <w:p>
      <w:pPr>
        <w:spacing w:after="0" w:line="36" w:lineRule="exact"/>
        <w:rPr>
          <w:sz w:val="24"/>
          <w:szCs w:val="24"/>
          <w:color w:val="auto"/>
        </w:rPr>
      </w:pPr>
    </w:p>
    <w:p>
      <w:pPr>
        <w:jc w:val="center"/>
        <w:ind w:right="40"/>
        <w:spacing w:after="0"/>
        <w:rPr>
          <w:sz w:val="20"/>
          <w:szCs w:val="20"/>
          <w:color w:val="auto"/>
        </w:rPr>
      </w:pPr>
      <w:r>
        <w:rPr>
          <w:rFonts w:ascii="Arial" w:cs="Arial" w:eastAsia="Arial" w:hAnsi="Arial"/>
          <w:sz w:val="24"/>
          <w:szCs w:val="24"/>
          <w:b w:val="1"/>
          <w:bCs w:val="1"/>
          <w:color w:val="auto"/>
        </w:rPr>
        <w:t>SECURITIES AND EXCHANGE COMMISSION</w:t>
      </w:r>
    </w:p>
    <w:p>
      <w:pPr>
        <w:spacing w:after="0" w:line="203" w:lineRule="exact"/>
        <w:rPr>
          <w:sz w:val="24"/>
          <w:szCs w:val="24"/>
          <w:color w:val="auto"/>
        </w:rPr>
      </w:pPr>
    </w:p>
    <w:p>
      <w:pPr>
        <w:jc w:val="center"/>
        <w:ind w:right="40"/>
        <w:spacing w:after="0"/>
        <w:rPr>
          <w:sz w:val="20"/>
          <w:szCs w:val="20"/>
          <w:color w:val="auto"/>
        </w:rPr>
      </w:pPr>
      <w:r>
        <w:rPr>
          <w:rFonts w:ascii="Arial" w:cs="Arial" w:eastAsia="Arial" w:hAnsi="Arial"/>
          <w:sz w:val="22"/>
          <w:szCs w:val="22"/>
          <w:color w:val="auto"/>
        </w:rPr>
        <w:t>Washington, D.C. 20549</w:t>
      </w:r>
    </w:p>
    <w:p>
      <w:pPr>
        <w:spacing w:after="0" w:line="186"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FORM 10-Q</w:t>
      </w:r>
    </w:p>
    <w:p>
      <w:pPr>
        <w:spacing w:after="0" w:line="246" w:lineRule="exact"/>
        <w:rPr>
          <w:sz w:val="24"/>
          <w:szCs w:val="24"/>
          <w:color w:val="auto"/>
        </w:rPr>
      </w:pPr>
    </w:p>
    <w:p>
      <w:pPr>
        <w:ind w:left="580" w:hanging="572"/>
        <w:spacing w:after="0"/>
        <w:tabs>
          <w:tab w:leader="none" w:pos="580" w:val="left"/>
        </w:tabs>
        <w:numPr>
          <w:ilvl w:val="0"/>
          <w:numId w:val="1"/>
        </w:numPr>
        <w:rPr>
          <w:rFonts w:ascii="Arial" w:cs="Arial" w:eastAsia="Arial" w:hAnsi="Arial"/>
          <w:sz w:val="21"/>
          <w:szCs w:val="21"/>
          <w:color w:val="auto"/>
        </w:rPr>
      </w:pPr>
      <w:r>
        <w:rPr>
          <w:rFonts w:ascii="Arial" w:cs="Arial" w:eastAsia="Arial" w:hAnsi="Arial"/>
          <w:sz w:val="21"/>
          <w:szCs w:val="21"/>
          <w:color w:val="auto"/>
        </w:rPr>
        <w:t>QUARTERLY REPORT PURSUANT TO SECTION 13 OR 15(d) OF THE SECURITIES EXCHANGE ACT OF 1934</w:t>
      </w:r>
    </w:p>
    <w:p>
      <w:pPr>
        <w:spacing w:after="0" w:line="157" w:lineRule="exact"/>
        <w:rPr>
          <w:sz w:val="24"/>
          <w:szCs w:val="24"/>
          <w:color w:val="auto"/>
        </w:rPr>
      </w:pPr>
    </w:p>
    <w:p>
      <w:pPr>
        <w:ind w:left="580"/>
        <w:spacing w:after="0"/>
        <w:rPr>
          <w:sz w:val="20"/>
          <w:szCs w:val="20"/>
          <w:color w:val="auto"/>
        </w:rPr>
      </w:pPr>
      <w:r>
        <w:rPr>
          <w:rFonts w:ascii="Arial" w:cs="Arial" w:eastAsia="Arial" w:hAnsi="Arial"/>
          <w:sz w:val="18"/>
          <w:szCs w:val="18"/>
          <w:b w:val="1"/>
          <w:bCs w:val="1"/>
          <w:color w:val="auto"/>
        </w:rPr>
        <w:t>For the quarterly period ended March 31, 2009</w:t>
      </w:r>
    </w:p>
    <w:p>
      <w:pPr>
        <w:spacing w:after="0" w:line="164" w:lineRule="exact"/>
        <w:rPr>
          <w:sz w:val="24"/>
          <w:szCs w:val="24"/>
          <w:color w:val="auto"/>
        </w:rPr>
      </w:pPr>
    </w:p>
    <w:p>
      <w:pPr>
        <w:jc w:val="center"/>
        <w:ind w:left="580"/>
        <w:spacing w:after="0"/>
        <w:rPr>
          <w:sz w:val="20"/>
          <w:szCs w:val="20"/>
          <w:color w:val="auto"/>
        </w:rPr>
      </w:pPr>
      <w:r>
        <w:rPr>
          <w:rFonts w:ascii="Arial" w:cs="Arial" w:eastAsia="Arial" w:hAnsi="Arial"/>
          <w:sz w:val="18"/>
          <w:szCs w:val="18"/>
          <w:color w:val="auto"/>
        </w:rPr>
        <w:t>or</w:t>
      </w:r>
    </w:p>
    <w:p>
      <w:pPr>
        <w:spacing w:after="0" w:line="145" w:lineRule="exact"/>
        <w:rPr>
          <w:sz w:val="24"/>
          <w:szCs w:val="24"/>
          <w:color w:val="auto"/>
        </w:rPr>
      </w:pPr>
    </w:p>
    <w:p>
      <w:pPr>
        <w:ind w:left="580" w:hanging="572"/>
        <w:spacing w:after="0"/>
        <w:tabs>
          <w:tab w:leader="none" w:pos="580" w:val="left"/>
        </w:tabs>
        <w:numPr>
          <w:ilvl w:val="0"/>
          <w:numId w:val="2"/>
        </w:numPr>
        <w:rPr>
          <w:rFonts w:ascii="Arial" w:cs="Arial" w:eastAsia="Arial" w:hAnsi="Arial"/>
          <w:sz w:val="21"/>
          <w:szCs w:val="21"/>
          <w:color w:val="auto"/>
        </w:rPr>
      </w:pPr>
      <w:r>
        <w:rPr>
          <w:rFonts w:ascii="Arial" w:cs="Arial" w:eastAsia="Arial" w:hAnsi="Arial"/>
          <w:sz w:val="21"/>
          <w:szCs w:val="21"/>
          <w:color w:val="auto"/>
        </w:rPr>
        <w:t>TRANSITION REPORT PURSUANT TO SECTION 13 OR 15(d) OF THE SECURITIES EXCHANGE ACT OF 1934</w:t>
      </w:r>
    </w:p>
    <w:p>
      <w:pPr>
        <w:spacing w:after="0" w:line="29" w:lineRule="exact"/>
        <w:rPr>
          <w:sz w:val="24"/>
          <w:szCs w:val="24"/>
          <w:color w:val="auto"/>
        </w:rPr>
      </w:pPr>
    </w:p>
    <w:p>
      <w:pPr>
        <w:ind w:left="580"/>
        <w:spacing w:after="0"/>
        <w:rPr>
          <w:sz w:val="20"/>
          <w:szCs w:val="20"/>
          <w:color w:val="auto"/>
        </w:rPr>
      </w:pPr>
      <w:r>
        <w:rPr>
          <w:rFonts w:ascii="Arial" w:cs="Arial" w:eastAsia="Arial" w:hAnsi="Arial"/>
          <w:sz w:val="18"/>
          <w:szCs w:val="18"/>
          <w:color w:val="auto"/>
        </w:rPr>
        <w:t>For the transition period from: __________________to _________________</w:t>
      </w:r>
    </w:p>
    <w:p>
      <w:pPr>
        <w:spacing w:after="0" w:line="211"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Commission File Number: 1-13219</w:t>
      </w:r>
    </w:p>
    <w:p>
      <w:pPr>
        <w:spacing w:after="0" w:line="204" w:lineRule="exact"/>
        <w:rPr>
          <w:sz w:val="24"/>
          <w:szCs w:val="24"/>
          <w:color w:val="auto"/>
        </w:rPr>
      </w:pPr>
    </w:p>
    <w:p>
      <w:pPr>
        <w:jc w:val="center"/>
        <w:ind w:right="40"/>
        <w:spacing w:after="0"/>
        <w:rPr>
          <w:sz w:val="20"/>
          <w:szCs w:val="20"/>
          <w:color w:val="auto"/>
        </w:rPr>
      </w:pPr>
      <w:r>
        <w:rPr>
          <w:rFonts w:ascii="Arial" w:cs="Arial" w:eastAsia="Arial" w:hAnsi="Arial"/>
          <w:sz w:val="43"/>
          <w:szCs w:val="43"/>
          <w:b w:val="1"/>
          <w:bCs w:val="1"/>
          <w:color w:val="auto"/>
        </w:rPr>
        <w:t>Ocwen Financial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1265555</wp:posOffset>
            </wp:positionH>
            <wp:positionV relativeFrom="paragraph">
              <wp:posOffset>99695</wp:posOffset>
            </wp:positionV>
            <wp:extent cx="472503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725035" cy="8890"/>
                    </a:xfrm>
                    <a:prstGeom prst="rect">
                      <a:avLst/>
                    </a:prstGeom>
                    <a:noFill/>
                  </pic:spPr>
                </pic:pic>
              </a:graphicData>
            </a:graphic>
          </wp:anchor>
        </w:drawing>
      </w:r>
    </w:p>
    <w:p>
      <w:pPr>
        <w:spacing w:after="0" w:line="250" w:lineRule="exact"/>
        <w:rPr>
          <w:sz w:val="24"/>
          <w:szCs w:val="24"/>
          <w:color w:val="auto"/>
        </w:rPr>
      </w:pPr>
    </w:p>
    <w:tbl>
      <w:tblPr>
        <w:tblLayout w:type="fixed"/>
        <w:tblInd w:w="1260" w:type="dxa"/>
        <w:tblCellMar>
          <w:top w:w="0" w:type="dxa"/>
          <w:left w:w="0" w:type="dxa"/>
          <w:bottom w:w="0" w:type="dxa"/>
          <w:right w:w="0" w:type="dxa"/>
        </w:tblCellMar>
      </w:tblPr>
      <w:tr>
        <w:trPr>
          <w:trHeight w:val="222"/>
        </w:trPr>
        <w:tc>
          <w:tcPr>
            <w:tcW w:w="6360" w:type="dxa"/>
            <w:vAlign w:val="bottom"/>
            <w:gridSpan w:val="2"/>
          </w:tcPr>
          <w:p>
            <w:pPr>
              <w:ind w:left="2640"/>
              <w:spacing w:after="0"/>
              <w:rPr>
                <w:sz w:val="20"/>
                <w:szCs w:val="20"/>
                <w:color w:val="auto"/>
              </w:rPr>
            </w:pPr>
            <w:r>
              <w:rPr>
                <w:rFonts w:ascii="Arial" w:cs="Arial" w:eastAsia="Arial" w:hAnsi="Arial"/>
                <w:sz w:val="18"/>
                <w:szCs w:val="18"/>
                <w:color w:val="auto"/>
                <w:w w:val="90"/>
              </w:rPr>
              <w:t>(Exact name of registrant as specified in its charter)</w:t>
            </w:r>
          </w:p>
        </w:tc>
        <w:tc>
          <w:tcPr>
            <w:tcW w:w="2700" w:type="dxa"/>
            <w:vAlign w:val="bottom"/>
          </w:tcPr>
          <w:p>
            <w:pPr>
              <w:spacing w:after="0"/>
              <w:rPr>
                <w:sz w:val="19"/>
                <w:szCs w:val="19"/>
                <w:color w:val="auto"/>
              </w:rPr>
            </w:pPr>
          </w:p>
        </w:tc>
      </w:tr>
      <w:tr>
        <w:trPr>
          <w:trHeight w:val="473"/>
        </w:trPr>
        <w:tc>
          <w:tcPr>
            <w:tcW w:w="6360" w:type="dxa"/>
            <w:vAlign w:val="bottom"/>
            <w:gridSpan w:val="2"/>
          </w:tcPr>
          <w:p>
            <w:pPr>
              <w:jc w:val="center"/>
              <w:ind w:right="2680"/>
              <w:spacing w:after="0"/>
              <w:rPr>
                <w:sz w:val="20"/>
                <w:szCs w:val="20"/>
                <w:color w:val="auto"/>
              </w:rPr>
            </w:pPr>
            <w:r>
              <w:rPr>
                <w:rFonts w:ascii="Arial" w:cs="Arial" w:eastAsia="Arial" w:hAnsi="Arial"/>
                <w:sz w:val="18"/>
                <w:szCs w:val="18"/>
                <w:b w:val="1"/>
                <w:bCs w:val="1"/>
                <w:color w:val="auto"/>
                <w:w w:val="93"/>
              </w:rPr>
              <w:t>Florida</w:t>
            </w:r>
          </w:p>
        </w:tc>
        <w:tc>
          <w:tcPr>
            <w:tcW w:w="2700" w:type="dxa"/>
            <w:vAlign w:val="bottom"/>
          </w:tcPr>
          <w:p>
            <w:pPr>
              <w:jc w:val="center"/>
              <w:spacing w:after="0"/>
              <w:rPr>
                <w:sz w:val="20"/>
                <w:szCs w:val="20"/>
                <w:color w:val="auto"/>
              </w:rPr>
            </w:pPr>
            <w:r>
              <w:rPr>
                <w:rFonts w:ascii="Arial" w:cs="Arial" w:eastAsia="Arial" w:hAnsi="Arial"/>
                <w:sz w:val="18"/>
                <w:szCs w:val="18"/>
                <w:b w:val="1"/>
                <w:bCs w:val="1"/>
                <w:color w:val="auto"/>
                <w:w w:val="89"/>
              </w:rPr>
              <w:t>65-0039856</w:t>
            </w:r>
          </w:p>
        </w:tc>
      </w:tr>
      <w:tr>
        <w:trPr>
          <w:trHeight w:val="124"/>
        </w:trPr>
        <w:tc>
          <w:tcPr>
            <w:tcW w:w="3740" w:type="dxa"/>
            <w:vAlign w:val="bottom"/>
            <w:tcBorders>
              <w:bottom w:val="single" w:sz="8" w:color="auto"/>
            </w:tcBorders>
          </w:tcPr>
          <w:p>
            <w:pPr>
              <w:spacing w:after="0"/>
              <w:rPr>
                <w:sz w:val="10"/>
                <w:szCs w:val="10"/>
                <w:color w:val="auto"/>
              </w:rPr>
            </w:pPr>
          </w:p>
        </w:tc>
        <w:tc>
          <w:tcPr>
            <w:tcW w:w="2620" w:type="dxa"/>
            <w:vAlign w:val="bottom"/>
          </w:tcPr>
          <w:p>
            <w:pPr>
              <w:spacing w:after="0"/>
              <w:rPr>
                <w:sz w:val="10"/>
                <w:szCs w:val="10"/>
                <w:color w:val="auto"/>
              </w:rPr>
            </w:pPr>
          </w:p>
        </w:tc>
        <w:tc>
          <w:tcPr>
            <w:tcW w:w="2700" w:type="dxa"/>
            <w:vAlign w:val="bottom"/>
            <w:tcBorders>
              <w:bottom w:val="single" w:sz="8" w:color="auto"/>
            </w:tcBorders>
          </w:tcPr>
          <w:p>
            <w:pPr>
              <w:spacing w:after="0"/>
              <w:rPr>
                <w:sz w:val="10"/>
                <w:szCs w:val="10"/>
                <w:color w:val="auto"/>
              </w:rPr>
            </w:pPr>
          </w:p>
        </w:tc>
      </w:tr>
      <w:tr>
        <w:trPr>
          <w:trHeight w:val="309"/>
        </w:trPr>
        <w:tc>
          <w:tcPr>
            <w:tcW w:w="6360" w:type="dxa"/>
            <w:vAlign w:val="bottom"/>
            <w:gridSpan w:val="2"/>
          </w:tcPr>
          <w:p>
            <w:pPr>
              <w:jc w:val="center"/>
              <w:ind w:right="2680"/>
              <w:spacing w:after="0"/>
              <w:rPr>
                <w:sz w:val="20"/>
                <w:szCs w:val="20"/>
                <w:color w:val="auto"/>
              </w:rPr>
            </w:pPr>
            <w:r>
              <w:rPr>
                <w:rFonts w:ascii="Arial" w:cs="Arial" w:eastAsia="Arial" w:hAnsi="Arial"/>
                <w:sz w:val="18"/>
                <w:szCs w:val="18"/>
                <w:color w:val="auto"/>
                <w:w w:val="89"/>
              </w:rPr>
              <w:t>(State or other jurisdiction</w:t>
            </w:r>
          </w:p>
        </w:tc>
        <w:tc>
          <w:tcPr>
            <w:tcW w:w="2700" w:type="dxa"/>
            <w:vAlign w:val="bottom"/>
          </w:tcPr>
          <w:p>
            <w:pPr>
              <w:jc w:val="center"/>
              <w:spacing w:after="0"/>
              <w:rPr>
                <w:sz w:val="20"/>
                <w:szCs w:val="20"/>
                <w:color w:val="auto"/>
              </w:rPr>
            </w:pPr>
            <w:r>
              <w:rPr>
                <w:rFonts w:ascii="Arial" w:cs="Arial" w:eastAsia="Arial" w:hAnsi="Arial"/>
                <w:sz w:val="18"/>
                <w:szCs w:val="18"/>
                <w:color w:val="auto"/>
                <w:w w:val="90"/>
              </w:rPr>
              <w:t>(I.R.S. Employer</w:t>
            </w:r>
          </w:p>
        </w:tc>
      </w:tr>
      <w:tr>
        <w:trPr>
          <w:trHeight w:val="222"/>
        </w:trPr>
        <w:tc>
          <w:tcPr>
            <w:tcW w:w="6360" w:type="dxa"/>
            <w:vAlign w:val="bottom"/>
            <w:gridSpan w:val="2"/>
          </w:tcPr>
          <w:p>
            <w:pPr>
              <w:jc w:val="center"/>
              <w:ind w:right="2680"/>
              <w:spacing w:after="0"/>
              <w:rPr>
                <w:sz w:val="20"/>
                <w:szCs w:val="20"/>
                <w:color w:val="auto"/>
              </w:rPr>
            </w:pPr>
            <w:r>
              <w:rPr>
                <w:rFonts w:ascii="Arial" w:cs="Arial" w:eastAsia="Arial" w:hAnsi="Arial"/>
                <w:sz w:val="18"/>
                <w:szCs w:val="18"/>
                <w:color w:val="auto"/>
                <w:w w:val="91"/>
              </w:rPr>
              <w:t>of incorporation or organization)</w:t>
            </w:r>
          </w:p>
        </w:tc>
        <w:tc>
          <w:tcPr>
            <w:tcW w:w="2700" w:type="dxa"/>
            <w:vAlign w:val="bottom"/>
          </w:tcPr>
          <w:p>
            <w:pPr>
              <w:jc w:val="center"/>
              <w:spacing w:after="0"/>
              <w:rPr>
                <w:sz w:val="20"/>
                <w:szCs w:val="20"/>
                <w:color w:val="auto"/>
              </w:rPr>
            </w:pPr>
            <w:r>
              <w:rPr>
                <w:rFonts w:ascii="Arial" w:cs="Arial" w:eastAsia="Arial" w:hAnsi="Arial"/>
                <w:sz w:val="18"/>
                <w:szCs w:val="18"/>
                <w:color w:val="auto"/>
                <w:w w:val="92"/>
              </w:rPr>
              <w:t>Identification No.)</w:t>
            </w:r>
          </w:p>
        </w:tc>
      </w:tr>
    </w:tbl>
    <w:p>
      <w:pPr>
        <w:spacing w:after="0" w:line="244"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1661 Worthington Road, Suite 100, West Palm Beach, Florida 33409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1445895</wp:posOffset>
            </wp:positionH>
            <wp:positionV relativeFrom="paragraph">
              <wp:posOffset>83820</wp:posOffset>
            </wp:positionV>
            <wp:extent cx="43649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364990" cy="8890"/>
                    </a:xfrm>
                    <a:prstGeom prst="rect">
                      <a:avLst/>
                    </a:prstGeom>
                    <a:noFill/>
                  </pic:spPr>
                </pic:pic>
              </a:graphicData>
            </a:graphic>
          </wp:anchor>
        </w:drawing>
      </w:r>
    </w:p>
    <w:p>
      <w:pPr>
        <w:spacing w:after="0" w:line="225"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(Address of principal executive offices) (Zip Code)</w:t>
      </w:r>
    </w:p>
    <w:p>
      <w:pPr>
        <w:spacing w:after="0" w:line="152"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(561) 682-8000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1626235</wp:posOffset>
            </wp:positionH>
            <wp:positionV relativeFrom="paragraph">
              <wp:posOffset>83820</wp:posOffset>
            </wp:positionV>
            <wp:extent cx="400494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004945" cy="8890"/>
                    </a:xfrm>
                    <a:prstGeom prst="rect">
                      <a:avLst/>
                    </a:prstGeom>
                    <a:noFill/>
                  </pic:spPr>
                </pic:pic>
              </a:graphicData>
            </a:graphic>
          </wp:anchor>
        </w:drawing>
      </w:r>
    </w:p>
    <w:p>
      <w:pPr>
        <w:spacing w:after="0" w:line="225"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(Registrant’s telephone number, including area code)</w:t>
      </w:r>
    </w:p>
    <w:p>
      <w:pPr>
        <w:spacing w:after="0" w:line="225" w:lineRule="exact"/>
        <w:rPr>
          <w:sz w:val="24"/>
          <w:szCs w:val="24"/>
          <w:color w:val="auto"/>
        </w:rPr>
      </w:pPr>
    </w:p>
    <w:p>
      <w:pPr>
        <w:jc w:val="both"/>
        <w:ind w:right="40"/>
        <w:spacing w:after="0" w:line="259"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94" w:lineRule="exact"/>
        <w:rPr>
          <w:sz w:val="24"/>
          <w:szCs w:val="24"/>
          <w:color w:val="auto"/>
        </w:rPr>
      </w:pPr>
    </w:p>
    <w:p>
      <w:pPr>
        <w:ind w:left="10460"/>
        <w:spacing w:after="0"/>
        <w:tabs>
          <w:tab w:leader="none" w:pos="11060" w:val="left"/>
        </w:tabs>
        <w:rPr>
          <w:sz w:val="20"/>
          <w:szCs w:val="20"/>
          <w:color w:val="auto"/>
        </w:rPr>
      </w:pPr>
      <w:r>
        <w:rPr>
          <w:rFonts w:ascii="Arial" w:cs="Arial" w:eastAsia="Arial" w:hAnsi="Arial"/>
          <w:sz w:val="18"/>
          <w:szCs w:val="18"/>
          <w:color w:val="auto"/>
        </w:rPr>
        <w:t>Yes x</w:t>
      </w:r>
      <w:r>
        <w:rPr>
          <w:sz w:val="20"/>
          <w:szCs w:val="20"/>
          <w:color w:val="auto"/>
        </w:rPr>
        <w:tab/>
      </w:r>
      <w:r>
        <w:rPr>
          <w:rFonts w:ascii="Arial" w:cs="Arial" w:eastAsia="Arial" w:hAnsi="Arial"/>
          <w:sz w:val="16"/>
          <w:szCs w:val="16"/>
          <w:color w:val="auto"/>
        </w:rPr>
        <w:t>No o</w:t>
      </w:r>
    </w:p>
    <w:p>
      <w:pPr>
        <w:spacing w:after="0" w:line="225" w:lineRule="exact"/>
        <w:rPr>
          <w:sz w:val="24"/>
          <w:szCs w:val="24"/>
          <w:color w:val="auto"/>
        </w:rPr>
      </w:pPr>
    </w:p>
    <w:p>
      <w:pPr>
        <w:jc w:val="both"/>
        <w:ind w:right="60"/>
        <w:spacing w:after="0" w:line="259"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w:t>
      </w:r>
    </w:p>
    <w:p>
      <w:pPr>
        <w:spacing w:after="0" w:line="194" w:lineRule="exact"/>
        <w:rPr>
          <w:sz w:val="24"/>
          <w:szCs w:val="24"/>
          <w:color w:val="auto"/>
        </w:rPr>
      </w:pPr>
    </w:p>
    <w:p>
      <w:pPr>
        <w:ind w:left="10460"/>
        <w:spacing w:after="0"/>
        <w:tabs>
          <w:tab w:leader="none" w:pos="11060" w:val="left"/>
        </w:tabs>
        <w:rPr>
          <w:sz w:val="20"/>
          <w:szCs w:val="20"/>
          <w:color w:val="auto"/>
        </w:rPr>
      </w:pPr>
      <w:r>
        <w:rPr>
          <w:rFonts w:ascii="Arial" w:cs="Arial" w:eastAsia="Arial" w:hAnsi="Arial"/>
          <w:sz w:val="18"/>
          <w:szCs w:val="18"/>
          <w:color w:val="auto"/>
        </w:rPr>
        <w:t>Yes x</w:t>
      </w:r>
      <w:r>
        <w:rPr>
          <w:sz w:val="20"/>
          <w:szCs w:val="20"/>
          <w:color w:val="auto"/>
        </w:rPr>
        <w:tab/>
      </w:r>
      <w:r>
        <w:rPr>
          <w:rFonts w:ascii="Arial" w:cs="Arial" w:eastAsia="Arial" w:hAnsi="Arial"/>
          <w:sz w:val="16"/>
          <w:szCs w:val="16"/>
          <w:color w:val="auto"/>
        </w:rPr>
        <w:t>No o</w:t>
      </w:r>
    </w:p>
    <w:p>
      <w:pPr>
        <w:spacing w:after="0" w:line="225" w:lineRule="exact"/>
        <w:rPr>
          <w:sz w:val="24"/>
          <w:szCs w:val="24"/>
          <w:color w:val="auto"/>
        </w:rPr>
      </w:pPr>
    </w:p>
    <w:p>
      <w:pPr>
        <w:jc w:val="both"/>
        <w:ind w:right="40"/>
        <w:spacing w:after="0" w:line="268"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199"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8520" w:type="dxa"/>
            <w:vAlign w:val="bottom"/>
          </w:tcPr>
          <w:p>
            <w:pPr>
              <w:ind w:left="580"/>
              <w:spacing w:after="0"/>
              <w:rPr>
                <w:sz w:val="20"/>
                <w:szCs w:val="20"/>
                <w:color w:val="auto"/>
              </w:rPr>
            </w:pPr>
            <w:r>
              <w:rPr>
                <w:rFonts w:ascii="Arial" w:cs="Arial" w:eastAsia="Arial" w:hAnsi="Arial"/>
                <w:sz w:val="18"/>
                <w:szCs w:val="18"/>
                <w:color w:val="auto"/>
              </w:rPr>
              <w:t>Large accelerated filer o</w:t>
            </w:r>
          </w:p>
        </w:tc>
        <w:tc>
          <w:tcPr>
            <w:tcW w:w="2940" w:type="dxa"/>
            <w:vAlign w:val="bottom"/>
          </w:tcPr>
          <w:p>
            <w:pPr>
              <w:jc w:val="right"/>
              <w:ind w:right="512"/>
              <w:spacing w:after="0"/>
              <w:rPr>
                <w:sz w:val="20"/>
                <w:szCs w:val="20"/>
                <w:color w:val="auto"/>
              </w:rPr>
            </w:pPr>
            <w:r>
              <w:rPr>
                <w:rFonts w:ascii="Arial" w:cs="Arial" w:eastAsia="Arial" w:hAnsi="Arial"/>
                <w:sz w:val="18"/>
                <w:szCs w:val="18"/>
                <w:color w:val="auto"/>
              </w:rPr>
              <w:t>Accelerated filer x</w:t>
            </w:r>
          </w:p>
        </w:tc>
      </w:tr>
      <w:tr>
        <w:trPr>
          <w:trHeight w:val="222"/>
        </w:trPr>
        <w:tc>
          <w:tcPr>
            <w:tcW w:w="8520" w:type="dxa"/>
            <w:vAlign w:val="bottom"/>
          </w:tcPr>
          <w:p>
            <w:pPr>
              <w:ind w:left="580"/>
              <w:spacing w:after="0"/>
              <w:rPr>
                <w:sz w:val="20"/>
                <w:szCs w:val="20"/>
                <w:color w:val="auto"/>
              </w:rPr>
            </w:pPr>
            <w:r>
              <w:rPr>
                <w:rFonts w:ascii="Arial" w:cs="Arial" w:eastAsia="Arial" w:hAnsi="Arial"/>
                <w:sz w:val="18"/>
                <w:szCs w:val="18"/>
                <w:color w:val="auto"/>
              </w:rPr>
              <w:t>Non-accelerated filer  o (Do not check if a smaller reporting company)</w:t>
            </w:r>
          </w:p>
        </w:tc>
        <w:tc>
          <w:tcPr>
            <w:tcW w:w="2940" w:type="dxa"/>
            <w:vAlign w:val="bottom"/>
          </w:tcPr>
          <w:p>
            <w:pPr>
              <w:jc w:val="right"/>
              <w:ind w:right="512"/>
              <w:spacing w:after="0"/>
              <w:rPr>
                <w:sz w:val="20"/>
                <w:szCs w:val="20"/>
                <w:color w:val="auto"/>
              </w:rPr>
            </w:pPr>
            <w:r>
              <w:rPr>
                <w:rFonts w:ascii="Arial" w:cs="Arial" w:eastAsia="Arial" w:hAnsi="Arial"/>
                <w:sz w:val="18"/>
                <w:szCs w:val="18"/>
                <w:color w:val="auto"/>
              </w:rPr>
              <w:t>Smaller reporting company o</w:t>
            </w:r>
          </w:p>
        </w:tc>
      </w:tr>
      <w:tr>
        <w:trPr>
          <w:trHeight w:val="432"/>
        </w:trPr>
        <w:tc>
          <w:tcPr>
            <w:tcW w:w="8520" w:type="dxa"/>
            <w:vAlign w:val="bottom"/>
          </w:tcPr>
          <w:p>
            <w:pPr>
              <w:spacing w:after="0"/>
              <w:rPr>
                <w:sz w:val="20"/>
                <w:szCs w:val="20"/>
                <w:color w:val="auto"/>
              </w:rPr>
            </w:pPr>
            <w:r>
              <w:rPr>
                <w:rFonts w:ascii="Arial" w:cs="Arial" w:eastAsia="Arial" w:hAnsi="Arial"/>
                <w:sz w:val="18"/>
                <w:szCs w:val="18"/>
                <w:color w:val="auto"/>
                <w:w w:val="89"/>
              </w:rPr>
              <w:t>Indicate by check mark whether the registrant is a shell company (as defined in Rule 12b-2 of the Exchange Act). Yes o</w:t>
            </w:r>
          </w:p>
        </w:tc>
        <w:tc>
          <w:tcPr>
            <w:tcW w:w="2940" w:type="dxa"/>
            <w:vAlign w:val="bottom"/>
          </w:tcPr>
          <w:p>
            <w:pPr>
              <w:jc w:val="right"/>
              <w:ind w:right="2392"/>
              <w:spacing w:after="0"/>
              <w:rPr>
                <w:sz w:val="20"/>
                <w:szCs w:val="20"/>
                <w:color w:val="auto"/>
              </w:rPr>
            </w:pPr>
            <w:r>
              <w:rPr>
                <w:rFonts w:ascii="Arial" w:cs="Arial" w:eastAsia="Arial" w:hAnsi="Arial"/>
                <w:sz w:val="18"/>
                <w:szCs w:val="18"/>
                <w:color w:val="auto"/>
              </w:rPr>
              <w:t>No x</w:t>
            </w:r>
          </w:p>
        </w:tc>
      </w:tr>
      <w:tr>
        <w:trPr>
          <w:trHeight w:val="432"/>
        </w:trPr>
        <w:tc>
          <w:tcPr>
            <w:tcW w:w="8520" w:type="dxa"/>
            <w:vAlign w:val="bottom"/>
          </w:tcPr>
          <w:p>
            <w:pPr>
              <w:spacing w:after="0"/>
              <w:rPr>
                <w:sz w:val="20"/>
                <w:szCs w:val="20"/>
                <w:color w:val="auto"/>
              </w:rPr>
            </w:pPr>
            <w:r>
              <w:rPr>
                <w:rFonts w:ascii="Arial" w:cs="Arial" w:eastAsia="Arial" w:hAnsi="Arial"/>
                <w:sz w:val="18"/>
                <w:szCs w:val="18"/>
                <w:color w:val="auto"/>
              </w:rPr>
              <w:t>Number of shares of Common Stock, $0.01 par value, outstanding as of May 1, 2009: 67,434,998 shares.</w:t>
            </w:r>
          </w:p>
        </w:tc>
        <w:tc>
          <w:tcPr>
            <w:tcW w:w="2940" w:type="dxa"/>
            <w:vAlign w:val="bottom"/>
          </w:tcPr>
          <w:p>
            <w:pPr>
              <w:spacing w:after="0"/>
              <w:rPr>
                <w:sz w:val="24"/>
                <w:szCs w:val="24"/>
                <w:color w:val="auto"/>
              </w:rPr>
            </w:pPr>
          </w:p>
        </w:tc>
      </w:tr>
      <w:tr>
        <w:trPr>
          <w:trHeight w:val="215"/>
        </w:trPr>
        <w:tc>
          <w:tcPr>
            <w:tcW w:w="8520" w:type="dxa"/>
            <w:vAlign w:val="bottom"/>
          </w:tcPr>
          <w:p>
            <w:pPr>
              <w:spacing w:after="0"/>
              <w:rPr>
                <w:sz w:val="18"/>
                <w:szCs w:val="18"/>
                <w:color w:val="auto"/>
              </w:rPr>
            </w:pPr>
          </w:p>
        </w:tc>
        <w:tc>
          <w:tcPr>
            <w:tcW w:w="2940" w:type="dxa"/>
            <w:vAlign w:val="bottom"/>
          </w:tcPr>
          <w:p>
            <w:pPr>
              <w:spacing w:after="0"/>
              <w:rPr>
                <w:sz w:val="18"/>
                <w:szCs w:val="18"/>
                <w:color w:val="auto"/>
              </w:rPr>
            </w:pPr>
          </w:p>
        </w:tc>
      </w:tr>
      <w:tr>
        <w:trPr>
          <w:trHeight w:val="88"/>
        </w:trPr>
        <w:tc>
          <w:tcPr>
            <w:tcW w:w="8520" w:type="dxa"/>
            <w:vAlign w:val="bottom"/>
            <w:shd w:val="clear" w:color="auto" w:fill="000000"/>
          </w:tcPr>
          <w:p>
            <w:pPr>
              <w:spacing w:after="0"/>
              <w:rPr>
                <w:sz w:val="7"/>
                <w:szCs w:val="7"/>
                <w:color w:val="auto"/>
              </w:rPr>
            </w:pPr>
          </w:p>
        </w:tc>
        <w:tc>
          <w:tcPr>
            <w:tcW w:w="2940" w:type="dxa"/>
            <w:vAlign w:val="bottom"/>
            <w:shd w:val="clear" w:color="auto" w:fill="000000"/>
          </w:tcPr>
          <w:p>
            <w:pPr>
              <w:spacing w:after="0"/>
              <w:rPr>
                <w:sz w:val="7"/>
                <w:szCs w:val="7"/>
                <w:color w:val="auto"/>
              </w:rPr>
            </w:pPr>
          </w:p>
        </w:tc>
      </w:tr>
    </w:tbl>
    <w:p>
      <w:pPr>
        <w:sectPr>
          <w:pgSz w:w="11900" w:h="16838" w:orient="portrait"/>
          <w:cols w:equalWidth="0" w:num="1">
            <w:col w:w="11460"/>
          </w:cols>
          <w:pgMar w:left="240" w:top="516" w:right="199" w:bottom="1440" w:gutter="0" w:footer="0" w:header="0"/>
        </w:sectPr>
      </w:pPr>
    </w:p>
    <w:bookmarkStart w:id="1" w:name="page2"/>
    <w:bookmarkEnd w:id="1"/>
    <w:p>
      <w:pPr>
        <w:jc w:val="center"/>
        <w:ind w:right="20"/>
        <w:spacing w:after="0"/>
        <w:rPr>
          <w:sz w:val="20"/>
          <w:szCs w:val="20"/>
          <w:color w:val="auto"/>
        </w:rPr>
      </w:pPr>
      <w:r>
        <w:rPr>
          <w:rFonts w:ascii="Arial" w:cs="Arial" w:eastAsia="Arial" w:hAnsi="Arial"/>
          <w:sz w:val="18"/>
          <w:szCs w:val="18"/>
          <w:b w:val="1"/>
          <w:bCs w:val="1"/>
          <w:color w:val="auto"/>
        </w:rPr>
        <w:t>OCWEN FINANCIAL CORPORATION</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FORM 10-Q</w:t>
      </w:r>
    </w:p>
    <w:p>
      <w:pPr>
        <w:spacing w:after="0" w:line="226"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83820</wp:posOffset>
            </wp:positionV>
            <wp:extent cx="72637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080" w:type="dxa"/>
            <w:vAlign w:val="bottom"/>
            <w:gridSpan w:val="11"/>
            <w:vMerge w:val="restart"/>
          </w:tcPr>
          <w:p>
            <w:pPr>
              <w:spacing w:after="0"/>
              <w:rPr>
                <w:rFonts w:ascii="Arial" w:cs="Arial" w:eastAsia="Arial" w:hAnsi="Arial"/>
                <w:sz w:val="18"/>
                <w:szCs w:val="18"/>
                <w:b w:val="1"/>
                <w:bCs w:val="1"/>
                <w:color w:val="0000EE"/>
                <w:w w:val="99"/>
              </w:rPr>
            </w:pPr>
            <w:hyperlink w:anchor="page4">
              <w:r>
                <w:rPr>
                  <w:rFonts w:ascii="Arial" w:cs="Arial" w:eastAsia="Arial" w:hAnsi="Arial"/>
                  <w:sz w:val="18"/>
                  <w:szCs w:val="18"/>
                  <w:b w:val="1"/>
                  <w:bCs w:val="1"/>
                  <w:color w:val="0000EE"/>
                  <w:w w:val="99"/>
                </w:rPr>
                <w:t>PART I – FINANCIAL INFORMATION</w:t>
              </w:r>
            </w:hyperlink>
          </w:p>
        </w:tc>
        <w:tc>
          <w:tcPr>
            <w:tcW w:w="6740" w:type="dxa"/>
            <w:vAlign w:val="bottom"/>
            <w:gridSpan w:val="10"/>
            <w:vMerge w:val="restart"/>
          </w:tcPr>
          <w:p>
            <w:pPr>
              <w:spacing w:after="0"/>
              <w:rPr>
                <w:sz w:val="19"/>
                <w:szCs w:val="19"/>
                <w:color w:val="auto"/>
              </w:rPr>
            </w:pPr>
          </w:p>
        </w:tc>
        <w:tc>
          <w:tcPr>
            <w:tcW w:w="1620" w:type="dxa"/>
            <w:vAlign w:val="bottom"/>
          </w:tcPr>
          <w:p>
            <w:pPr>
              <w:jc w:val="right"/>
              <w:ind w:right="32"/>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83"/>
        </w:trPr>
        <w:tc>
          <w:tcPr>
            <w:tcW w:w="3080" w:type="dxa"/>
            <w:vAlign w:val="bottom"/>
            <w:tcBorders>
              <w:bottom w:val="single" w:sz="8" w:color="0000EE"/>
            </w:tcBorders>
            <w:gridSpan w:val="11"/>
            <w:vMerge w:val="continue"/>
          </w:tcPr>
          <w:p>
            <w:pPr>
              <w:spacing w:after="0"/>
              <w:rPr>
                <w:sz w:val="15"/>
                <w:szCs w:val="15"/>
                <w:color w:val="auto"/>
              </w:rPr>
            </w:pPr>
          </w:p>
        </w:tc>
        <w:tc>
          <w:tcPr>
            <w:tcW w:w="6740" w:type="dxa"/>
            <w:vAlign w:val="bottom"/>
            <w:gridSpan w:val="10"/>
            <w:vMerge w:val="continue"/>
          </w:tcPr>
          <w:p>
            <w:pPr>
              <w:spacing w:after="0"/>
              <w:rPr>
                <w:sz w:val="15"/>
                <w:szCs w:val="15"/>
                <w:color w:val="auto"/>
              </w:rPr>
            </w:pPr>
          </w:p>
        </w:tc>
        <w:tc>
          <w:tcPr>
            <w:tcW w:w="1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5"/>
        </w:trPr>
        <w:tc>
          <w:tcPr>
            <w:tcW w:w="1160" w:type="dxa"/>
            <w:vAlign w:val="bottom"/>
            <w:gridSpan w:val="5"/>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Item 1.</w:t>
              </w:r>
            </w:hyperlink>
          </w:p>
        </w:tc>
        <w:tc>
          <w:tcPr>
            <w:tcW w:w="8660" w:type="dxa"/>
            <w:vAlign w:val="bottom"/>
            <w:gridSpan w:val="16"/>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Interim Consolidated Financial Statements (Unaudited)</w:t>
              </w:r>
            </w:hyperlink>
          </w:p>
        </w:tc>
        <w:tc>
          <w:tcPr>
            <w:tcW w:w="1620" w:type="dxa"/>
            <w:vAlign w:val="bottom"/>
          </w:tcPr>
          <w:p>
            <w:pPr>
              <w:jc w:val="right"/>
              <w:ind w:right="152"/>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90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60" w:type="dxa"/>
            <w:vAlign w:val="bottom"/>
            <w:gridSpan w:val="16"/>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Consolidated Balance Sheets at March 31, 2009 and December 31, 2008</w:t>
              </w:r>
            </w:hyperlink>
          </w:p>
        </w:tc>
        <w:tc>
          <w:tcPr>
            <w:tcW w:w="1620" w:type="dxa"/>
            <w:vAlign w:val="bottom"/>
          </w:tcPr>
          <w:p>
            <w:pPr>
              <w:jc w:val="right"/>
              <w:ind w:right="152"/>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900" w:type="dxa"/>
            <w:vAlign w:val="bottom"/>
            <w:gridSpan w:val="2"/>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60" w:type="dxa"/>
            <w:vAlign w:val="bottom"/>
            <w:gridSpan w:val="16"/>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Consolidated Statements of Operations for the Three Months Ended March 31, 2009 and 2008</w:t>
              </w:r>
            </w:hyperlink>
          </w:p>
        </w:tc>
        <w:tc>
          <w:tcPr>
            <w:tcW w:w="1620" w:type="dxa"/>
            <w:vAlign w:val="bottom"/>
          </w:tcPr>
          <w:p>
            <w:pPr>
              <w:jc w:val="right"/>
              <w:ind w:right="152"/>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900" w:type="dxa"/>
            <w:vAlign w:val="bottom"/>
            <w:gridSpan w:val="2"/>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206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60" w:type="dxa"/>
            <w:vAlign w:val="bottom"/>
            <w:gridSpan w:val="16"/>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Consolidated Statements of Comprehensive Income for the Three Months Ended March 31, 2009 and 2008</w:t>
              </w:r>
            </w:hyperlink>
          </w:p>
        </w:tc>
        <w:tc>
          <w:tcPr>
            <w:tcW w:w="1620" w:type="dxa"/>
            <w:vAlign w:val="bottom"/>
          </w:tcPr>
          <w:p>
            <w:pPr>
              <w:jc w:val="right"/>
              <w:ind w:right="152"/>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345"/>
        </w:trPr>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20" w:type="dxa"/>
            <w:vAlign w:val="bottom"/>
            <w:tcBorders>
              <w:top w:val="single" w:sz="8" w:color="0000EE"/>
              <w:bottom w:val="single" w:sz="8" w:color="0000EE"/>
            </w:tcBorders>
            <w:gridSpan w:val="14"/>
          </w:tcPr>
          <w:p>
            <w:pPr>
              <w:spacing w:after="0"/>
              <w:rPr>
                <w:rFonts w:ascii="Arial" w:cs="Arial" w:eastAsia="Arial" w:hAnsi="Arial"/>
                <w:sz w:val="18"/>
                <w:szCs w:val="18"/>
                <w:color w:val="0000EE"/>
                <w:w w:val="88"/>
              </w:rPr>
            </w:pPr>
            <w:hyperlink w:anchor="page8">
              <w:r>
                <w:rPr>
                  <w:rFonts w:ascii="Arial" w:cs="Arial" w:eastAsia="Arial" w:hAnsi="Arial"/>
                  <w:sz w:val="18"/>
                  <w:szCs w:val="18"/>
                  <w:color w:val="0000EE"/>
                  <w:w w:val="88"/>
                </w:rPr>
                <w:t>Consolidated Statement of Changes in Stockholders’ Equity for the Three Months Ended March 31, 2009</w:t>
              </w:r>
            </w:hyperlink>
          </w:p>
        </w:tc>
        <w:tc>
          <w:tcPr>
            <w:tcW w:w="100" w:type="dxa"/>
            <w:vAlign w:val="bottom"/>
            <w:tcBorders>
              <w:top w:val="single" w:sz="8" w:color="0000EE"/>
            </w:tcBorders>
          </w:tcPr>
          <w:p>
            <w:pPr>
              <w:spacing w:after="0"/>
              <w:rPr>
                <w:sz w:val="24"/>
                <w:szCs w:val="24"/>
                <w:color w:val="auto"/>
              </w:rPr>
            </w:pPr>
          </w:p>
        </w:tc>
        <w:tc>
          <w:tcPr>
            <w:tcW w:w="1140" w:type="dxa"/>
            <w:vAlign w:val="bottom"/>
          </w:tcPr>
          <w:p>
            <w:pPr>
              <w:spacing w:after="0"/>
              <w:rPr>
                <w:sz w:val="24"/>
                <w:szCs w:val="24"/>
                <w:color w:val="auto"/>
              </w:rPr>
            </w:pPr>
          </w:p>
        </w:tc>
        <w:tc>
          <w:tcPr>
            <w:tcW w:w="1620" w:type="dxa"/>
            <w:vAlign w:val="bottom"/>
          </w:tcPr>
          <w:p>
            <w:pPr>
              <w:jc w:val="right"/>
              <w:ind w:right="152"/>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345"/>
        </w:trPr>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60" w:type="dxa"/>
            <w:vAlign w:val="bottom"/>
            <w:gridSpan w:val="16"/>
          </w:tcPr>
          <w:p>
            <w:pPr>
              <w:spacing w:after="0"/>
              <w:rPr>
                <w:rFonts w:ascii="Arial" w:cs="Arial" w:eastAsia="Arial" w:hAnsi="Arial"/>
                <w:sz w:val="18"/>
                <w:szCs w:val="18"/>
                <w:color w:val="0000EE"/>
              </w:rPr>
            </w:pPr>
            <w:hyperlink w:anchor="page9">
              <w:r>
                <w:rPr>
                  <w:rFonts w:ascii="Arial" w:cs="Arial" w:eastAsia="Arial" w:hAnsi="Arial"/>
                  <w:sz w:val="18"/>
                  <w:szCs w:val="18"/>
                  <w:color w:val="0000EE"/>
                </w:rPr>
                <w:t>Consolidated Statements of Cash Flows for the Three Months Ended March 31, 2009 and 2008</w:t>
              </w:r>
            </w:hyperlink>
          </w:p>
        </w:tc>
        <w:tc>
          <w:tcPr>
            <w:tcW w:w="1620" w:type="dxa"/>
            <w:vAlign w:val="bottom"/>
          </w:tcPr>
          <w:p>
            <w:pPr>
              <w:jc w:val="right"/>
              <w:ind w:right="152"/>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345"/>
        </w:trPr>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680" w:type="dxa"/>
            <w:vAlign w:val="bottom"/>
            <w:tcBorders>
              <w:top w:val="single" w:sz="8" w:color="0000EE"/>
            </w:tcBorders>
            <w:gridSpan w:val="13"/>
          </w:tcPr>
          <w:p>
            <w:pPr>
              <w:spacing w:after="0"/>
              <w:rPr>
                <w:rFonts w:ascii="Arial" w:cs="Arial" w:eastAsia="Arial" w:hAnsi="Arial"/>
                <w:sz w:val="18"/>
                <w:szCs w:val="18"/>
                <w:color w:val="0000EE"/>
              </w:rPr>
            </w:pPr>
            <w:hyperlink w:anchor="page10">
              <w:r>
                <w:rPr>
                  <w:rFonts w:ascii="Arial" w:cs="Arial" w:eastAsia="Arial" w:hAnsi="Arial"/>
                  <w:sz w:val="18"/>
                  <w:szCs w:val="18"/>
                  <w:color w:val="0000EE"/>
                </w:rPr>
                <w:t>Notes to Interim Consolidated Financial Statements</w:t>
              </w:r>
            </w:hyperlink>
          </w:p>
        </w:tc>
        <w:tc>
          <w:tcPr>
            <w:tcW w:w="1980" w:type="dxa"/>
            <w:vAlign w:val="bottom"/>
            <w:gridSpan w:val="3"/>
          </w:tcPr>
          <w:p>
            <w:pPr>
              <w:spacing w:after="0"/>
              <w:rPr>
                <w:sz w:val="24"/>
                <w:szCs w:val="24"/>
                <w:color w:val="auto"/>
              </w:rPr>
            </w:pPr>
          </w:p>
        </w:tc>
        <w:tc>
          <w:tcPr>
            <w:tcW w:w="1620" w:type="dxa"/>
            <w:vAlign w:val="bottom"/>
          </w:tcPr>
          <w:p>
            <w:pPr>
              <w:jc w:val="right"/>
              <w:ind w:right="152"/>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5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900" w:type="dxa"/>
            <w:vAlign w:val="bottom"/>
            <w:gridSpan w:val="2"/>
            <w:shd w:val="clear" w:color="auto" w:fill="0000EE"/>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2360" w:type="dxa"/>
            <w:vAlign w:val="bottom"/>
            <w:gridSpan w:val="5"/>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640" w:type="dxa"/>
            <w:vAlign w:val="bottom"/>
            <w:tcBorders>
              <w:bottom w:val="single" w:sz="8" w:color="0000EE"/>
            </w:tcBorders>
            <w:gridSpan w:val="3"/>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Item 2.</w:t>
              </w:r>
            </w:hyperlink>
          </w:p>
        </w:tc>
        <w:tc>
          <w:tcPr>
            <w:tcW w:w="520" w:type="dxa"/>
            <w:vAlign w:val="bottom"/>
            <w:gridSpan w:val="2"/>
          </w:tcPr>
          <w:p>
            <w:pPr>
              <w:spacing w:after="0"/>
              <w:rPr>
                <w:sz w:val="24"/>
                <w:szCs w:val="24"/>
                <w:color w:val="auto"/>
              </w:rPr>
            </w:pPr>
          </w:p>
        </w:tc>
        <w:tc>
          <w:tcPr>
            <w:tcW w:w="6300" w:type="dxa"/>
            <w:vAlign w:val="bottom"/>
            <w:tcBorders>
              <w:bottom w:val="single" w:sz="8" w:color="0000EE"/>
            </w:tcBorders>
            <w:gridSpan w:val="11"/>
          </w:tcPr>
          <w:p>
            <w:pPr>
              <w:spacing w:after="0"/>
              <w:rPr>
                <w:rFonts w:ascii="Arial" w:cs="Arial" w:eastAsia="Arial" w:hAnsi="Arial"/>
                <w:sz w:val="18"/>
                <w:szCs w:val="18"/>
                <w:color w:val="0000EE"/>
                <w:w w:val="88"/>
              </w:rPr>
            </w:pPr>
            <w:hyperlink w:anchor="page30">
              <w:r>
                <w:rPr>
                  <w:rFonts w:ascii="Arial" w:cs="Arial" w:eastAsia="Arial" w:hAnsi="Arial"/>
                  <w:sz w:val="18"/>
                  <w:szCs w:val="18"/>
                  <w:color w:val="0000EE"/>
                  <w:w w:val="88"/>
                </w:rPr>
                <w:t>Management’s Discussion and Analysis of Financial Condition and Results of Operations</w:t>
              </w:r>
            </w:hyperlink>
          </w:p>
        </w:tc>
        <w:tc>
          <w:tcPr>
            <w:tcW w:w="2360" w:type="dxa"/>
            <w:vAlign w:val="bottom"/>
            <w:gridSpan w:val="5"/>
          </w:tcPr>
          <w:p>
            <w:pPr>
              <w:spacing w:after="0"/>
              <w:rPr>
                <w:sz w:val="24"/>
                <w:szCs w:val="24"/>
                <w:color w:val="auto"/>
              </w:rPr>
            </w:pPr>
          </w:p>
        </w:tc>
        <w:tc>
          <w:tcPr>
            <w:tcW w:w="1620" w:type="dxa"/>
            <w:vAlign w:val="bottom"/>
          </w:tcPr>
          <w:p>
            <w:pPr>
              <w:jc w:val="right"/>
              <w:ind w:right="152"/>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345"/>
        </w:trPr>
        <w:tc>
          <w:tcPr>
            <w:tcW w:w="520" w:type="dxa"/>
            <w:vAlign w:val="bottom"/>
            <w:gridSpan w:val="2"/>
          </w:tcPr>
          <w:p>
            <w:pPr>
              <w:spacing w:after="0"/>
              <w:rPr>
                <w:rFonts w:ascii="Arial" w:cs="Arial" w:eastAsia="Arial" w:hAnsi="Arial"/>
                <w:sz w:val="18"/>
                <w:szCs w:val="18"/>
                <w:color w:val="0000EE"/>
                <w:w w:val="90"/>
              </w:rPr>
            </w:pPr>
            <w:hyperlink w:anchor="page59">
              <w:r>
                <w:rPr>
                  <w:rFonts w:ascii="Arial" w:cs="Arial" w:eastAsia="Arial" w:hAnsi="Arial"/>
                  <w:sz w:val="18"/>
                  <w:szCs w:val="18"/>
                  <w:color w:val="0000EE"/>
                  <w:w w:val="90"/>
                </w:rPr>
                <w:t>Item 3.</w:t>
              </w:r>
            </w:hyperlink>
          </w:p>
        </w:tc>
        <w:tc>
          <w:tcPr>
            <w:tcW w:w="640" w:type="dxa"/>
            <w:vAlign w:val="bottom"/>
            <w:gridSpan w:val="3"/>
          </w:tcPr>
          <w:p>
            <w:pPr>
              <w:spacing w:after="0"/>
              <w:rPr>
                <w:sz w:val="24"/>
                <w:szCs w:val="24"/>
                <w:color w:val="auto"/>
              </w:rPr>
            </w:pPr>
          </w:p>
        </w:tc>
        <w:tc>
          <w:tcPr>
            <w:tcW w:w="8660" w:type="dxa"/>
            <w:vAlign w:val="bottom"/>
            <w:gridSpan w:val="16"/>
          </w:tcPr>
          <w:p>
            <w:pPr>
              <w:spacing w:after="0"/>
              <w:rPr>
                <w:rFonts w:ascii="Arial" w:cs="Arial" w:eastAsia="Arial" w:hAnsi="Arial"/>
                <w:sz w:val="18"/>
                <w:szCs w:val="18"/>
                <w:color w:val="0000EE"/>
              </w:rPr>
            </w:pPr>
            <w:hyperlink w:anchor="page59">
              <w:r>
                <w:rPr>
                  <w:rFonts w:ascii="Arial" w:cs="Arial" w:eastAsia="Arial" w:hAnsi="Arial"/>
                  <w:sz w:val="18"/>
                  <w:szCs w:val="18"/>
                  <w:color w:val="0000EE"/>
                </w:rPr>
                <w:t>Quantitative and Qualitative Disclosures About Market Risk</w:t>
              </w:r>
            </w:hyperlink>
          </w:p>
        </w:tc>
        <w:tc>
          <w:tcPr>
            <w:tcW w:w="1620" w:type="dxa"/>
            <w:vAlign w:val="bottom"/>
          </w:tcPr>
          <w:p>
            <w:pPr>
              <w:jc w:val="right"/>
              <w:ind w:right="152"/>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345"/>
        </w:trPr>
        <w:tc>
          <w:tcPr>
            <w:tcW w:w="520" w:type="dxa"/>
            <w:vAlign w:val="bottom"/>
            <w:tcBorders>
              <w:top w:val="single" w:sz="8" w:color="0000EE"/>
            </w:tcBorders>
            <w:gridSpan w:val="2"/>
          </w:tcPr>
          <w:p>
            <w:pPr>
              <w:spacing w:after="0"/>
              <w:rPr>
                <w:rFonts w:ascii="Arial" w:cs="Arial" w:eastAsia="Arial" w:hAnsi="Arial"/>
                <w:sz w:val="18"/>
                <w:szCs w:val="18"/>
                <w:color w:val="0000EE"/>
                <w:w w:val="90"/>
              </w:rPr>
            </w:pPr>
            <w:hyperlink w:anchor="page60">
              <w:r>
                <w:rPr>
                  <w:rFonts w:ascii="Arial" w:cs="Arial" w:eastAsia="Arial" w:hAnsi="Arial"/>
                  <w:sz w:val="18"/>
                  <w:szCs w:val="18"/>
                  <w:color w:val="0000EE"/>
                  <w:w w:val="90"/>
                </w:rPr>
                <w:t>Item 4.</w:t>
              </w:r>
            </w:hyperlink>
          </w:p>
        </w:tc>
        <w:tc>
          <w:tcPr>
            <w:tcW w:w="640" w:type="dxa"/>
            <w:vAlign w:val="bottom"/>
            <w:gridSpan w:val="3"/>
          </w:tcPr>
          <w:p>
            <w:pPr>
              <w:spacing w:after="0"/>
              <w:rPr>
                <w:sz w:val="24"/>
                <w:szCs w:val="24"/>
                <w:color w:val="auto"/>
              </w:rPr>
            </w:pPr>
          </w:p>
        </w:tc>
        <w:tc>
          <w:tcPr>
            <w:tcW w:w="4240" w:type="dxa"/>
            <w:vAlign w:val="bottom"/>
            <w:tcBorders>
              <w:top w:val="single" w:sz="8" w:color="0000EE"/>
            </w:tcBorders>
            <w:gridSpan w:val="9"/>
          </w:tcPr>
          <w:p>
            <w:pPr>
              <w:spacing w:after="0"/>
              <w:rPr>
                <w:rFonts w:ascii="Arial" w:cs="Arial" w:eastAsia="Arial" w:hAnsi="Arial"/>
                <w:sz w:val="18"/>
                <w:szCs w:val="18"/>
                <w:color w:val="0000EE"/>
              </w:rPr>
            </w:pPr>
            <w:hyperlink w:anchor="page60">
              <w:r>
                <w:rPr>
                  <w:rFonts w:ascii="Arial" w:cs="Arial" w:eastAsia="Arial" w:hAnsi="Arial"/>
                  <w:sz w:val="18"/>
                  <w:szCs w:val="18"/>
                  <w:color w:val="0000EE"/>
                </w:rPr>
                <w:t>Controls and Procedures</w:t>
              </w:r>
            </w:hyperlink>
          </w:p>
        </w:tc>
        <w:tc>
          <w:tcPr>
            <w:tcW w:w="4420" w:type="dxa"/>
            <w:vAlign w:val="bottom"/>
            <w:gridSpan w:val="7"/>
          </w:tcPr>
          <w:p>
            <w:pPr>
              <w:spacing w:after="0"/>
              <w:rPr>
                <w:sz w:val="24"/>
                <w:szCs w:val="24"/>
                <w:color w:val="auto"/>
              </w:rPr>
            </w:pPr>
          </w:p>
        </w:tc>
        <w:tc>
          <w:tcPr>
            <w:tcW w:w="1620" w:type="dxa"/>
            <w:vAlign w:val="bottom"/>
          </w:tcPr>
          <w:p>
            <w:pPr>
              <w:jc w:val="right"/>
              <w:ind w:right="152"/>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940" w:type="dxa"/>
            <w:vAlign w:val="bottom"/>
            <w:gridSpan w:val="11"/>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2800" w:type="dxa"/>
            <w:vAlign w:val="bottom"/>
            <w:tcBorders>
              <w:bottom w:val="single" w:sz="8" w:color="0000EE"/>
            </w:tcBorders>
            <w:gridSpan w:val="9"/>
          </w:tcPr>
          <w:p>
            <w:pPr>
              <w:spacing w:after="0"/>
              <w:rPr>
                <w:rFonts w:ascii="Arial" w:cs="Arial" w:eastAsia="Arial" w:hAnsi="Arial"/>
                <w:sz w:val="18"/>
                <w:szCs w:val="18"/>
                <w:b w:val="1"/>
                <w:bCs w:val="1"/>
                <w:color w:val="0000EE"/>
                <w:w w:val="99"/>
              </w:rPr>
            </w:pPr>
            <w:hyperlink w:anchor="page61">
              <w:r>
                <w:rPr>
                  <w:rFonts w:ascii="Arial" w:cs="Arial" w:eastAsia="Arial" w:hAnsi="Arial"/>
                  <w:sz w:val="18"/>
                  <w:szCs w:val="18"/>
                  <w:b w:val="1"/>
                  <w:bCs w:val="1"/>
                  <w:color w:val="0000EE"/>
                  <w:w w:val="99"/>
                </w:rPr>
                <w:t>PART II – OTHER INFORMATION</w:t>
              </w:r>
            </w:hyperlink>
          </w:p>
        </w:tc>
        <w:tc>
          <w:tcPr>
            <w:tcW w:w="7020" w:type="dxa"/>
            <w:vAlign w:val="bottom"/>
            <w:gridSpan w:val="12"/>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520" w:type="dxa"/>
            <w:vAlign w:val="bottom"/>
            <w:tcBorders>
              <w:bottom w:val="single" w:sz="8" w:color="0000EE"/>
            </w:tcBorders>
            <w:gridSpan w:val="2"/>
          </w:tcPr>
          <w:p>
            <w:pPr>
              <w:spacing w:after="0"/>
              <w:rPr>
                <w:rFonts w:ascii="Arial" w:cs="Arial" w:eastAsia="Arial" w:hAnsi="Arial"/>
                <w:sz w:val="18"/>
                <w:szCs w:val="18"/>
                <w:color w:val="0000EE"/>
                <w:w w:val="90"/>
              </w:rPr>
            </w:pPr>
            <w:hyperlink w:anchor="page61">
              <w:r>
                <w:rPr>
                  <w:rFonts w:ascii="Arial" w:cs="Arial" w:eastAsia="Arial" w:hAnsi="Arial"/>
                  <w:sz w:val="18"/>
                  <w:szCs w:val="18"/>
                  <w:color w:val="0000EE"/>
                  <w:w w:val="90"/>
                </w:rPr>
                <w:t>Item 1.</w:t>
              </w:r>
            </w:hyperlink>
          </w:p>
        </w:tc>
        <w:tc>
          <w:tcPr>
            <w:tcW w:w="640" w:type="dxa"/>
            <w:vAlign w:val="bottom"/>
            <w:gridSpan w:val="3"/>
          </w:tcPr>
          <w:p>
            <w:pPr>
              <w:spacing w:after="0"/>
              <w:rPr>
                <w:sz w:val="24"/>
                <w:szCs w:val="24"/>
                <w:color w:val="auto"/>
              </w:rPr>
            </w:pPr>
          </w:p>
        </w:tc>
        <w:tc>
          <w:tcPr>
            <w:tcW w:w="1300" w:type="dxa"/>
            <w:vAlign w:val="bottom"/>
            <w:tcBorders>
              <w:bottom w:val="single" w:sz="8" w:color="0000EE"/>
            </w:tcBorders>
            <w:gridSpan w:val="3"/>
          </w:tcPr>
          <w:p>
            <w:pPr>
              <w:spacing w:after="0"/>
              <w:rPr>
                <w:rFonts w:ascii="Arial" w:cs="Arial" w:eastAsia="Arial" w:hAnsi="Arial"/>
                <w:sz w:val="18"/>
                <w:szCs w:val="18"/>
                <w:color w:val="0000EE"/>
                <w:w w:val="85"/>
              </w:rPr>
            </w:pPr>
            <w:hyperlink w:anchor="page61">
              <w:r>
                <w:rPr>
                  <w:rFonts w:ascii="Arial" w:cs="Arial" w:eastAsia="Arial" w:hAnsi="Arial"/>
                  <w:sz w:val="18"/>
                  <w:szCs w:val="18"/>
                  <w:color w:val="0000EE"/>
                  <w:w w:val="85"/>
                </w:rPr>
                <w:t>Legal Proceedings</w:t>
              </w:r>
            </w:hyperlink>
          </w:p>
        </w:tc>
        <w:tc>
          <w:tcPr>
            <w:tcW w:w="7360" w:type="dxa"/>
            <w:vAlign w:val="bottom"/>
            <w:gridSpan w:val="13"/>
          </w:tcPr>
          <w:p>
            <w:pPr>
              <w:spacing w:after="0"/>
              <w:rPr>
                <w:sz w:val="24"/>
                <w:szCs w:val="24"/>
                <w:color w:val="auto"/>
              </w:rPr>
            </w:pPr>
          </w:p>
        </w:tc>
        <w:tc>
          <w:tcPr>
            <w:tcW w:w="1620" w:type="dxa"/>
            <w:vAlign w:val="bottom"/>
          </w:tcPr>
          <w:p>
            <w:pPr>
              <w:jc w:val="right"/>
              <w:ind w:right="152"/>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345"/>
        </w:trPr>
        <w:tc>
          <w:tcPr>
            <w:tcW w:w="640" w:type="dxa"/>
            <w:vAlign w:val="bottom"/>
            <w:tcBorders>
              <w:bottom w:val="single" w:sz="8" w:color="0000EE"/>
            </w:tcBorders>
            <w:gridSpan w:val="3"/>
          </w:tcPr>
          <w:p>
            <w:pPr>
              <w:spacing w:after="0"/>
              <w:rPr>
                <w:rFonts w:ascii="Arial" w:cs="Arial" w:eastAsia="Arial" w:hAnsi="Arial"/>
                <w:sz w:val="18"/>
                <w:szCs w:val="18"/>
                <w:color w:val="0000EE"/>
                <w:w w:val="92"/>
              </w:rPr>
            </w:pPr>
            <w:hyperlink w:anchor="page61">
              <w:r>
                <w:rPr>
                  <w:rFonts w:ascii="Arial" w:cs="Arial" w:eastAsia="Arial" w:hAnsi="Arial"/>
                  <w:sz w:val="18"/>
                  <w:szCs w:val="18"/>
                  <w:color w:val="0000EE"/>
                  <w:w w:val="92"/>
                </w:rPr>
                <w:t>Item 1A.</w:t>
              </w:r>
            </w:hyperlink>
          </w:p>
        </w:tc>
        <w:tc>
          <w:tcPr>
            <w:tcW w:w="520" w:type="dxa"/>
            <w:vAlign w:val="bottom"/>
            <w:gridSpan w:val="2"/>
          </w:tcPr>
          <w:p>
            <w:pPr>
              <w:spacing w:after="0"/>
              <w:rPr>
                <w:sz w:val="24"/>
                <w:szCs w:val="24"/>
                <w:color w:val="auto"/>
              </w:rPr>
            </w:pPr>
          </w:p>
        </w:tc>
        <w:tc>
          <w:tcPr>
            <w:tcW w:w="880" w:type="dxa"/>
            <w:vAlign w:val="bottom"/>
            <w:tcBorders>
              <w:bottom w:val="single" w:sz="8" w:color="0000EE"/>
            </w:tcBorders>
            <w:gridSpan w:val="2"/>
          </w:tcPr>
          <w:p>
            <w:pPr>
              <w:spacing w:after="0"/>
              <w:rPr>
                <w:rFonts w:ascii="Arial" w:cs="Arial" w:eastAsia="Arial" w:hAnsi="Arial"/>
                <w:sz w:val="18"/>
                <w:szCs w:val="18"/>
                <w:color w:val="0000EE"/>
                <w:w w:val="85"/>
              </w:rPr>
            </w:pPr>
            <w:hyperlink w:anchor="page61">
              <w:r>
                <w:rPr>
                  <w:rFonts w:ascii="Arial" w:cs="Arial" w:eastAsia="Arial" w:hAnsi="Arial"/>
                  <w:sz w:val="18"/>
                  <w:szCs w:val="18"/>
                  <w:color w:val="0000EE"/>
                  <w:w w:val="85"/>
                </w:rPr>
                <w:t>Risk Factors</w:t>
              </w:r>
            </w:hyperlink>
          </w:p>
        </w:tc>
        <w:tc>
          <w:tcPr>
            <w:tcW w:w="7780" w:type="dxa"/>
            <w:vAlign w:val="bottom"/>
            <w:gridSpan w:val="14"/>
          </w:tcPr>
          <w:p>
            <w:pPr>
              <w:spacing w:after="0"/>
              <w:rPr>
                <w:sz w:val="24"/>
                <w:szCs w:val="24"/>
                <w:color w:val="auto"/>
              </w:rPr>
            </w:pPr>
          </w:p>
        </w:tc>
        <w:tc>
          <w:tcPr>
            <w:tcW w:w="1620" w:type="dxa"/>
            <w:vAlign w:val="bottom"/>
          </w:tcPr>
          <w:p>
            <w:pPr>
              <w:jc w:val="right"/>
              <w:ind w:right="152"/>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345"/>
        </w:trPr>
        <w:tc>
          <w:tcPr>
            <w:tcW w:w="520" w:type="dxa"/>
            <w:vAlign w:val="bottom"/>
            <w:gridSpan w:val="2"/>
          </w:tcPr>
          <w:p>
            <w:pPr>
              <w:spacing w:after="0"/>
              <w:rPr>
                <w:rFonts w:ascii="Arial" w:cs="Arial" w:eastAsia="Arial" w:hAnsi="Arial"/>
                <w:sz w:val="18"/>
                <w:szCs w:val="18"/>
                <w:color w:val="0000EE"/>
                <w:w w:val="90"/>
              </w:rPr>
            </w:pPr>
            <w:hyperlink w:anchor="page61">
              <w:r>
                <w:rPr>
                  <w:rFonts w:ascii="Arial" w:cs="Arial" w:eastAsia="Arial" w:hAnsi="Arial"/>
                  <w:sz w:val="18"/>
                  <w:szCs w:val="18"/>
                  <w:color w:val="0000EE"/>
                  <w:w w:val="90"/>
                </w:rPr>
                <w:t>Item 6.</w:t>
              </w:r>
            </w:hyperlink>
          </w:p>
        </w:tc>
        <w:tc>
          <w:tcPr>
            <w:tcW w:w="640" w:type="dxa"/>
            <w:vAlign w:val="bottom"/>
            <w:gridSpan w:val="3"/>
          </w:tcPr>
          <w:p>
            <w:pPr>
              <w:spacing w:after="0"/>
              <w:rPr>
                <w:sz w:val="24"/>
                <w:szCs w:val="24"/>
                <w:color w:val="auto"/>
              </w:rPr>
            </w:pPr>
          </w:p>
        </w:tc>
        <w:tc>
          <w:tcPr>
            <w:tcW w:w="8660" w:type="dxa"/>
            <w:vAlign w:val="bottom"/>
            <w:gridSpan w:val="16"/>
          </w:tcPr>
          <w:p>
            <w:pPr>
              <w:spacing w:after="0"/>
              <w:rPr>
                <w:rFonts w:ascii="Arial" w:cs="Arial" w:eastAsia="Arial" w:hAnsi="Arial"/>
                <w:sz w:val="18"/>
                <w:szCs w:val="18"/>
                <w:color w:val="0000EE"/>
              </w:rPr>
            </w:pPr>
            <w:hyperlink w:anchor="page61">
              <w:r>
                <w:rPr>
                  <w:rFonts w:ascii="Arial" w:cs="Arial" w:eastAsia="Arial" w:hAnsi="Arial"/>
                  <w:sz w:val="18"/>
                  <w:szCs w:val="18"/>
                  <w:color w:val="0000EE"/>
                </w:rPr>
                <w:t>Exhibits</w:t>
              </w:r>
            </w:hyperlink>
          </w:p>
        </w:tc>
        <w:tc>
          <w:tcPr>
            <w:tcW w:w="1620" w:type="dxa"/>
            <w:vAlign w:val="bottom"/>
          </w:tcPr>
          <w:p>
            <w:pPr>
              <w:jc w:val="right"/>
              <w:ind w:right="152"/>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0"/>
        </w:trPr>
        <w:tc>
          <w:tcPr>
            <w:tcW w:w="520" w:type="dxa"/>
            <w:vAlign w:val="bottom"/>
            <w:gridSpan w:val="2"/>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1160" w:type="dxa"/>
            <w:vAlign w:val="bottom"/>
            <w:gridSpan w:val="5"/>
          </w:tcPr>
          <w:p>
            <w:pPr>
              <w:spacing w:after="0"/>
              <w:rPr>
                <w:rFonts w:ascii="Arial" w:cs="Arial" w:eastAsia="Arial" w:hAnsi="Arial"/>
                <w:sz w:val="18"/>
                <w:szCs w:val="18"/>
                <w:color w:val="0000EE"/>
              </w:rPr>
            </w:pPr>
            <w:hyperlink w:anchor="page62">
              <w:r>
                <w:rPr>
                  <w:rFonts w:ascii="Arial" w:cs="Arial" w:eastAsia="Arial" w:hAnsi="Arial"/>
                  <w:sz w:val="18"/>
                  <w:szCs w:val="18"/>
                  <w:color w:val="0000EE"/>
                </w:rPr>
                <w:t>Signatures</w:t>
              </w:r>
            </w:hyperlink>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20" w:type="dxa"/>
            <w:vAlign w:val="bottom"/>
          </w:tcPr>
          <w:p>
            <w:pPr>
              <w:jc w:val="right"/>
              <w:ind w:right="152"/>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451"/>
        </w:trPr>
        <w:tc>
          <w:tcPr>
            <w:tcW w:w="5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20" w:type="dxa"/>
            <w:vAlign w:val="bottom"/>
          </w:tcPr>
          <w:p>
            <w:pPr>
              <w:spacing w:after="0"/>
              <w:rPr>
                <w:sz w:val="24"/>
                <w:szCs w:val="24"/>
                <w:color w:val="auto"/>
              </w:rPr>
            </w:pPr>
          </w:p>
        </w:tc>
        <w:tc>
          <w:tcPr>
            <w:tcW w:w="5080" w:type="dxa"/>
            <w:vAlign w:val="bottom"/>
            <w:gridSpan w:val="10"/>
          </w:tcPr>
          <w:p>
            <w:pPr>
              <w:ind w:left="4520"/>
              <w:spacing w:after="0"/>
              <w:rPr>
                <w:sz w:val="20"/>
                <w:szCs w:val="20"/>
                <w:color w:val="auto"/>
              </w:rPr>
            </w:pPr>
            <w:r>
              <w:rPr>
                <w:rFonts w:ascii="Arial" w:cs="Arial" w:eastAsia="Arial" w:hAnsi="Arial"/>
                <w:sz w:val="18"/>
                <w:szCs w:val="18"/>
                <w:color w:val="auto"/>
              </w:rPr>
              <w:t>1</w:t>
            </w:r>
          </w:p>
        </w:tc>
        <w:tc>
          <w:tcPr>
            <w:tcW w:w="1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50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70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122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16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FORWARD-LOOKING STATEMENTS</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This Annual Report contains forward-looking statements within the meaning of Section 27A of the Securities Act of 1933, as amended, and Section 21E of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Securities Exchange Act of 1934, as amended, including, but not limited to the following:</w:t>
      </w:r>
    </w:p>
    <w:p>
      <w:pPr>
        <w:spacing w:after="0" w:line="232" w:lineRule="exact"/>
        <w:rPr>
          <w:sz w:val="20"/>
          <w:szCs w:val="20"/>
          <w:color w:val="auto"/>
        </w:rPr>
      </w:pPr>
    </w:p>
    <w:p>
      <w:pPr>
        <w:ind w:left="580" w:hanging="572"/>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assumptions related to the sources of liquidity, our ability to fund advances and the adequacy of financial resources;</w:t>
      </w:r>
    </w:p>
    <w:p>
      <w:pPr>
        <w:spacing w:after="0" w:line="15" w:lineRule="exact"/>
        <w:rPr>
          <w:rFonts w:ascii="Arial" w:cs="Arial" w:eastAsia="Arial" w:hAnsi="Arial"/>
          <w:sz w:val="18"/>
          <w:szCs w:val="18"/>
          <w:color w:val="auto"/>
        </w:rPr>
      </w:pPr>
    </w:p>
    <w:p>
      <w:pPr>
        <w:ind w:left="580" w:hanging="572"/>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estimates regarding prepayment speeds, float balances, delinquency rates, advances and other servicing portfolio characteristics;</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projections as to the performance of our fee-based loan processing business and our asset management vehicles;</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assumptions about our ability to grow our business;</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plans to continue to sell our non-core assets;</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establish additional asset management vehicles;</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reduce our cost structure;</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analysis in support of the decision to spin Ocwen Solutions as a separate company;</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continued ability to successfully modify delinquent loans and sell foreclosed properties;</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estimates regarding our reserves, valuations and anticipated realization on assets; and</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expectations as to the effect of resolution of pending legal proceedings on our financial condition.</w:t>
      </w:r>
    </w:p>
    <w:p>
      <w:pPr>
        <w:spacing w:after="0" w:line="219" w:lineRule="exact"/>
        <w:rPr>
          <w:sz w:val="20"/>
          <w:szCs w:val="20"/>
          <w:color w:val="auto"/>
        </w:rPr>
      </w:pPr>
    </w:p>
    <w:p>
      <w:pPr>
        <w:jc w:val="both"/>
        <w:ind w:firstLine="479"/>
        <w:spacing w:after="0" w:line="259" w:lineRule="auto"/>
        <w:rPr>
          <w:sz w:val="20"/>
          <w:szCs w:val="20"/>
          <w:color w:val="auto"/>
        </w:rPr>
      </w:pPr>
      <w:r>
        <w:rPr>
          <w:rFonts w:ascii="Arial" w:cs="Arial" w:eastAsia="Arial" w:hAnsi="Arial"/>
          <w:sz w:val="18"/>
          <w:szCs w:val="18"/>
          <w:color w:val="auto"/>
        </w:rPr>
        <w:t>Forward-looking statements are not guarantees of future performance and involve a number of assumptions, risks and uncertainties that could cause actual results to differ materially. Important factors that could cause actual results to differ include, but are not limited to, the risks discussed in “Risk Factors” below and the following:</w:t>
      </w:r>
    </w:p>
    <w:p>
      <w:pPr>
        <w:spacing w:after="0" w:line="208" w:lineRule="exact"/>
        <w:rPr>
          <w:sz w:val="20"/>
          <w:szCs w:val="20"/>
          <w:color w:val="auto"/>
        </w:rPr>
      </w:pPr>
    </w:p>
    <w:p>
      <w:pPr>
        <w:ind w:left="580" w:hanging="572"/>
        <w:spacing w:after="0"/>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availability of adequate and timely sources of liquidity;</w:t>
      </w:r>
    </w:p>
    <w:p>
      <w:pPr>
        <w:spacing w:after="0" w:line="15" w:lineRule="exact"/>
        <w:rPr>
          <w:rFonts w:ascii="Arial" w:cs="Arial" w:eastAsia="Arial" w:hAnsi="Arial"/>
          <w:sz w:val="18"/>
          <w:szCs w:val="18"/>
          <w:color w:val="auto"/>
        </w:rPr>
      </w:pPr>
    </w:p>
    <w:p>
      <w:pPr>
        <w:ind w:left="580" w:hanging="572"/>
        <w:spacing w:after="0"/>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delinquencies, advances and availability of servicing;</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general economic and market conditions;</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uncertainty related to government programs, regulations and policies; and</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uncertainty related to dispute resolution and litigation.</w:t>
      </w:r>
    </w:p>
    <w:p>
      <w:pPr>
        <w:spacing w:after="0" w:line="219" w:lineRule="exact"/>
        <w:rPr>
          <w:sz w:val="20"/>
          <w:szCs w:val="20"/>
          <w:color w:val="auto"/>
        </w:rPr>
      </w:pPr>
    </w:p>
    <w:p>
      <w:pPr>
        <w:jc w:val="both"/>
        <w:ind w:firstLine="510"/>
        <w:spacing w:after="0" w:line="256" w:lineRule="auto"/>
        <w:rPr>
          <w:sz w:val="20"/>
          <w:szCs w:val="20"/>
          <w:color w:val="auto"/>
        </w:rPr>
      </w:pPr>
      <w:r>
        <w:rPr>
          <w:rFonts w:ascii="Arial" w:cs="Arial" w:eastAsia="Arial" w:hAnsi="Arial"/>
          <w:sz w:val="18"/>
          <w:szCs w:val="18"/>
          <w:color w:val="auto"/>
        </w:rPr>
        <w:t>Further information on the risks specific to our business are detailed within this report and our other reports and filings with the Securities and Exchange Commission, including our Annual report on Form 10-K for the year ended December 31, 2008, our quarterly reports on Form 10-Q and our current reports on Form 8-K. Forward-looking statements speak only as of the date they are made and should not be relied upon. Ocwen Financial Corporation undertakes no obligation to update or revise forward-looking statements.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 INTERIM CONSOLIDATED FINANCIAL STATEMENTS (Unaudited)</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OCWEN FINANCIAL CORPORATION AND SUBSIDIARIES</w:t>
      </w:r>
    </w:p>
    <w:p>
      <w:pPr>
        <w:spacing w:after="0" w:line="21"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(Dollars in thousands, except share data)</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7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40" w:type="dxa"/>
            <w:vAlign w:val="bottom"/>
            <w:gridSpan w:val="2"/>
          </w:tcPr>
          <w:p>
            <w:pPr>
              <w:ind w:left="120"/>
              <w:spacing w:after="0"/>
              <w:rPr>
                <w:sz w:val="20"/>
                <w:szCs w:val="20"/>
                <w:color w:val="auto"/>
              </w:rPr>
            </w:pPr>
            <w:r>
              <w:rPr>
                <w:rFonts w:ascii="Arial" w:cs="Arial" w:eastAsia="Arial" w:hAnsi="Arial"/>
                <w:sz w:val="18"/>
                <w:szCs w:val="18"/>
                <w:color w:val="auto"/>
              </w:rPr>
              <w:t>March 31, 2009</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00" w:type="dxa"/>
            <w:vAlign w:val="bottom"/>
            <w:gridSpan w:val="2"/>
          </w:tcPr>
          <w:p>
            <w:pPr>
              <w:jc w:val="center"/>
              <w:ind w:right="160"/>
              <w:spacing w:after="0"/>
              <w:rPr>
                <w:sz w:val="20"/>
                <w:szCs w:val="20"/>
                <w:color w:val="auto"/>
              </w:rPr>
            </w:pPr>
            <w:r>
              <w:rPr>
                <w:rFonts w:ascii="Arial" w:cs="Arial" w:eastAsia="Arial" w:hAnsi="Arial"/>
                <w:sz w:val="18"/>
                <w:szCs w:val="18"/>
                <w:color w:val="auto"/>
                <w:w w:val="87"/>
              </w:rPr>
              <w:t>December 31, 2008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7260" w:type="dxa"/>
            <w:vAlign w:val="bottom"/>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60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68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7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00" w:type="dxa"/>
            <w:vAlign w:val="bottom"/>
            <w:gridSpan w:val="2"/>
          </w:tcPr>
          <w:p>
            <w:pPr>
              <w:jc w:val="center"/>
              <w:ind w:right="180"/>
              <w:spacing w:after="0"/>
              <w:rPr>
                <w:sz w:val="20"/>
                <w:szCs w:val="20"/>
                <w:color w:val="auto"/>
              </w:rPr>
            </w:pPr>
            <w:r>
              <w:rPr>
                <w:rFonts w:ascii="Arial" w:cs="Arial" w:eastAsia="Arial" w:hAnsi="Arial"/>
                <w:sz w:val="18"/>
                <w:szCs w:val="18"/>
                <w:color w:val="auto"/>
                <w:w w:val="92"/>
              </w:rPr>
              <w:t>(As Adjusted)</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1"/>
        </w:trPr>
        <w:tc>
          <w:tcPr>
            <w:tcW w:w="20" w:type="dxa"/>
            <w:vAlign w:val="bottom"/>
            <w:vMerge w:val="restart"/>
          </w:tcPr>
          <w:p>
            <w:pPr>
              <w:spacing w:after="0"/>
              <w:rPr>
                <w:sz w:val="13"/>
                <w:szCs w:val="13"/>
                <w:color w:val="auto"/>
              </w:rPr>
            </w:pPr>
          </w:p>
        </w:tc>
        <w:tc>
          <w:tcPr>
            <w:tcW w:w="7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60" w:type="dxa"/>
            <w:vAlign w:val="bottom"/>
            <w:shd w:val="clear" w:color="auto" w:fill="EAF9E8"/>
          </w:tcPr>
          <w:p>
            <w:pPr>
              <w:spacing w:after="0"/>
              <w:rPr>
                <w:sz w:val="20"/>
                <w:szCs w:val="20"/>
                <w:color w:val="auto"/>
              </w:rPr>
            </w:pPr>
            <w:r>
              <w:rPr>
                <w:rFonts w:ascii="Arial" w:cs="Arial" w:eastAsia="Arial" w:hAnsi="Arial"/>
                <w:sz w:val="18"/>
                <w:szCs w:val="18"/>
                <w:b w:val="1"/>
                <w:bCs w:val="1"/>
                <w:color w:val="auto"/>
              </w:rPr>
              <w:t>Assets</w:t>
            </w:r>
          </w:p>
        </w:tc>
        <w:tc>
          <w:tcPr>
            <w:tcW w:w="240" w:type="dxa"/>
            <w:vAlign w:val="bottom"/>
            <w:shd w:val="clear" w:color="auto" w:fill="EAF9E8"/>
          </w:tcPr>
          <w:p>
            <w:pPr>
              <w:spacing w:after="0"/>
              <w:rPr>
                <w:sz w:val="18"/>
                <w:szCs w:val="18"/>
                <w:color w:val="auto"/>
              </w:rPr>
            </w:pPr>
          </w:p>
        </w:tc>
        <w:tc>
          <w:tcPr>
            <w:tcW w:w="1600" w:type="dxa"/>
            <w:vAlign w:val="bottom"/>
            <w:shd w:val="clear" w:color="auto" w:fill="EAF9E8"/>
          </w:tcPr>
          <w:p>
            <w:pPr>
              <w:spacing w:after="0"/>
              <w:rPr>
                <w:sz w:val="18"/>
                <w:szCs w:val="18"/>
                <w:color w:val="auto"/>
              </w:rPr>
            </w:pPr>
          </w:p>
        </w:tc>
        <w:tc>
          <w:tcPr>
            <w:tcW w:w="40" w:type="dxa"/>
            <w:vAlign w:val="bottom"/>
            <w:shd w:val="clear" w:color="auto" w:fill="EAF9E8"/>
          </w:tcPr>
          <w:p>
            <w:pPr>
              <w:spacing w:after="0"/>
              <w:rPr>
                <w:sz w:val="18"/>
                <w:szCs w:val="18"/>
                <w:color w:val="auto"/>
              </w:rPr>
            </w:pPr>
          </w:p>
        </w:tc>
        <w:tc>
          <w:tcPr>
            <w:tcW w:w="30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68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140"/>
              <w:spacing w:after="0"/>
              <w:rPr>
                <w:sz w:val="20"/>
                <w:szCs w:val="20"/>
                <w:color w:val="auto"/>
              </w:rPr>
            </w:pPr>
            <w:r>
              <w:rPr>
                <w:rFonts w:ascii="Arial" w:cs="Arial" w:eastAsia="Arial" w:hAnsi="Arial"/>
                <w:sz w:val="18"/>
                <w:szCs w:val="18"/>
                <w:color w:val="auto"/>
              </w:rPr>
              <w:t>Cash</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158,855</w:t>
            </w:r>
          </w:p>
        </w:tc>
        <w:tc>
          <w:tcPr>
            <w:tcW w:w="40" w:type="dxa"/>
            <w:vAlign w:val="bottom"/>
          </w:tcPr>
          <w:p>
            <w:pPr>
              <w:spacing w:after="0"/>
              <w:rPr>
                <w:sz w:val="18"/>
                <w:szCs w:val="18"/>
                <w:color w:val="auto"/>
              </w:rPr>
            </w:pPr>
          </w:p>
        </w:tc>
        <w:tc>
          <w:tcPr>
            <w:tcW w:w="460" w:type="dxa"/>
            <w:vAlign w:val="bottom"/>
            <w:gridSpan w:val="2"/>
          </w:tcPr>
          <w:p>
            <w:pPr>
              <w:jc w:val="right"/>
              <w:ind w:right="3"/>
              <w:spacing w:after="0"/>
              <w:rPr>
                <w:sz w:val="20"/>
                <w:szCs w:val="20"/>
                <w:color w:val="auto"/>
              </w:rPr>
            </w:pPr>
            <w:r>
              <w:rPr>
                <w:rFonts w:ascii="Arial" w:cs="Arial" w:eastAsia="Arial" w:hAnsi="Arial"/>
                <w:sz w:val="18"/>
                <w:szCs w:val="18"/>
                <w:color w:val="auto"/>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201,025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EAF9E8"/>
          </w:tcPr>
          <w:p>
            <w:pPr>
              <w:ind w:left="140"/>
              <w:spacing w:after="0"/>
              <w:rPr>
                <w:sz w:val="20"/>
                <w:szCs w:val="20"/>
                <w:color w:val="auto"/>
              </w:rPr>
            </w:pPr>
            <w:r>
              <w:rPr>
                <w:rFonts w:ascii="Arial" w:cs="Arial" w:eastAsia="Arial" w:hAnsi="Arial"/>
                <w:sz w:val="18"/>
                <w:szCs w:val="18"/>
                <w:color w:val="auto"/>
              </w:rPr>
              <w:t>Trading securities, at fair value</w:t>
            </w:r>
          </w:p>
        </w:tc>
        <w:tc>
          <w:tcPr>
            <w:tcW w:w="240" w:type="dxa"/>
            <w:vAlign w:val="bottom"/>
            <w:shd w:val="clear" w:color="auto" w:fill="EAF9E8"/>
          </w:tcPr>
          <w:p>
            <w:pPr>
              <w:spacing w:after="0"/>
              <w:rPr>
                <w:sz w:val="18"/>
                <w:szCs w:val="18"/>
                <w:color w:val="auto"/>
              </w:rPr>
            </w:pPr>
          </w:p>
        </w:tc>
        <w:tc>
          <w:tcPr>
            <w:tcW w:w="1600" w:type="dxa"/>
            <w:vAlign w:val="bottom"/>
            <w:shd w:val="clear" w:color="auto" w:fill="EAF9E8"/>
          </w:tcPr>
          <w:p>
            <w:pPr>
              <w:spacing w:after="0"/>
              <w:rPr>
                <w:sz w:val="18"/>
                <w:szCs w:val="18"/>
                <w:color w:val="auto"/>
              </w:rPr>
            </w:pPr>
          </w:p>
        </w:tc>
        <w:tc>
          <w:tcPr>
            <w:tcW w:w="40" w:type="dxa"/>
            <w:vAlign w:val="bottom"/>
            <w:shd w:val="clear" w:color="auto" w:fill="EAF9E8"/>
          </w:tcPr>
          <w:p>
            <w:pPr>
              <w:spacing w:after="0"/>
              <w:rPr>
                <w:sz w:val="18"/>
                <w:szCs w:val="18"/>
                <w:color w:val="auto"/>
              </w:rPr>
            </w:pPr>
          </w:p>
        </w:tc>
        <w:tc>
          <w:tcPr>
            <w:tcW w:w="30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68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300"/>
              <w:spacing w:after="0"/>
              <w:rPr>
                <w:sz w:val="20"/>
                <w:szCs w:val="20"/>
                <w:color w:val="auto"/>
              </w:rPr>
            </w:pPr>
            <w:r>
              <w:rPr>
                <w:rFonts w:ascii="Arial" w:cs="Arial" w:eastAsia="Arial" w:hAnsi="Arial"/>
                <w:sz w:val="18"/>
                <w:szCs w:val="18"/>
                <w:color w:val="auto"/>
              </w:rPr>
              <w:t>Investment grade auction rate</w:t>
            </w: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238,161</w:t>
            </w: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239,301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EAF9E8"/>
          </w:tcPr>
          <w:p>
            <w:pPr>
              <w:ind w:left="300"/>
              <w:spacing w:after="0"/>
              <w:rPr>
                <w:sz w:val="20"/>
                <w:szCs w:val="20"/>
                <w:color w:val="auto"/>
              </w:rPr>
            </w:pPr>
            <w:r>
              <w:rPr>
                <w:rFonts w:ascii="Arial" w:cs="Arial" w:eastAsia="Arial" w:hAnsi="Arial"/>
                <w:sz w:val="18"/>
                <w:szCs w:val="18"/>
                <w:color w:val="auto"/>
              </w:rPr>
              <w:t>Subordinates and residuals</w:t>
            </w:r>
          </w:p>
        </w:tc>
        <w:tc>
          <w:tcPr>
            <w:tcW w:w="240" w:type="dxa"/>
            <w:vAlign w:val="bottom"/>
            <w:shd w:val="clear" w:color="auto" w:fill="EAF9E8"/>
          </w:tcPr>
          <w:p>
            <w:pPr>
              <w:spacing w:after="0"/>
              <w:rPr>
                <w:sz w:val="18"/>
                <w:szCs w:val="18"/>
                <w:color w:val="auto"/>
              </w:rPr>
            </w:pPr>
          </w:p>
        </w:tc>
        <w:tc>
          <w:tcPr>
            <w:tcW w:w="16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4,028</w:t>
            </w:r>
          </w:p>
        </w:tc>
        <w:tc>
          <w:tcPr>
            <w:tcW w:w="40" w:type="dxa"/>
            <w:vAlign w:val="bottom"/>
            <w:shd w:val="clear" w:color="auto" w:fill="EAF9E8"/>
          </w:tcPr>
          <w:p>
            <w:pPr>
              <w:spacing w:after="0"/>
              <w:rPr>
                <w:sz w:val="18"/>
                <w:szCs w:val="18"/>
                <w:color w:val="auto"/>
              </w:rPr>
            </w:pPr>
          </w:p>
        </w:tc>
        <w:tc>
          <w:tcPr>
            <w:tcW w:w="30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6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4,369</w:t>
            </w:r>
          </w:p>
        </w:tc>
        <w:tc>
          <w:tcPr>
            <w:tcW w:w="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140"/>
              <w:spacing w:after="0"/>
              <w:rPr>
                <w:sz w:val="20"/>
                <w:szCs w:val="20"/>
                <w:color w:val="auto"/>
              </w:rPr>
            </w:pPr>
            <w:r>
              <w:rPr>
                <w:rFonts w:ascii="Arial" w:cs="Arial" w:eastAsia="Arial" w:hAnsi="Arial"/>
                <w:sz w:val="18"/>
                <w:szCs w:val="18"/>
                <w:color w:val="auto"/>
              </w:rPr>
              <w:t>Loans held for resale, at lower of cost or fair value</w:t>
            </w: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44,670</w:t>
            </w: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49,918</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EAF9E8"/>
          </w:tcPr>
          <w:p>
            <w:pPr>
              <w:ind w:left="140"/>
              <w:spacing w:after="0"/>
              <w:rPr>
                <w:sz w:val="20"/>
                <w:szCs w:val="20"/>
                <w:color w:val="auto"/>
              </w:rPr>
            </w:pPr>
            <w:r>
              <w:rPr>
                <w:rFonts w:ascii="Arial" w:cs="Arial" w:eastAsia="Arial" w:hAnsi="Arial"/>
                <w:sz w:val="18"/>
                <w:szCs w:val="18"/>
                <w:color w:val="auto"/>
              </w:rPr>
              <w:t>Advances</w:t>
            </w:r>
          </w:p>
        </w:tc>
        <w:tc>
          <w:tcPr>
            <w:tcW w:w="240" w:type="dxa"/>
            <w:vAlign w:val="bottom"/>
            <w:shd w:val="clear" w:color="auto" w:fill="EAF9E8"/>
          </w:tcPr>
          <w:p>
            <w:pPr>
              <w:spacing w:after="0"/>
              <w:rPr>
                <w:sz w:val="18"/>
                <w:szCs w:val="18"/>
                <w:color w:val="auto"/>
              </w:rPr>
            </w:pPr>
          </w:p>
        </w:tc>
        <w:tc>
          <w:tcPr>
            <w:tcW w:w="16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172,459</w:t>
            </w:r>
          </w:p>
        </w:tc>
        <w:tc>
          <w:tcPr>
            <w:tcW w:w="40" w:type="dxa"/>
            <w:vAlign w:val="bottom"/>
            <w:shd w:val="clear" w:color="auto" w:fill="EAF9E8"/>
          </w:tcPr>
          <w:p>
            <w:pPr>
              <w:spacing w:after="0"/>
              <w:rPr>
                <w:sz w:val="18"/>
                <w:szCs w:val="18"/>
                <w:color w:val="auto"/>
              </w:rPr>
            </w:pPr>
          </w:p>
        </w:tc>
        <w:tc>
          <w:tcPr>
            <w:tcW w:w="30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6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102,085</w:t>
            </w:r>
          </w:p>
        </w:tc>
        <w:tc>
          <w:tcPr>
            <w:tcW w:w="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140"/>
              <w:spacing w:after="0"/>
              <w:rPr>
                <w:sz w:val="20"/>
                <w:szCs w:val="20"/>
                <w:color w:val="auto"/>
              </w:rPr>
            </w:pPr>
            <w:r>
              <w:rPr>
                <w:rFonts w:ascii="Arial" w:cs="Arial" w:eastAsia="Arial" w:hAnsi="Arial"/>
                <w:sz w:val="18"/>
                <w:szCs w:val="18"/>
                <w:color w:val="auto"/>
              </w:rPr>
              <w:t>Match funded advances</w:t>
            </w: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881,244</w:t>
            </w: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1,100,555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EAF9E8"/>
          </w:tcPr>
          <w:p>
            <w:pPr>
              <w:ind w:left="140"/>
              <w:spacing w:after="0"/>
              <w:rPr>
                <w:sz w:val="20"/>
                <w:szCs w:val="20"/>
                <w:color w:val="auto"/>
              </w:rPr>
            </w:pPr>
            <w:r>
              <w:rPr>
                <w:rFonts w:ascii="Arial" w:cs="Arial" w:eastAsia="Arial" w:hAnsi="Arial"/>
                <w:sz w:val="18"/>
                <w:szCs w:val="18"/>
                <w:color w:val="auto"/>
              </w:rPr>
              <w:t>Mortgage servicing rights</w:t>
            </w:r>
          </w:p>
        </w:tc>
        <w:tc>
          <w:tcPr>
            <w:tcW w:w="240" w:type="dxa"/>
            <w:vAlign w:val="bottom"/>
            <w:shd w:val="clear" w:color="auto" w:fill="EAF9E8"/>
          </w:tcPr>
          <w:p>
            <w:pPr>
              <w:spacing w:after="0"/>
              <w:rPr>
                <w:sz w:val="18"/>
                <w:szCs w:val="18"/>
                <w:color w:val="auto"/>
              </w:rPr>
            </w:pPr>
          </w:p>
        </w:tc>
        <w:tc>
          <w:tcPr>
            <w:tcW w:w="16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140,603</w:t>
            </w:r>
          </w:p>
        </w:tc>
        <w:tc>
          <w:tcPr>
            <w:tcW w:w="40" w:type="dxa"/>
            <w:vAlign w:val="bottom"/>
            <w:shd w:val="clear" w:color="auto" w:fill="EAF9E8"/>
          </w:tcPr>
          <w:p>
            <w:pPr>
              <w:spacing w:after="0"/>
              <w:rPr>
                <w:sz w:val="18"/>
                <w:szCs w:val="18"/>
                <w:color w:val="auto"/>
              </w:rPr>
            </w:pPr>
          </w:p>
        </w:tc>
        <w:tc>
          <w:tcPr>
            <w:tcW w:w="30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6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139,500</w:t>
            </w:r>
          </w:p>
        </w:tc>
        <w:tc>
          <w:tcPr>
            <w:tcW w:w="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140"/>
              <w:spacing w:after="0"/>
              <w:rPr>
                <w:sz w:val="20"/>
                <w:szCs w:val="20"/>
                <w:color w:val="auto"/>
              </w:rPr>
            </w:pPr>
            <w:r>
              <w:rPr>
                <w:rFonts w:ascii="Arial" w:cs="Arial" w:eastAsia="Arial" w:hAnsi="Arial"/>
                <w:sz w:val="18"/>
                <w:szCs w:val="18"/>
                <w:color w:val="auto"/>
              </w:rPr>
              <w:t>Receivables, net</w:t>
            </w: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49,433</w:t>
            </w: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42,798</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EAF9E8"/>
          </w:tcPr>
          <w:p>
            <w:pPr>
              <w:ind w:left="140"/>
              <w:spacing w:after="0"/>
              <w:rPr>
                <w:sz w:val="20"/>
                <w:szCs w:val="20"/>
                <w:color w:val="auto"/>
              </w:rPr>
            </w:pPr>
            <w:r>
              <w:rPr>
                <w:rFonts w:ascii="Arial" w:cs="Arial" w:eastAsia="Arial" w:hAnsi="Arial"/>
                <w:sz w:val="18"/>
                <w:szCs w:val="18"/>
                <w:color w:val="auto"/>
              </w:rPr>
              <w:t>Deferred tax assets, net</w:t>
            </w:r>
          </w:p>
        </w:tc>
        <w:tc>
          <w:tcPr>
            <w:tcW w:w="240" w:type="dxa"/>
            <w:vAlign w:val="bottom"/>
            <w:shd w:val="clear" w:color="auto" w:fill="EAF9E8"/>
          </w:tcPr>
          <w:p>
            <w:pPr>
              <w:spacing w:after="0"/>
              <w:rPr>
                <w:sz w:val="18"/>
                <w:szCs w:val="18"/>
                <w:color w:val="auto"/>
              </w:rPr>
            </w:pPr>
          </w:p>
        </w:tc>
        <w:tc>
          <w:tcPr>
            <w:tcW w:w="16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167,913</w:t>
            </w:r>
          </w:p>
        </w:tc>
        <w:tc>
          <w:tcPr>
            <w:tcW w:w="40" w:type="dxa"/>
            <w:vAlign w:val="bottom"/>
            <w:shd w:val="clear" w:color="auto" w:fill="EAF9E8"/>
          </w:tcPr>
          <w:p>
            <w:pPr>
              <w:spacing w:after="0"/>
              <w:rPr>
                <w:sz w:val="18"/>
                <w:szCs w:val="18"/>
                <w:color w:val="auto"/>
              </w:rPr>
            </w:pPr>
          </w:p>
        </w:tc>
        <w:tc>
          <w:tcPr>
            <w:tcW w:w="30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6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175,145</w:t>
            </w:r>
          </w:p>
        </w:tc>
        <w:tc>
          <w:tcPr>
            <w:tcW w:w="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140"/>
              <w:spacing w:after="0"/>
              <w:rPr>
                <w:sz w:val="20"/>
                <w:szCs w:val="20"/>
                <w:color w:val="auto"/>
              </w:rPr>
            </w:pPr>
            <w:r>
              <w:rPr>
                <w:rFonts w:ascii="Arial" w:cs="Arial" w:eastAsia="Arial" w:hAnsi="Arial"/>
                <w:sz w:val="18"/>
                <w:szCs w:val="18"/>
                <w:color w:val="auto"/>
              </w:rPr>
              <w:t>Intangibles, including goodwill of $9,836</w:t>
            </w: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45,589</w:t>
            </w: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46,227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EAF9E8"/>
          </w:tcPr>
          <w:p>
            <w:pPr>
              <w:ind w:left="140"/>
              <w:spacing w:after="0"/>
              <w:rPr>
                <w:sz w:val="20"/>
                <w:szCs w:val="20"/>
                <w:color w:val="auto"/>
              </w:rPr>
            </w:pPr>
            <w:r>
              <w:rPr>
                <w:rFonts w:ascii="Arial" w:cs="Arial" w:eastAsia="Arial" w:hAnsi="Arial"/>
                <w:sz w:val="18"/>
                <w:szCs w:val="18"/>
                <w:color w:val="auto"/>
              </w:rPr>
              <w:t>Premises and equipment, net</w:t>
            </w:r>
          </w:p>
        </w:tc>
        <w:tc>
          <w:tcPr>
            <w:tcW w:w="240" w:type="dxa"/>
            <w:vAlign w:val="bottom"/>
            <w:shd w:val="clear" w:color="auto" w:fill="EAF9E8"/>
          </w:tcPr>
          <w:p>
            <w:pPr>
              <w:spacing w:after="0"/>
              <w:rPr>
                <w:sz w:val="18"/>
                <w:szCs w:val="18"/>
                <w:color w:val="auto"/>
              </w:rPr>
            </w:pPr>
          </w:p>
        </w:tc>
        <w:tc>
          <w:tcPr>
            <w:tcW w:w="16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11,799</w:t>
            </w:r>
          </w:p>
        </w:tc>
        <w:tc>
          <w:tcPr>
            <w:tcW w:w="40" w:type="dxa"/>
            <w:vAlign w:val="bottom"/>
            <w:shd w:val="clear" w:color="auto" w:fill="EAF9E8"/>
          </w:tcPr>
          <w:p>
            <w:pPr>
              <w:spacing w:after="0"/>
              <w:rPr>
                <w:sz w:val="18"/>
                <w:szCs w:val="18"/>
                <w:color w:val="auto"/>
              </w:rPr>
            </w:pPr>
          </w:p>
        </w:tc>
        <w:tc>
          <w:tcPr>
            <w:tcW w:w="30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6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12,926</w:t>
            </w:r>
          </w:p>
        </w:tc>
        <w:tc>
          <w:tcPr>
            <w:tcW w:w="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140"/>
              <w:spacing w:after="0"/>
              <w:rPr>
                <w:sz w:val="20"/>
                <w:szCs w:val="20"/>
                <w:color w:val="auto"/>
              </w:rPr>
            </w:pPr>
            <w:r>
              <w:rPr>
                <w:rFonts w:ascii="Arial" w:cs="Arial" w:eastAsia="Arial" w:hAnsi="Arial"/>
                <w:sz w:val="18"/>
                <w:szCs w:val="18"/>
                <w:color w:val="auto"/>
              </w:rPr>
              <w:t>Investments in unconsolidated entities</w:t>
            </w: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22,115</w:t>
            </w: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25,663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EAF9E8"/>
          </w:tcPr>
          <w:p>
            <w:pPr>
              <w:ind w:left="140"/>
              <w:spacing w:after="0"/>
              <w:rPr>
                <w:sz w:val="20"/>
                <w:szCs w:val="20"/>
                <w:color w:val="auto"/>
              </w:rPr>
            </w:pPr>
            <w:r>
              <w:rPr>
                <w:rFonts w:ascii="Arial" w:cs="Arial" w:eastAsia="Arial" w:hAnsi="Arial"/>
                <w:sz w:val="18"/>
                <w:szCs w:val="18"/>
                <w:color w:val="auto"/>
              </w:rPr>
              <w:t>Other assets</w:t>
            </w:r>
          </w:p>
        </w:tc>
        <w:tc>
          <w:tcPr>
            <w:tcW w:w="240" w:type="dxa"/>
            <w:vAlign w:val="bottom"/>
            <w:shd w:val="clear" w:color="auto" w:fill="EAF9E8"/>
          </w:tcPr>
          <w:p>
            <w:pPr>
              <w:spacing w:after="0"/>
              <w:rPr>
                <w:sz w:val="18"/>
                <w:szCs w:val="18"/>
                <w:color w:val="auto"/>
              </w:rPr>
            </w:pPr>
          </w:p>
        </w:tc>
        <w:tc>
          <w:tcPr>
            <w:tcW w:w="16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92,647</w:t>
            </w:r>
          </w:p>
        </w:tc>
        <w:tc>
          <w:tcPr>
            <w:tcW w:w="40" w:type="dxa"/>
            <w:vAlign w:val="bottom"/>
            <w:shd w:val="clear" w:color="auto" w:fill="EAF9E8"/>
          </w:tcPr>
          <w:p>
            <w:pPr>
              <w:spacing w:after="0"/>
              <w:rPr>
                <w:sz w:val="18"/>
                <w:szCs w:val="18"/>
                <w:color w:val="auto"/>
              </w:rPr>
            </w:pPr>
          </w:p>
        </w:tc>
        <w:tc>
          <w:tcPr>
            <w:tcW w:w="30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6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97,588</w:t>
            </w:r>
          </w:p>
        </w:tc>
        <w:tc>
          <w:tcPr>
            <w:tcW w:w="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260" w:type="dxa"/>
            <w:vAlign w:val="bottom"/>
            <w:vMerge w:val="restart"/>
          </w:tcPr>
          <w:p>
            <w:pPr>
              <w:ind w:left="300"/>
              <w:spacing w:after="0"/>
              <w:rPr>
                <w:sz w:val="20"/>
                <w:szCs w:val="20"/>
                <w:color w:val="auto"/>
              </w:rPr>
            </w:pPr>
            <w:r>
              <w:rPr>
                <w:rFonts w:ascii="Arial" w:cs="Arial" w:eastAsia="Arial" w:hAnsi="Arial"/>
                <w:sz w:val="18"/>
                <w:szCs w:val="18"/>
                <w:color w:val="auto"/>
              </w:rPr>
              <w:t>Total assets</w:t>
            </w:r>
          </w:p>
        </w:tc>
        <w:tc>
          <w:tcPr>
            <w:tcW w:w="24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60" w:type="dxa"/>
            <w:vAlign w:val="bottom"/>
            <w:gridSpan w:val="2"/>
          </w:tcPr>
          <w:p>
            <w:pPr>
              <w:spacing w:after="0"/>
              <w:rPr>
                <w:sz w:val="21"/>
                <w:szCs w:val="21"/>
                <w:color w:val="auto"/>
              </w:rPr>
            </w:pPr>
          </w:p>
        </w:tc>
        <w:tc>
          <w:tcPr>
            <w:tcW w:w="1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vMerge w:val="continue"/>
          </w:tcPr>
          <w:p>
            <w:pPr>
              <w:spacing w:after="0"/>
              <w:rPr>
                <w:sz w:val="18"/>
                <w:szCs w:val="18"/>
                <w:color w:val="auto"/>
              </w:rPr>
            </w:pPr>
          </w:p>
        </w:tc>
        <w:tc>
          <w:tcPr>
            <w:tcW w:w="24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w w:val="79"/>
              </w:rPr>
              <w:t>$</w:t>
            </w: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2,029,516</w:t>
            </w: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Borders>
              <w:top w:val="single" w:sz="8" w:color="auto"/>
            </w:tcBorders>
          </w:tcPr>
          <w:p>
            <w:pPr>
              <w:jc w:val="right"/>
              <w:ind w:right="3"/>
              <w:spacing w:after="0"/>
              <w:rPr>
                <w:sz w:val="20"/>
                <w:szCs w:val="20"/>
                <w:color w:val="auto"/>
              </w:rPr>
            </w:pPr>
            <w:r>
              <w:rPr>
                <w:rFonts w:ascii="Arial" w:cs="Arial" w:eastAsia="Arial" w:hAnsi="Arial"/>
                <w:sz w:val="15"/>
                <w:szCs w:val="15"/>
                <w:color w:val="auto"/>
                <w:w w:val="71"/>
              </w:rPr>
              <w:t>$</w:t>
            </w:r>
          </w:p>
        </w:tc>
        <w:tc>
          <w:tcPr>
            <w:tcW w:w="1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2,237,100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7280" w:type="dxa"/>
            <w:vAlign w:val="bottom"/>
            <w:gridSpan w:val="2"/>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280" w:type="dxa"/>
            <w:vAlign w:val="bottom"/>
            <w:gridSpan w:val="2"/>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restart"/>
          </w:tcPr>
          <w:p>
            <w:pPr>
              <w:spacing w:after="0"/>
              <w:rPr>
                <w:sz w:val="11"/>
                <w:szCs w:val="11"/>
                <w:color w:val="auto"/>
              </w:rPr>
            </w:pPr>
          </w:p>
        </w:tc>
        <w:tc>
          <w:tcPr>
            <w:tcW w:w="7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60" w:type="dxa"/>
            <w:vAlign w:val="bottom"/>
            <w:shd w:val="clear" w:color="auto" w:fill="EAF9E8"/>
          </w:tcPr>
          <w:p>
            <w:pPr>
              <w:spacing w:after="0"/>
              <w:rPr>
                <w:sz w:val="20"/>
                <w:szCs w:val="20"/>
                <w:color w:val="auto"/>
              </w:rPr>
            </w:pPr>
            <w:r>
              <w:rPr>
                <w:rFonts w:ascii="Arial" w:cs="Arial" w:eastAsia="Arial" w:hAnsi="Arial"/>
                <w:sz w:val="18"/>
                <w:szCs w:val="18"/>
                <w:b w:val="1"/>
                <w:bCs w:val="1"/>
                <w:color w:val="auto"/>
              </w:rPr>
              <w:t>Liabilities and Equity</w:t>
            </w:r>
          </w:p>
        </w:tc>
        <w:tc>
          <w:tcPr>
            <w:tcW w:w="240" w:type="dxa"/>
            <w:vAlign w:val="bottom"/>
            <w:shd w:val="clear" w:color="auto" w:fill="EAF9E8"/>
          </w:tcPr>
          <w:p>
            <w:pPr>
              <w:spacing w:after="0"/>
              <w:rPr>
                <w:sz w:val="18"/>
                <w:szCs w:val="18"/>
                <w:color w:val="auto"/>
              </w:rPr>
            </w:pPr>
          </w:p>
        </w:tc>
        <w:tc>
          <w:tcPr>
            <w:tcW w:w="1600" w:type="dxa"/>
            <w:vAlign w:val="bottom"/>
            <w:shd w:val="clear" w:color="auto" w:fill="EAF9E8"/>
          </w:tcPr>
          <w:p>
            <w:pPr>
              <w:spacing w:after="0"/>
              <w:rPr>
                <w:sz w:val="18"/>
                <w:szCs w:val="18"/>
                <w:color w:val="auto"/>
              </w:rPr>
            </w:pPr>
          </w:p>
        </w:tc>
        <w:tc>
          <w:tcPr>
            <w:tcW w:w="40" w:type="dxa"/>
            <w:vAlign w:val="bottom"/>
            <w:shd w:val="clear" w:color="auto" w:fill="EAF9E8"/>
          </w:tcPr>
          <w:p>
            <w:pPr>
              <w:spacing w:after="0"/>
              <w:rPr>
                <w:sz w:val="18"/>
                <w:szCs w:val="18"/>
                <w:color w:val="auto"/>
              </w:rPr>
            </w:pPr>
          </w:p>
        </w:tc>
        <w:tc>
          <w:tcPr>
            <w:tcW w:w="30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68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140"/>
              <w:spacing w:after="0"/>
              <w:rPr>
                <w:sz w:val="20"/>
                <w:szCs w:val="20"/>
                <w:color w:val="auto"/>
              </w:rPr>
            </w:pPr>
            <w:r>
              <w:rPr>
                <w:rFonts w:ascii="Arial" w:cs="Arial" w:eastAsia="Arial" w:hAnsi="Arial"/>
                <w:sz w:val="18"/>
                <w:szCs w:val="18"/>
                <w:b w:val="1"/>
                <w:bCs w:val="1"/>
                <w:color w:val="auto"/>
              </w:rPr>
              <w:t>Liabilities</w:t>
            </w:r>
          </w:p>
        </w:tc>
        <w:tc>
          <w:tcPr>
            <w:tcW w:w="2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EAF9E8"/>
          </w:tcPr>
          <w:p>
            <w:pPr>
              <w:ind w:left="300"/>
              <w:spacing w:after="0"/>
              <w:rPr>
                <w:sz w:val="20"/>
                <w:szCs w:val="20"/>
                <w:color w:val="auto"/>
              </w:rPr>
            </w:pPr>
            <w:r>
              <w:rPr>
                <w:rFonts w:ascii="Arial" w:cs="Arial" w:eastAsia="Arial" w:hAnsi="Arial"/>
                <w:sz w:val="18"/>
                <w:szCs w:val="18"/>
                <w:color w:val="auto"/>
              </w:rPr>
              <w:t>Match funded liabilities</w:t>
            </w:r>
          </w:p>
        </w:tc>
        <w:tc>
          <w:tcPr>
            <w:tcW w:w="240" w:type="dxa"/>
            <w:vAlign w:val="bottom"/>
            <w:shd w:val="clear" w:color="auto" w:fill="EAF9E8"/>
          </w:tcPr>
          <w:p>
            <w:pPr>
              <w:jc w:val="right"/>
              <w:ind w:right="52"/>
              <w:spacing w:after="0"/>
              <w:rPr>
                <w:sz w:val="20"/>
                <w:szCs w:val="20"/>
                <w:color w:val="auto"/>
              </w:rPr>
            </w:pPr>
            <w:r>
              <w:rPr>
                <w:rFonts w:ascii="Arial" w:cs="Arial" w:eastAsia="Arial" w:hAnsi="Arial"/>
                <w:sz w:val="18"/>
                <w:szCs w:val="18"/>
                <w:color w:val="auto"/>
                <w:w w:val="79"/>
              </w:rPr>
              <w:t>$</w:t>
            </w:r>
          </w:p>
        </w:tc>
        <w:tc>
          <w:tcPr>
            <w:tcW w:w="16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790,300</w:t>
            </w:r>
          </w:p>
        </w:tc>
        <w:tc>
          <w:tcPr>
            <w:tcW w:w="40" w:type="dxa"/>
            <w:vAlign w:val="bottom"/>
            <w:shd w:val="clear" w:color="auto" w:fill="EAF9E8"/>
          </w:tcPr>
          <w:p>
            <w:pPr>
              <w:spacing w:after="0"/>
              <w:rPr>
                <w:sz w:val="18"/>
                <w:szCs w:val="18"/>
                <w:color w:val="auto"/>
              </w:rPr>
            </w:pPr>
          </w:p>
        </w:tc>
        <w:tc>
          <w:tcPr>
            <w:tcW w:w="460" w:type="dxa"/>
            <w:vAlign w:val="bottom"/>
            <w:gridSpan w:val="2"/>
            <w:shd w:val="clear" w:color="auto" w:fill="EAF9E8"/>
          </w:tcPr>
          <w:p>
            <w:pPr>
              <w:jc w:val="right"/>
              <w:ind w:right="3"/>
              <w:spacing w:after="0"/>
              <w:rPr>
                <w:sz w:val="20"/>
                <w:szCs w:val="20"/>
                <w:color w:val="auto"/>
              </w:rPr>
            </w:pPr>
            <w:r>
              <w:rPr>
                <w:rFonts w:ascii="Arial" w:cs="Arial" w:eastAsia="Arial" w:hAnsi="Arial"/>
                <w:sz w:val="18"/>
                <w:szCs w:val="18"/>
                <w:color w:val="auto"/>
              </w:rPr>
              <w:t>$</w:t>
            </w:r>
          </w:p>
        </w:tc>
        <w:tc>
          <w:tcPr>
            <w:tcW w:w="16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961,939</w:t>
            </w:r>
          </w:p>
        </w:tc>
        <w:tc>
          <w:tcPr>
            <w:tcW w:w="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300"/>
              <w:spacing w:after="0"/>
              <w:rPr>
                <w:sz w:val="20"/>
                <w:szCs w:val="20"/>
                <w:color w:val="auto"/>
              </w:rPr>
            </w:pPr>
            <w:r>
              <w:rPr>
                <w:rFonts w:ascii="Arial" w:cs="Arial" w:eastAsia="Arial" w:hAnsi="Arial"/>
                <w:sz w:val="18"/>
                <w:szCs w:val="18"/>
                <w:color w:val="auto"/>
              </w:rPr>
              <w:t>Lines of credit and other secured borrowings</w:t>
            </w: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144,065</w:t>
            </w: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116,870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EAF9E8"/>
          </w:tcPr>
          <w:p>
            <w:pPr>
              <w:ind w:left="300"/>
              <w:spacing w:after="0"/>
              <w:rPr>
                <w:sz w:val="20"/>
                <w:szCs w:val="20"/>
                <w:color w:val="auto"/>
              </w:rPr>
            </w:pPr>
            <w:r>
              <w:rPr>
                <w:rFonts w:ascii="Arial" w:cs="Arial" w:eastAsia="Arial" w:hAnsi="Arial"/>
                <w:sz w:val="18"/>
                <w:szCs w:val="18"/>
                <w:color w:val="auto"/>
              </w:rPr>
              <w:t>Investment line</w:t>
            </w:r>
          </w:p>
        </w:tc>
        <w:tc>
          <w:tcPr>
            <w:tcW w:w="240" w:type="dxa"/>
            <w:vAlign w:val="bottom"/>
            <w:shd w:val="clear" w:color="auto" w:fill="EAF9E8"/>
          </w:tcPr>
          <w:p>
            <w:pPr>
              <w:spacing w:after="0"/>
              <w:rPr>
                <w:sz w:val="18"/>
                <w:szCs w:val="18"/>
                <w:color w:val="auto"/>
              </w:rPr>
            </w:pPr>
          </w:p>
        </w:tc>
        <w:tc>
          <w:tcPr>
            <w:tcW w:w="16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186,568</w:t>
            </w:r>
          </w:p>
        </w:tc>
        <w:tc>
          <w:tcPr>
            <w:tcW w:w="40" w:type="dxa"/>
            <w:vAlign w:val="bottom"/>
            <w:shd w:val="clear" w:color="auto" w:fill="EAF9E8"/>
          </w:tcPr>
          <w:p>
            <w:pPr>
              <w:spacing w:after="0"/>
              <w:rPr>
                <w:sz w:val="18"/>
                <w:szCs w:val="18"/>
                <w:color w:val="auto"/>
              </w:rPr>
            </w:pPr>
          </w:p>
        </w:tc>
        <w:tc>
          <w:tcPr>
            <w:tcW w:w="30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6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200,719</w:t>
            </w:r>
          </w:p>
        </w:tc>
        <w:tc>
          <w:tcPr>
            <w:tcW w:w="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300"/>
              <w:spacing w:after="0"/>
              <w:rPr>
                <w:sz w:val="20"/>
                <w:szCs w:val="20"/>
                <w:color w:val="auto"/>
              </w:rPr>
            </w:pPr>
            <w:r>
              <w:rPr>
                <w:rFonts w:ascii="Arial" w:cs="Arial" w:eastAsia="Arial" w:hAnsi="Arial"/>
                <w:sz w:val="18"/>
                <w:szCs w:val="18"/>
                <w:color w:val="auto"/>
              </w:rPr>
              <w:t>Servicer liabilities</w:t>
            </w: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90,365</w:t>
            </w: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135,751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EAF9E8"/>
          </w:tcPr>
          <w:p>
            <w:pPr>
              <w:ind w:left="300"/>
              <w:spacing w:after="0"/>
              <w:rPr>
                <w:sz w:val="20"/>
                <w:szCs w:val="20"/>
                <w:color w:val="auto"/>
              </w:rPr>
            </w:pPr>
            <w:r>
              <w:rPr>
                <w:rFonts w:ascii="Arial" w:cs="Arial" w:eastAsia="Arial" w:hAnsi="Arial"/>
                <w:sz w:val="18"/>
                <w:szCs w:val="18"/>
                <w:color w:val="auto"/>
              </w:rPr>
              <w:t>Debt securities</w:t>
            </w:r>
          </w:p>
        </w:tc>
        <w:tc>
          <w:tcPr>
            <w:tcW w:w="240" w:type="dxa"/>
            <w:vAlign w:val="bottom"/>
            <w:shd w:val="clear" w:color="auto" w:fill="EAF9E8"/>
          </w:tcPr>
          <w:p>
            <w:pPr>
              <w:spacing w:after="0"/>
              <w:rPr>
                <w:sz w:val="18"/>
                <w:szCs w:val="18"/>
                <w:color w:val="auto"/>
              </w:rPr>
            </w:pPr>
          </w:p>
        </w:tc>
        <w:tc>
          <w:tcPr>
            <w:tcW w:w="16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108,843</w:t>
            </w:r>
          </w:p>
        </w:tc>
        <w:tc>
          <w:tcPr>
            <w:tcW w:w="40" w:type="dxa"/>
            <w:vAlign w:val="bottom"/>
            <w:shd w:val="clear" w:color="auto" w:fill="EAF9E8"/>
          </w:tcPr>
          <w:p>
            <w:pPr>
              <w:spacing w:after="0"/>
              <w:rPr>
                <w:sz w:val="18"/>
                <w:szCs w:val="18"/>
                <w:color w:val="auto"/>
              </w:rPr>
            </w:pPr>
          </w:p>
        </w:tc>
        <w:tc>
          <w:tcPr>
            <w:tcW w:w="30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6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133,367</w:t>
            </w:r>
          </w:p>
        </w:tc>
        <w:tc>
          <w:tcPr>
            <w:tcW w:w="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260" w:type="dxa"/>
            <w:vAlign w:val="bottom"/>
          </w:tcPr>
          <w:p>
            <w:pPr>
              <w:ind w:left="300"/>
              <w:spacing w:after="0"/>
              <w:rPr>
                <w:sz w:val="20"/>
                <w:szCs w:val="20"/>
                <w:color w:val="auto"/>
              </w:rPr>
            </w:pPr>
            <w:r>
              <w:rPr>
                <w:rFonts w:ascii="Arial" w:cs="Arial" w:eastAsia="Arial" w:hAnsi="Arial"/>
                <w:sz w:val="18"/>
                <w:szCs w:val="18"/>
                <w:color w:val="auto"/>
              </w:rPr>
              <w:t>Other liabilities</w:t>
            </w:r>
          </w:p>
        </w:tc>
        <w:tc>
          <w:tcPr>
            <w:tcW w:w="2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82,697</w:t>
            </w: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78,813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2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60" w:type="dxa"/>
            <w:vAlign w:val="bottom"/>
            <w:shd w:val="clear" w:color="auto" w:fill="EAF9E8"/>
          </w:tcPr>
          <w:p>
            <w:pPr>
              <w:ind w:left="460"/>
              <w:spacing w:after="0"/>
              <w:rPr>
                <w:sz w:val="20"/>
                <w:szCs w:val="20"/>
                <w:color w:val="auto"/>
              </w:rPr>
            </w:pPr>
            <w:r>
              <w:rPr>
                <w:rFonts w:ascii="Arial" w:cs="Arial" w:eastAsia="Arial" w:hAnsi="Arial"/>
                <w:sz w:val="18"/>
                <w:szCs w:val="18"/>
                <w:color w:val="auto"/>
              </w:rPr>
              <w:t>Total liabilities</w:t>
            </w:r>
          </w:p>
        </w:tc>
        <w:tc>
          <w:tcPr>
            <w:tcW w:w="240" w:type="dxa"/>
            <w:vAlign w:val="bottom"/>
            <w:shd w:val="clear" w:color="auto" w:fill="EAF9E8"/>
          </w:tcPr>
          <w:p>
            <w:pPr>
              <w:spacing w:after="0"/>
              <w:rPr>
                <w:sz w:val="18"/>
                <w:szCs w:val="18"/>
                <w:color w:val="auto"/>
              </w:rPr>
            </w:pPr>
          </w:p>
        </w:tc>
        <w:tc>
          <w:tcPr>
            <w:tcW w:w="16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1,402,838</w:t>
            </w:r>
          </w:p>
        </w:tc>
        <w:tc>
          <w:tcPr>
            <w:tcW w:w="40" w:type="dxa"/>
            <w:vAlign w:val="bottom"/>
            <w:shd w:val="clear" w:color="auto" w:fill="EAF9E8"/>
          </w:tcPr>
          <w:p>
            <w:pPr>
              <w:spacing w:after="0"/>
              <w:rPr>
                <w:sz w:val="18"/>
                <w:szCs w:val="18"/>
                <w:color w:val="auto"/>
              </w:rPr>
            </w:pPr>
          </w:p>
        </w:tc>
        <w:tc>
          <w:tcPr>
            <w:tcW w:w="30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6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1,627,459</w:t>
            </w:r>
          </w:p>
        </w:tc>
        <w:tc>
          <w:tcPr>
            <w:tcW w:w="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260" w:type="dxa"/>
            <w:vAlign w:val="bottom"/>
            <w:vMerge w:val="restart"/>
          </w:tcPr>
          <w:p>
            <w:pPr>
              <w:ind w:left="140"/>
              <w:spacing w:after="0"/>
              <w:rPr>
                <w:sz w:val="20"/>
                <w:szCs w:val="20"/>
                <w:color w:val="auto"/>
              </w:rPr>
            </w:pPr>
            <w:r>
              <w:rPr>
                <w:rFonts w:ascii="Arial" w:cs="Arial" w:eastAsia="Arial" w:hAnsi="Arial"/>
                <w:sz w:val="18"/>
                <w:szCs w:val="18"/>
                <w:b w:val="1"/>
                <w:bCs w:val="1"/>
                <w:color w:val="auto"/>
              </w:rPr>
              <w:t>Commitments and Contingencies (Note 20)</w:t>
            </w:r>
          </w:p>
        </w:tc>
        <w:tc>
          <w:tcPr>
            <w:tcW w:w="24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56"/>
        </w:trPr>
        <w:tc>
          <w:tcPr>
            <w:tcW w:w="20" w:type="dxa"/>
            <w:vAlign w:val="bottom"/>
          </w:tcPr>
          <w:p>
            <w:pPr>
              <w:spacing w:after="0"/>
              <w:rPr>
                <w:sz w:val="24"/>
                <w:szCs w:val="24"/>
                <w:color w:val="auto"/>
              </w:rPr>
            </w:pPr>
          </w:p>
        </w:tc>
        <w:tc>
          <w:tcPr>
            <w:tcW w:w="726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7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EAF9E8"/>
          </w:tcPr>
          <w:p>
            <w:pPr>
              <w:ind w:left="140"/>
              <w:spacing w:after="0"/>
              <w:rPr>
                <w:sz w:val="20"/>
                <w:szCs w:val="20"/>
                <w:color w:val="auto"/>
              </w:rPr>
            </w:pPr>
            <w:r>
              <w:rPr>
                <w:rFonts w:ascii="Arial" w:cs="Arial" w:eastAsia="Arial" w:hAnsi="Arial"/>
                <w:sz w:val="18"/>
                <w:szCs w:val="18"/>
                <w:b w:val="1"/>
                <w:bCs w:val="1"/>
                <w:color w:val="auto"/>
              </w:rPr>
              <w:t>Equity</w:t>
            </w:r>
          </w:p>
        </w:tc>
        <w:tc>
          <w:tcPr>
            <w:tcW w:w="240" w:type="dxa"/>
            <w:vAlign w:val="bottom"/>
            <w:shd w:val="clear" w:color="auto" w:fill="EAF9E8"/>
          </w:tcPr>
          <w:p>
            <w:pPr>
              <w:spacing w:after="0"/>
              <w:rPr>
                <w:sz w:val="18"/>
                <w:szCs w:val="18"/>
                <w:color w:val="auto"/>
              </w:rPr>
            </w:pPr>
          </w:p>
        </w:tc>
        <w:tc>
          <w:tcPr>
            <w:tcW w:w="1600" w:type="dxa"/>
            <w:vAlign w:val="bottom"/>
            <w:shd w:val="clear" w:color="auto" w:fill="EAF9E8"/>
          </w:tcPr>
          <w:p>
            <w:pPr>
              <w:spacing w:after="0"/>
              <w:rPr>
                <w:sz w:val="18"/>
                <w:szCs w:val="18"/>
                <w:color w:val="auto"/>
              </w:rPr>
            </w:pPr>
          </w:p>
        </w:tc>
        <w:tc>
          <w:tcPr>
            <w:tcW w:w="40" w:type="dxa"/>
            <w:vAlign w:val="bottom"/>
            <w:shd w:val="clear" w:color="auto" w:fill="EAF9E8"/>
          </w:tcPr>
          <w:p>
            <w:pPr>
              <w:spacing w:after="0"/>
              <w:rPr>
                <w:sz w:val="18"/>
                <w:szCs w:val="18"/>
                <w:color w:val="auto"/>
              </w:rPr>
            </w:pPr>
          </w:p>
        </w:tc>
        <w:tc>
          <w:tcPr>
            <w:tcW w:w="30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68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300"/>
              <w:spacing w:after="0"/>
              <w:rPr>
                <w:sz w:val="20"/>
                <w:szCs w:val="20"/>
                <w:color w:val="auto"/>
              </w:rPr>
            </w:pPr>
            <w:r>
              <w:rPr>
                <w:rFonts w:ascii="Arial" w:cs="Arial" w:eastAsia="Arial" w:hAnsi="Arial"/>
                <w:sz w:val="18"/>
                <w:szCs w:val="18"/>
                <w:color w:val="auto"/>
              </w:rPr>
              <w:t>Ocwen Financial Corporation stockholders’ equity</w:t>
            </w:r>
          </w:p>
        </w:tc>
        <w:tc>
          <w:tcPr>
            <w:tcW w:w="2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260" w:type="dxa"/>
            <w:vAlign w:val="bottom"/>
            <w:shd w:val="clear" w:color="auto" w:fill="EAF9E8"/>
          </w:tcPr>
          <w:p>
            <w:pPr>
              <w:ind w:left="460"/>
              <w:spacing w:after="0"/>
              <w:rPr>
                <w:sz w:val="20"/>
                <w:szCs w:val="20"/>
                <w:color w:val="auto"/>
              </w:rPr>
            </w:pPr>
            <w:r>
              <w:rPr>
                <w:rFonts w:ascii="Arial" w:cs="Arial" w:eastAsia="Arial" w:hAnsi="Arial"/>
                <w:sz w:val="18"/>
                <w:szCs w:val="18"/>
                <w:color w:val="auto"/>
                <w:w w:val="92"/>
              </w:rPr>
              <w:t>Common stock, $.01 par value; 200,000,000 shares authorized; 62,963,498 and 62,716,530</w:t>
            </w:r>
          </w:p>
        </w:tc>
        <w:tc>
          <w:tcPr>
            <w:tcW w:w="240" w:type="dxa"/>
            <w:vAlign w:val="bottom"/>
            <w:shd w:val="clear" w:color="auto" w:fill="EAF9E8"/>
          </w:tcPr>
          <w:p>
            <w:pPr>
              <w:spacing w:after="0"/>
              <w:rPr>
                <w:sz w:val="18"/>
                <w:szCs w:val="18"/>
                <w:color w:val="auto"/>
              </w:rPr>
            </w:pPr>
          </w:p>
        </w:tc>
        <w:tc>
          <w:tcPr>
            <w:tcW w:w="1600" w:type="dxa"/>
            <w:vAlign w:val="bottom"/>
            <w:shd w:val="clear" w:color="auto" w:fill="EAF9E8"/>
          </w:tcPr>
          <w:p>
            <w:pPr>
              <w:spacing w:after="0"/>
              <w:rPr>
                <w:sz w:val="18"/>
                <w:szCs w:val="18"/>
                <w:color w:val="auto"/>
              </w:rPr>
            </w:pPr>
          </w:p>
        </w:tc>
        <w:tc>
          <w:tcPr>
            <w:tcW w:w="40" w:type="dxa"/>
            <w:vAlign w:val="bottom"/>
            <w:shd w:val="clear" w:color="auto" w:fill="EAF9E8"/>
          </w:tcPr>
          <w:p>
            <w:pPr>
              <w:spacing w:after="0"/>
              <w:rPr>
                <w:sz w:val="18"/>
                <w:szCs w:val="18"/>
                <w:color w:val="auto"/>
              </w:rPr>
            </w:pPr>
          </w:p>
        </w:tc>
        <w:tc>
          <w:tcPr>
            <w:tcW w:w="30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68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260" w:type="dxa"/>
            <w:vAlign w:val="bottom"/>
            <w:shd w:val="clear" w:color="auto" w:fill="EAF9E8"/>
          </w:tcPr>
          <w:p>
            <w:pPr>
              <w:ind w:left="620"/>
              <w:spacing w:after="0"/>
              <w:rPr>
                <w:sz w:val="20"/>
                <w:szCs w:val="20"/>
                <w:color w:val="auto"/>
              </w:rPr>
            </w:pPr>
            <w:r>
              <w:rPr>
                <w:rFonts w:ascii="Arial" w:cs="Arial" w:eastAsia="Arial" w:hAnsi="Arial"/>
                <w:sz w:val="18"/>
                <w:szCs w:val="18"/>
                <w:color w:val="auto"/>
                <w:w w:val="94"/>
              </w:rPr>
              <w:t>shares issued and outstanding at March 31, 2009 and December 31, 2008, respectively</w:t>
            </w:r>
          </w:p>
        </w:tc>
        <w:tc>
          <w:tcPr>
            <w:tcW w:w="240" w:type="dxa"/>
            <w:vAlign w:val="bottom"/>
            <w:shd w:val="clear" w:color="auto" w:fill="EAF9E8"/>
          </w:tcPr>
          <w:p>
            <w:pPr>
              <w:spacing w:after="0"/>
              <w:rPr>
                <w:sz w:val="19"/>
                <w:szCs w:val="19"/>
                <w:color w:val="auto"/>
              </w:rPr>
            </w:pPr>
          </w:p>
        </w:tc>
        <w:tc>
          <w:tcPr>
            <w:tcW w:w="16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630</w:t>
            </w:r>
          </w:p>
        </w:tc>
        <w:tc>
          <w:tcPr>
            <w:tcW w:w="40" w:type="dxa"/>
            <w:vAlign w:val="bottom"/>
            <w:shd w:val="clear" w:color="auto" w:fill="EAF9E8"/>
          </w:tcPr>
          <w:p>
            <w:pPr>
              <w:spacing w:after="0"/>
              <w:rPr>
                <w:sz w:val="19"/>
                <w:szCs w:val="19"/>
                <w:color w:val="auto"/>
              </w:rPr>
            </w:pPr>
          </w:p>
        </w:tc>
        <w:tc>
          <w:tcPr>
            <w:tcW w:w="300" w:type="dxa"/>
            <w:vAlign w:val="bottom"/>
            <w:shd w:val="clear" w:color="auto" w:fill="EAF9E8"/>
          </w:tcPr>
          <w:p>
            <w:pPr>
              <w:spacing w:after="0"/>
              <w:rPr>
                <w:sz w:val="19"/>
                <w:szCs w:val="19"/>
                <w:color w:val="auto"/>
              </w:rPr>
            </w:pPr>
          </w:p>
        </w:tc>
        <w:tc>
          <w:tcPr>
            <w:tcW w:w="160" w:type="dxa"/>
            <w:vAlign w:val="bottom"/>
            <w:shd w:val="clear" w:color="auto" w:fill="EAF9E8"/>
          </w:tcPr>
          <w:p>
            <w:pPr>
              <w:spacing w:after="0"/>
              <w:rPr>
                <w:sz w:val="19"/>
                <w:szCs w:val="19"/>
                <w:color w:val="auto"/>
              </w:rPr>
            </w:pPr>
          </w:p>
        </w:tc>
        <w:tc>
          <w:tcPr>
            <w:tcW w:w="16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627</w:t>
            </w:r>
          </w:p>
        </w:tc>
        <w:tc>
          <w:tcPr>
            <w:tcW w:w="2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460"/>
              <w:spacing w:after="0"/>
              <w:rPr>
                <w:sz w:val="20"/>
                <w:szCs w:val="20"/>
                <w:color w:val="auto"/>
              </w:rPr>
            </w:pPr>
            <w:r>
              <w:rPr>
                <w:rFonts w:ascii="Arial" w:cs="Arial" w:eastAsia="Arial" w:hAnsi="Arial"/>
                <w:sz w:val="18"/>
                <w:szCs w:val="18"/>
                <w:color w:val="auto"/>
              </w:rPr>
              <w:t>Additional paid-in capital</w:t>
            </w: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205,262</w:t>
            </w: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203,195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EAF9E8"/>
          </w:tcPr>
          <w:p>
            <w:pPr>
              <w:ind w:left="460"/>
              <w:spacing w:after="0"/>
              <w:rPr>
                <w:sz w:val="20"/>
                <w:szCs w:val="20"/>
                <w:color w:val="auto"/>
              </w:rPr>
            </w:pPr>
            <w:r>
              <w:rPr>
                <w:rFonts w:ascii="Arial" w:cs="Arial" w:eastAsia="Arial" w:hAnsi="Arial"/>
                <w:sz w:val="18"/>
                <w:szCs w:val="18"/>
                <w:color w:val="auto"/>
              </w:rPr>
              <w:t>Retained earnings</w:t>
            </w:r>
          </w:p>
        </w:tc>
        <w:tc>
          <w:tcPr>
            <w:tcW w:w="240" w:type="dxa"/>
            <w:vAlign w:val="bottom"/>
            <w:shd w:val="clear" w:color="auto" w:fill="EAF9E8"/>
          </w:tcPr>
          <w:p>
            <w:pPr>
              <w:spacing w:after="0"/>
              <w:rPr>
                <w:sz w:val="18"/>
                <w:szCs w:val="18"/>
                <w:color w:val="auto"/>
              </w:rPr>
            </w:pPr>
          </w:p>
        </w:tc>
        <w:tc>
          <w:tcPr>
            <w:tcW w:w="16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418,646</w:t>
            </w:r>
          </w:p>
        </w:tc>
        <w:tc>
          <w:tcPr>
            <w:tcW w:w="40" w:type="dxa"/>
            <w:vAlign w:val="bottom"/>
            <w:shd w:val="clear" w:color="auto" w:fill="EAF9E8"/>
          </w:tcPr>
          <w:p>
            <w:pPr>
              <w:spacing w:after="0"/>
              <w:rPr>
                <w:sz w:val="18"/>
                <w:szCs w:val="18"/>
                <w:color w:val="auto"/>
              </w:rPr>
            </w:pPr>
          </w:p>
        </w:tc>
        <w:tc>
          <w:tcPr>
            <w:tcW w:w="30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6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403,537</w:t>
            </w:r>
          </w:p>
        </w:tc>
        <w:tc>
          <w:tcPr>
            <w:tcW w:w="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260" w:type="dxa"/>
            <w:vAlign w:val="bottom"/>
          </w:tcPr>
          <w:p>
            <w:pPr>
              <w:ind w:left="460"/>
              <w:spacing w:after="0"/>
              <w:rPr>
                <w:sz w:val="20"/>
                <w:szCs w:val="20"/>
                <w:color w:val="auto"/>
              </w:rPr>
            </w:pPr>
            <w:r>
              <w:rPr>
                <w:rFonts w:ascii="Arial" w:cs="Arial" w:eastAsia="Arial" w:hAnsi="Arial"/>
                <w:sz w:val="18"/>
                <w:szCs w:val="18"/>
                <w:color w:val="auto"/>
              </w:rPr>
              <w:t>Accumulated other comprehensive income, net of income taxes</w:t>
            </w:r>
          </w:p>
        </w:tc>
        <w:tc>
          <w:tcPr>
            <w:tcW w:w="2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1,836</w:t>
            </w: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1,876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2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60" w:type="dxa"/>
            <w:vAlign w:val="bottom"/>
            <w:shd w:val="clear" w:color="auto" w:fill="EAF9E8"/>
          </w:tcPr>
          <w:p>
            <w:pPr>
              <w:ind w:left="620"/>
              <w:spacing w:after="0"/>
              <w:rPr>
                <w:sz w:val="20"/>
                <w:szCs w:val="20"/>
                <w:color w:val="auto"/>
              </w:rPr>
            </w:pPr>
            <w:r>
              <w:rPr>
                <w:rFonts w:ascii="Arial" w:cs="Arial" w:eastAsia="Arial" w:hAnsi="Arial"/>
                <w:sz w:val="18"/>
                <w:szCs w:val="18"/>
                <w:color w:val="auto"/>
              </w:rPr>
              <w:t>Total Ocwen Financial Corporation stockholders’ equity</w:t>
            </w:r>
          </w:p>
        </w:tc>
        <w:tc>
          <w:tcPr>
            <w:tcW w:w="240" w:type="dxa"/>
            <w:vAlign w:val="bottom"/>
            <w:shd w:val="clear" w:color="auto" w:fill="EAF9E8"/>
          </w:tcPr>
          <w:p>
            <w:pPr>
              <w:spacing w:after="0"/>
              <w:rPr>
                <w:sz w:val="18"/>
                <w:szCs w:val="18"/>
                <w:color w:val="auto"/>
              </w:rPr>
            </w:pPr>
          </w:p>
        </w:tc>
        <w:tc>
          <w:tcPr>
            <w:tcW w:w="16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626,374</w:t>
            </w:r>
          </w:p>
        </w:tc>
        <w:tc>
          <w:tcPr>
            <w:tcW w:w="40" w:type="dxa"/>
            <w:vAlign w:val="bottom"/>
            <w:shd w:val="clear" w:color="auto" w:fill="EAF9E8"/>
          </w:tcPr>
          <w:p>
            <w:pPr>
              <w:spacing w:after="0"/>
              <w:rPr>
                <w:sz w:val="18"/>
                <w:szCs w:val="18"/>
                <w:color w:val="auto"/>
              </w:rPr>
            </w:pPr>
          </w:p>
        </w:tc>
        <w:tc>
          <w:tcPr>
            <w:tcW w:w="30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6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609,235</w:t>
            </w:r>
          </w:p>
        </w:tc>
        <w:tc>
          <w:tcPr>
            <w:tcW w:w="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260" w:type="dxa"/>
            <w:vAlign w:val="bottom"/>
          </w:tcPr>
          <w:p>
            <w:pPr>
              <w:ind w:left="300"/>
              <w:spacing w:after="0"/>
              <w:rPr>
                <w:sz w:val="20"/>
                <w:szCs w:val="20"/>
                <w:color w:val="auto"/>
              </w:rPr>
            </w:pPr>
            <w:r>
              <w:rPr>
                <w:rFonts w:ascii="Arial" w:cs="Arial" w:eastAsia="Arial" w:hAnsi="Arial"/>
                <w:sz w:val="18"/>
                <w:szCs w:val="18"/>
                <w:color w:val="auto"/>
              </w:rPr>
              <w:t>Minority interest in subsidiaries</w:t>
            </w:r>
          </w:p>
        </w:tc>
        <w:tc>
          <w:tcPr>
            <w:tcW w:w="2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304</w:t>
            </w: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406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2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60" w:type="dxa"/>
            <w:vAlign w:val="bottom"/>
            <w:shd w:val="clear" w:color="auto" w:fill="EAF9E8"/>
          </w:tcPr>
          <w:p>
            <w:pPr>
              <w:ind w:left="460"/>
              <w:spacing w:after="0"/>
              <w:rPr>
                <w:sz w:val="20"/>
                <w:szCs w:val="20"/>
                <w:color w:val="auto"/>
              </w:rPr>
            </w:pPr>
            <w:r>
              <w:rPr>
                <w:rFonts w:ascii="Arial" w:cs="Arial" w:eastAsia="Arial" w:hAnsi="Arial"/>
                <w:sz w:val="18"/>
                <w:szCs w:val="18"/>
                <w:color w:val="auto"/>
              </w:rPr>
              <w:t>Total equity</w:t>
            </w:r>
          </w:p>
        </w:tc>
        <w:tc>
          <w:tcPr>
            <w:tcW w:w="240" w:type="dxa"/>
            <w:vAlign w:val="bottom"/>
            <w:shd w:val="clear" w:color="auto" w:fill="EAF9E8"/>
          </w:tcPr>
          <w:p>
            <w:pPr>
              <w:spacing w:after="0"/>
              <w:rPr>
                <w:sz w:val="18"/>
                <w:szCs w:val="18"/>
                <w:color w:val="auto"/>
              </w:rPr>
            </w:pPr>
          </w:p>
        </w:tc>
        <w:tc>
          <w:tcPr>
            <w:tcW w:w="16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626,678</w:t>
            </w:r>
          </w:p>
        </w:tc>
        <w:tc>
          <w:tcPr>
            <w:tcW w:w="40" w:type="dxa"/>
            <w:vAlign w:val="bottom"/>
            <w:shd w:val="clear" w:color="auto" w:fill="EAF9E8"/>
          </w:tcPr>
          <w:p>
            <w:pPr>
              <w:spacing w:after="0"/>
              <w:rPr>
                <w:sz w:val="18"/>
                <w:szCs w:val="18"/>
                <w:color w:val="auto"/>
              </w:rPr>
            </w:pPr>
          </w:p>
        </w:tc>
        <w:tc>
          <w:tcPr>
            <w:tcW w:w="30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6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609,641</w:t>
            </w:r>
          </w:p>
        </w:tc>
        <w:tc>
          <w:tcPr>
            <w:tcW w:w="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260" w:type="dxa"/>
            <w:vAlign w:val="bottom"/>
            <w:vMerge w:val="restart"/>
          </w:tcPr>
          <w:p>
            <w:pPr>
              <w:ind w:left="620"/>
              <w:spacing w:after="0"/>
              <w:rPr>
                <w:sz w:val="20"/>
                <w:szCs w:val="20"/>
                <w:color w:val="auto"/>
              </w:rPr>
            </w:pPr>
            <w:r>
              <w:rPr>
                <w:rFonts w:ascii="Arial" w:cs="Arial" w:eastAsia="Arial" w:hAnsi="Arial"/>
                <w:sz w:val="18"/>
                <w:szCs w:val="18"/>
                <w:color w:val="auto"/>
              </w:rPr>
              <w:t>Total liabilities and equity</w:t>
            </w:r>
          </w:p>
        </w:tc>
        <w:tc>
          <w:tcPr>
            <w:tcW w:w="24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60" w:type="dxa"/>
            <w:vAlign w:val="bottom"/>
            <w:gridSpan w:val="2"/>
          </w:tcPr>
          <w:p>
            <w:pPr>
              <w:spacing w:after="0"/>
              <w:rPr>
                <w:sz w:val="21"/>
                <w:szCs w:val="21"/>
                <w:color w:val="auto"/>
              </w:rPr>
            </w:pPr>
          </w:p>
        </w:tc>
        <w:tc>
          <w:tcPr>
            <w:tcW w:w="1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vMerge w:val="continue"/>
          </w:tcPr>
          <w:p>
            <w:pPr>
              <w:spacing w:after="0"/>
              <w:rPr>
                <w:sz w:val="18"/>
                <w:szCs w:val="18"/>
                <w:color w:val="auto"/>
              </w:rPr>
            </w:pPr>
          </w:p>
        </w:tc>
        <w:tc>
          <w:tcPr>
            <w:tcW w:w="24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w w:val="79"/>
              </w:rPr>
              <w:t>$</w:t>
            </w: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2,029,516</w:t>
            </w: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Borders>
              <w:top w:val="single" w:sz="8" w:color="auto"/>
            </w:tcBorders>
          </w:tcPr>
          <w:p>
            <w:pPr>
              <w:jc w:val="right"/>
              <w:ind w:right="3"/>
              <w:spacing w:after="0"/>
              <w:rPr>
                <w:sz w:val="20"/>
                <w:szCs w:val="20"/>
                <w:color w:val="auto"/>
              </w:rPr>
            </w:pPr>
            <w:r>
              <w:rPr>
                <w:rFonts w:ascii="Arial" w:cs="Arial" w:eastAsia="Arial" w:hAnsi="Arial"/>
                <w:sz w:val="15"/>
                <w:szCs w:val="15"/>
                <w:color w:val="auto"/>
                <w:w w:val="71"/>
              </w:rPr>
              <w:t>$</w:t>
            </w:r>
          </w:p>
        </w:tc>
        <w:tc>
          <w:tcPr>
            <w:tcW w:w="1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2,237,100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4627245</wp:posOffset>
            </wp:positionH>
            <wp:positionV relativeFrom="paragraph">
              <wp:posOffset>150495</wp:posOffset>
            </wp:positionV>
            <wp:extent cx="2546985"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546985" cy="26035"/>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ectPr>
          <w:pgSz w:w="11900" w:h="16838" w:orient="portrait"/>
          <w:cols w:equalWidth="0" w:num="1">
            <w:col w:w="11420"/>
          </w:cols>
          <w:pgMar w:left="240" w:top="125" w:right="239" w:bottom="1440" w:gutter="0" w:footer="0" w:header="0"/>
        </w:sect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175260</wp:posOffset>
            </wp:positionV>
            <wp:extent cx="7267575"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OCWEN FINANCIAL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7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760" w:type="dxa"/>
            <w:vAlign w:val="bottom"/>
            <w:gridSpan w:val="6"/>
          </w:tcPr>
          <w:p>
            <w:pPr>
              <w:jc w:val="right"/>
              <w:ind w:right="780"/>
              <w:spacing w:after="0"/>
              <w:rPr>
                <w:sz w:val="20"/>
                <w:szCs w:val="20"/>
                <w:color w:val="auto"/>
              </w:rPr>
            </w:pPr>
            <w:r>
              <w:rPr>
                <w:rFonts w:ascii="Arial" w:cs="Arial" w:eastAsia="Arial" w:hAnsi="Arial"/>
                <w:sz w:val="18"/>
                <w:szCs w:val="18"/>
                <w:color w:val="auto"/>
                <w:w w:val="96"/>
              </w:rPr>
              <w:t>For the three months ended March 31,</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26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60" w:type="dxa"/>
            <w:vAlign w:val="bottom"/>
          </w:tcPr>
          <w:p>
            <w:pPr>
              <w:jc w:val="right"/>
              <w:ind w:right="652"/>
              <w:spacing w:after="0"/>
              <w:rPr>
                <w:sz w:val="20"/>
                <w:szCs w:val="20"/>
                <w:color w:val="auto"/>
              </w:rPr>
            </w:pPr>
            <w:r>
              <w:rPr>
                <w:rFonts w:ascii="Arial" w:cs="Arial" w:eastAsia="Arial" w:hAnsi="Arial"/>
                <w:sz w:val="18"/>
                <w:szCs w:val="18"/>
                <w:color w:val="auto"/>
              </w:rPr>
              <w:t>2009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60" w:type="dxa"/>
            <w:vAlign w:val="bottom"/>
          </w:tcPr>
          <w:p>
            <w:pPr>
              <w:jc w:val="right"/>
              <w:ind w:right="652"/>
              <w:spacing w:after="0"/>
              <w:rPr>
                <w:sz w:val="20"/>
                <w:szCs w:val="20"/>
                <w:color w:val="auto"/>
              </w:rPr>
            </w:pPr>
            <w:r>
              <w:rPr>
                <w:rFonts w:ascii="Arial" w:cs="Arial" w:eastAsia="Arial" w:hAnsi="Arial"/>
                <w:sz w:val="18"/>
                <w:szCs w:val="18"/>
                <w:color w:val="auto"/>
              </w:rPr>
              <w:t>2008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8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jc w:val="right"/>
              <w:ind w:right="292"/>
              <w:spacing w:after="0"/>
              <w:rPr>
                <w:sz w:val="20"/>
                <w:szCs w:val="20"/>
                <w:color w:val="auto"/>
              </w:rPr>
            </w:pPr>
            <w:r>
              <w:rPr>
                <w:rFonts w:ascii="Arial" w:cs="Arial" w:eastAsia="Arial" w:hAnsi="Arial"/>
                <w:sz w:val="18"/>
                <w:szCs w:val="18"/>
                <w:color w:val="auto"/>
              </w:rPr>
              <w:t>(As Adjusted)</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7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60" w:type="dxa"/>
            <w:vAlign w:val="bottom"/>
            <w:shd w:val="clear" w:color="auto" w:fill="EAF9E8"/>
          </w:tcPr>
          <w:p>
            <w:pPr>
              <w:spacing w:after="0"/>
              <w:rPr>
                <w:sz w:val="20"/>
                <w:szCs w:val="20"/>
                <w:color w:val="auto"/>
              </w:rPr>
            </w:pPr>
            <w:r>
              <w:rPr>
                <w:rFonts w:ascii="Arial" w:cs="Arial" w:eastAsia="Arial" w:hAnsi="Arial"/>
                <w:sz w:val="18"/>
                <w:szCs w:val="18"/>
                <w:b w:val="1"/>
                <w:bCs w:val="1"/>
                <w:color w:val="auto"/>
              </w:rPr>
              <w:t>Revenue</w:t>
            </w:r>
          </w:p>
        </w:tc>
        <w:tc>
          <w:tcPr>
            <w:tcW w:w="380" w:type="dxa"/>
            <w:vAlign w:val="bottom"/>
            <w:shd w:val="clear" w:color="auto" w:fill="EAF9E8"/>
          </w:tcPr>
          <w:p>
            <w:pPr>
              <w:spacing w:after="0"/>
              <w:rPr>
                <w:sz w:val="18"/>
                <w:szCs w:val="18"/>
                <w:color w:val="auto"/>
              </w:rPr>
            </w:pPr>
          </w:p>
        </w:tc>
        <w:tc>
          <w:tcPr>
            <w:tcW w:w="146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56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140"/>
              <w:spacing w:after="0"/>
              <w:rPr>
                <w:sz w:val="20"/>
                <w:szCs w:val="20"/>
                <w:color w:val="auto"/>
              </w:rPr>
            </w:pPr>
            <w:r>
              <w:rPr>
                <w:rFonts w:ascii="Arial" w:cs="Arial" w:eastAsia="Arial" w:hAnsi="Arial"/>
                <w:sz w:val="18"/>
                <w:szCs w:val="18"/>
                <w:color w:val="auto"/>
              </w:rPr>
              <w:t>Servicing and subservicing fees</w:t>
            </w:r>
          </w:p>
        </w:tc>
        <w:tc>
          <w:tcPr>
            <w:tcW w:w="380" w:type="dxa"/>
            <w:vAlign w:val="bottom"/>
          </w:tcPr>
          <w:p>
            <w:pPr>
              <w:jc w:val="right"/>
              <w:ind w:right="192"/>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78,810</w:t>
            </w:r>
          </w:p>
        </w:tc>
        <w:tc>
          <w:tcPr>
            <w:tcW w:w="200" w:type="dxa"/>
            <w:vAlign w:val="bottom"/>
          </w:tcPr>
          <w:p>
            <w:pPr>
              <w:spacing w:after="0"/>
              <w:rPr>
                <w:sz w:val="18"/>
                <w:szCs w:val="18"/>
                <w:color w:val="auto"/>
              </w:rPr>
            </w:pPr>
          </w:p>
        </w:tc>
        <w:tc>
          <w:tcPr>
            <w:tcW w:w="420" w:type="dxa"/>
            <w:vAlign w:val="bottom"/>
            <w:gridSpan w:val="2"/>
          </w:tcPr>
          <w:p>
            <w:pPr>
              <w:jc w:val="right"/>
              <w:ind w:right="123"/>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98,214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EAF9E8"/>
          </w:tcPr>
          <w:p>
            <w:pPr>
              <w:ind w:left="140"/>
              <w:spacing w:after="0"/>
              <w:rPr>
                <w:sz w:val="20"/>
                <w:szCs w:val="20"/>
                <w:color w:val="auto"/>
              </w:rPr>
            </w:pPr>
            <w:r>
              <w:rPr>
                <w:rFonts w:ascii="Arial" w:cs="Arial" w:eastAsia="Arial" w:hAnsi="Arial"/>
                <w:sz w:val="18"/>
                <w:szCs w:val="18"/>
                <w:color w:val="auto"/>
              </w:rPr>
              <w:t>Process management fees</w:t>
            </w:r>
          </w:p>
        </w:tc>
        <w:tc>
          <w:tcPr>
            <w:tcW w:w="380" w:type="dxa"/>
            <w:vAlign w:val="bottom"/>
            <w:shd w:val="clear" w:color="auto" w:fill="EAF9E8"/>
          </w:tcPr>
          <w:p>
            <w:pPr>
              <w:spacing w:after="0"/>
              <w:rPr>
                <w:sz w:val="18"/>
                <w:szCs w:val="18"/>
                <w:color w:val="auto"/>
              </w:rPr>
            </w:pPr>
          </w:p>
        </w:tc>
        <w:tc>
          <w:tcPr>
            <w:tcW w:w="14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33,692</w:t>
            </w:r>
          </w:p>
        </w:tc>
        <w:tc>
          <w:tcPr>
            <w:tcW w:w="2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5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26,950</w:t>
            </w:r>
          </w:p>
        </w:tc>
        <w:tc>
          <w:tcPr>
            <w:tcW w:w="12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260" w:type="dxa"/>
            <w:vAlign w:val="bottom"/>
          </w:tcPr>
          <w:p>
            <w:pPr>
              <w:ind w:left="140"/>
              <w:spacing w:after="0"/>
              <w:rPr>
                <w:sz w:val="20"/>
                <w:szCs w:val="20"/>
                <w:color w:val="auto"/>
              </w:rPr>
            </w:pPr>
            <w:r>
              <w:rPr>
                <w:rFonts w:ascii="Arial" w:cs="Arial" w:eastAsia="Arial" w:hAnsi="Arial"/>
                <w:sz w:val="18"/>
                <w:szCs w:val="18"/>
                <w:color w:val="auto"/>
              </w:rPr>
              <w:t>Other revenues</w:t>
            </w:r>
          </w:p>
        </w:tc>
        <w:tc>
          <w:tcPr>
            <w:tcW w:w="3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2,088</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3,087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26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60" w:type="dxa"/>
            <w:vAlign w:val="bottom"/>
            <w:shd w:val="clear" w:color="auto" w:fill="EAF9E8"/>
          </w:tcPr>
          <w:p>
            <w:pPr>
              <w:ind w:left="300"/>
              <w:spacing w:after="0"/>
              <w:rPr>
                <w:sz w:val="20"/>
                <w:szCs w:val="20"/>
                <w:color w:val="auto"/>
              </w:rPr>
            </w:pPr>
            <w:r>
              <w:rPr>
                <w:rFonts w:ascii="Arial" w:cs="Arial" w:eastAsia="Arial" w:hAnsi="Arial"/>
                <w:sz w:val="18"/>
                <w:szCs w:val="18"/>
                <w:color w:val="auto"/>
              </w:rPr>
              <w:t>Total revenue</w:t>
            </w:r>
          </w:p>
        </w:tc>
        <w:tc>
          <w:tcPr>
            <w:tcW w:w="380" w:type="dxa"/>
            <w:vAlign w:val="bottom"/>
            <w:shd w:val="clear" w:color="auto" w:fill="EAF9E8"/>
          </w:tcPr>
          <w:p>
            <w:pPr>
              <w:spacing w:after="0"/>
              <w:rPr>
                <w:sz w:val="18"/>
                <w:szCs w:val="18"/>
                <w:color w:val="auto"/>
              </w:rPr>
            </w:pPr>
          </w:p>
        </w:tc>
        <w:tc>
          <w:tcPr>
            <w:tcW w:w="14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114,590</w:t>
            </w:r>
          </w:p>
        </w:tc>
        <w:tc>
          <w:tcPr>
            <w:tcW w:w="2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5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128,251</w:t>
            </w:r>
          </w:p>
        </w:tc>
        <w:tc>
          <w:tcPr>
            <w:tcW w:w="12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72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Operating expenses</w:t>
            </w:r>
          </w:p>
        </w:tc>
        <w:tc>
          <w:tcPr>
            <w:tcW w:w="38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57"/>
        </w:trPr>
        <w:tc>
          <w:tcPr>
            <w:tcW w:w="7280" w:type="dxa"/>
            <w:vAlign w:val="bottom"/>
            <w:gridSpan w:val="2"/>
            <w:vMerge w:val="continue"/>
          </w:tcPr>
          <w:p>
            <w:pPr>
              <w:spacing w:after="0"/>
              <w:rPr>
                <w:sz w:val="24"/>
                <w:szCs w:val="24"/>
                <w:color w:val="auto"/>
              </w:rPr>
            </w:pPr>
          </w:p>
        </w:tc>
        <w:tc>
          <w:tcPr>
            <w:tcW w:w="3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260" w:type="dxa"/>
            <w:vAlign w:val="bottom"/>
            <w:shd w:val="clear" w:color="auto" w:fill="EAF9E8"/>
          </w:tcPr>
          <w:p>
            <w:pPr>
              <w:ind w:left="140"/>
              <w:spacing w:after="0"/>
              <w:rPr>
                <w:sz w:val="20"/>
                <w:szCs w:val="20"/>
                <w:color w:val="auto"/>
              </w:rPr>
            </w:pPr>
            <w:r>
              <w:rPr>
                <w:rFonts w:ascii="Arial" w:cs="Arial" w:eastAsia="Arial" w:hAnsi="Arial"/>
                <w:sz w:val="18"/>
                <w:szCs w:val="18"/>
                <w:color w:val="auto"/>
              </w:rPr>
              <w:t>Compensation and benefits</w:t>
            </w:r>
          </w:p>
        </w:tc>
        <w:tc>
          <w:tcPr>
            <w:tcW w:w="380" w:type="dxa"/>
            <w:vAlign w:val="bottom"/>
            <w:shd w:val="clear" w:color="auto" w:fill="EAF9E8"/>
          </w:tcPr>
          <w:p>
            <w:pPr>
              <w:spacing w:after="0"/>
              <w:rPr>
                <w:sz w:val="18"/>
                <w:szCs w:val="18"/>
                <w:color w:val="auto"/>
              </w:rPr>
            </w:pPr>
          </w:p>
        </w:tc>
        <w:tc>
          <w:tcPr>
            <w:tcW w:w="14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28,545</w:t>
            </w:r>
          </w:p>
        </w:tc>
        <w:tc>
          <w:tcPr>
            <w:tcW w:w="2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5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30,086</w:t>
            </w:r>
          </w:p>
        </w:tc>
        <w:tc>
          <w:tcPr>
            <w:tcW w:w="12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140"/>
              <w:spacing w:after="0"/>
              <w:rPr>
                <w:sz w:val="20"/>
                <w:szCs w:val="20"/>
                <w:color w:val="auto"/>
              </w:rPr>
            </w:pPr>
            <w:r>
              <w:rPr>
                <w:rFonts w:ascii="Arial" w:cs="Arial" w:eastAsia="Arial" w:hAnsi="Arial"/>
                <w:sz w:val="18"/>
                <w:szCs w:val="18"/>
                <w:color w:val="auto"/>
              </w:rPr>
              <w:t>Amortization of servicing rights</w:t>
            </w:r>
          </w:p>
        </w:tc>
        <w:tc>
          <w:tcPr>
            <w:tcW w:w="3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10,041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14,014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EAF9E8"/>
          </w:tcPr>
          <w:p>
            <w:pPr>
              <w:ind w:left="140"/>
              <w:spacing w:after="0"/>
              <w:rPr>
                <w:sz w:val="20"/>
                <w:szCs w:val="20"/>
                <w:color w:val="auto"/>
              </w:rPr>
            </w:pPr>
            <w:r>
              <w:rPr>
                <w:rFonts w:ascii="Arial" w:cs="Arial" w:eastAsia="Arial" w:hAnsi="Arial"/>
                <w:sz w:val="18"/>
                <w:szCs w:val="18"/>
                <w:color w:val="auto"/>
              </w:rPr>
              <w:t>Servicing and origination</w:t>
            </w:r>
          </w:p>
        </w:tc>
        <w:tc>
          <w:tcPr>
            <w:tcW w:w="380" w:type="dxa"/>
            <w:vAlign w:val="bottom"/>
            <w:shd w:val="clear" w:color="auto" w:fill="EAF9E8"/>
          </w:tcPr>
          <w:p>
            <w:pPr>
              <w:spacing w:after="0"/>
              <w:rPr>
                <w:sz w:val="18"/>
                <w:szCs w:val="18"/>
                <w:color w:val="auto"/>
              </w:rPr>
            </w:pPr>
          </w:p>
        </w:tc>
        <w:tc>
          <w:tcPr>
            <w:tcW w:w="14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12,638</w:t>
            </w:r>
          </w:p>
        </w:tc>
        <w:tc>
          <w:tcPr>
            <w:tcW w:w="2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5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14,411</w:t>
            </w:r>
          </w:p>
        </w:tc>
        <w:tc>
          <w:tcPr>
            <w:tcW w:w="12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140"/>
              <w:spacing w:after="0"/>
              <w:rPr>
                <w:sz w:val="20"/>
                <w:szCs w:val="20"/>
                <w:color w:val="auto"/>
              </w:rPr>
            </w:pPr>
            <w:r>
              <w:rPr>
                <w:rFonts w:ascii="Arial" w:cs="Arial" w:eastAsia="Arial" w:hAnsi="Arial"/>
                <w:sz w:val="18"/>
                <w:szCs w:val="18"/>
                <w:color w:val="auto"/>
              </w:rPr>
              <w:t>Technology and communications</w:t>
            </w:r>
          </w:p>
        </w:tc>
        <w:tc>
          <w:tcPr>
            <w:tcW w:w="3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4,808</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5,270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EAF9E8"/>
          </w:tcPr>
          <w:p>
            <w:pPr>
              <w:ind w:left="140"/>
              <w:spacing w:after="0"/>
              <w:rPr>
                <w:sz w:val="20"/>
                <w:szCs w:val="20"/>
                <w:color w:val="auto"/>
              </w:rPr>
            </w:pPr>
            <w:r>
              <w:rPr>
                <w:rFonts w:ascii="Arial" w:cs="Arial" w:eastAsia="Arial" w:hAnsi="Arial"/>
                <w:sz w:val="18"/>
                <w:szCs w:val="18"/>
                <w:color w:val="auto"/>
              </w:rPr>
              <w:t>Professional services</w:t>
            </w:r>
          </w:p>
        </w:tc>
        <w:tc>
          <w:tcPr>
            <w:tcW w:w="380" w:type="dxa"/>
            <w:vAlign w:val="bottom"/>
            <w:shd w:val="clear" w:color="auto" w:fill="EAF9E8"/>
          </w:tcPr>
          <w:p>
            <w:pPr>
              <w:spacing w:after="0"/>
              <w:rPr>
                <w:sz w:val="18"/>
                <w:szCs w:val="18"/>
                <w:color w:val="auto"/>
              </w:rPr>
            </w:pPr>
          </w:p>
        </w:tc>
        <w:tc>
          <w:tcPr>
            <w:tcW w:w="14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7,186</w:t>
            </w:r>
          </w:p>
        </w:tc>
        <w:tc>
          <w:tcPr>
            <w:tcW w:w="2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5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14,749</w:t>
            </w:r>
          </w:p>
        </w:tc>
        <w:tc>
          <w:tcPr>
            <w:tcW w:w="12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140"/>
              <w:spacing w:after="0"/>
              <w:rPr>
                <w:sz w:val="20"/>
                <w:szCs w:val="20"/>
                <w:color w:val="auto"/>
              </w:rPr>
            </w:pPr>
            <w:r>
              <w:rPr>
                <w:rFonts w:ascii="Arial" w:cs="Arial" w:eastAsia="Arial" w:hAnsi="Arial"/>
                <w:sz w:val="18"/>
                <w:szCs w:val="18"/>
                <w:color w:val="auto"/>
              </w:rPr>
              <w:t>Occupancy and equipment</w:t>
            </w:r>
          </w:p>
        </w:tc>
        <w:tc>
          <w:tcPr>
            <w:tcW w:w="3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6,046</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6,533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EAF9E8"/>
          </w:tcPr>
          <w:p>
            <w:pPr>
              <w:ind w:left="140"/>
              <w:spacing w:after="0"/>
              <w:rPr>
                <w:sz w:val="20"/>
                <w:szCs w:val="20"/>
                <w:color w:val="auto"/>
              </w:rPr>
            </w:pPr>
            <w:r>
              <w:rPr>
                <w:rFonts w:ascii="Arial" w:cs="Arial" w:eastAsia="Arial" w:hAnsi="Arial"/>
                <w:sz w:val="18"/>
                <w:szCs w:val="18"/>
                <w:color w:val="auto"/>
              </w:rPr>
              <w:t>Other operating expenses</w:t>
            </w:r>
          </w:p>
        </w:tc>
        <w:tc>
          <w:tcPr>
            <w:tcW w:w="380" w:type="dxa"/>
            <w:vAlign w:val="bottom"/>
            <w:shd w:val="clear" w:color="auto" w:fill="EAF9E8"/>
          </w:tcPr>
          <w:p>
            <w:pPr>
              <w:spacing w:after="0"/>
              <w:rPr>
                <w:sz w:val="18"/>
                <w:szCs w:val="18"/>
                <w:color w:val="auto"/>
              </w:rPr>
            </w:pPr>
          </w:p>
        </w:tc>
        <w:tc>
          <w:tcPr>
            <w:tcW w:w="14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3,002</w:t>
            </w:r>
          </w:p>
        </w:tc>
        <w:tc>
          <w:tcPr>
            <w:tcW w:w="2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5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3,012</w:t>
            </w:r>
          </w:p>
        </w:tc>
        <w:tc>
          <w:tcPr>
            <w:tcW w:w="12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260" w:type="dxa"/>
            <w:vAlign w:val="bottom"/>
            <w:vMerge w:val="restart"/>
          </w:tcPr>
          <w:p>
            <w:pPr>
              <w:ind w:left="300"/>
              <w:spacing w:after="0"/>
              <w:rPr>
                <w:sz w:val="20"/>
                <w:szCs w:val="20"/>
                <w:color w:val="auto"/>
              </w:rPr>
            </w:pPr>
            <w:r>
              <w:rPr>
                <w:rFonts w:ascii="Arial" w:cs="Arial" w:eastAsia="Arial" w:hAnsi="Arial"/>
                <w:sz w:val="18"/>
                <w:szCs w:val="18"/>
                <w:color w:val="auto"/>
              </w:rPr>
              <w:t>Total operating expenses</w:t>
            </w:r>
          </w:p>
        </w:tc>
        <w:tc>
          <w:tcPr>
            <w:tcW w:w="38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vMerge w:val="continue"/>
          </w:tcPr>
          <w:p>
            <w:pPr>
              <w:spacing w:after="0"/>
              <w:rPr>
                <w:sz w:val="18"/>
                <w:szCs w:val="18"/>
                <w:color w:val="auto"/>
              </w:rPr>
            </w:pPr>
          </w:p>
        </w:tc>
        <w:tc>
          <w:tcPr>
            <w:tcW w:w="3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72,266</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88,075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7280" w:type="dxa"/>
            <w:vAlign w:val="bottom"/>
            <w:gridSpan w:val="2"/>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7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60" w:type="dxa"/>
            <w:vAlign w:val="bottom"/>
            <w:shd w:val="clear" w:color="auto" w:fill="EAF9E8"/>
          </w:tcPr>
          <w:p>
            <w:pPr>
              <w:spacing w:after="0"/>
              <w:rPr>
                <w:sz w:val="20"/>
                <w:szCs w:val="20"/>
                <w:color w:val="auto"/>
              </w:rPr>
            </w:pPr>
            <w:r>
              <w:rPr>
                <w:rFonts w:ascii="Arial" w:cs="Arial" w:eastAsia="Arial" w:hAnsi="Arial"/>
                <w:sz w:val="18"/>
                <w:szCs w:val="18"/>
                <w:b w:val="1"/>
                <w:bCs w:val="1"/>
                <w:color w:val="auto"/>
              </w:rPr>
              <w:t>Income from operations</w:t>
            </w:r>
          </w:p>
        </w:tc>
        <w:tc>
          <w:tcPr>
            <w:tcW w:w="380" w:type="dxa"/>
            <w:vAlign w:val="bottom"/>
            <w:shd w:val="clear" w:color="auto" w:fill="EAF9E8"/>
          </w:tcPr>
          <w:p>
            <w:pPr>
              <w:spacing w:after="0"/>
              <w:rPr>
                <w:sz w:val="18"/>
                <w:szCs w:val="18"/>
                <w:color w:val="auto"/>
              </w:rPr>
            </w:pPr>
          </w:p>
        </w:tc>
        <w:tc>
          <w:tcPr>
            <w:tcW w:w="14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42,324</w:t>
            </w:r>
          </w:p>
        </w:tc>
        <w:tc>
          <w:tcPr>
            <w:tcW w:w="2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5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40,176</w:t>
            </w:r>
          </w:p>
        </w:tc>
        <w:tc>
          <w:tcPr>
            <w:tcW w:w="12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72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Other income (expense)</w:t>
            </w:r>
          </w:p>
        </w:tc>
        <w:tc>
          <w:tcPr>
            <w:tcW w:w="38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57"/>
        </w:trPr>
        <w:tc>
          <w:tcPr>
            <w:tcW w:w="7280" w:type="dxa"/>
            <w:vAlign w:val="bottom"/>
            <w:gridSpan w:val="2"/>
            <w:vMerge w:val="continue"/>
          </w:tcPr>
          <w:p>
            <w:pPr>
              <w:spacing w:after="0"/>
              <w:rPr>
                <w:sz w:val="24"/>
                <w:szCs w:val="24"/>
                <w:color w:val="auto"/>
              </w:rPr>
            </w:pPr>
          </w:p>
        </w:tc>
        <w:tc>
          <w:tcPr>
            <w:tcW w:w="3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260" w:type="dxa"/>
            <w:vAlign w:val="bottom"/>
            <w:shd w:val="clear" w:color="auto" w:fill="EAF9E8"/>
          </w:tcPr>
          <w:p>
            <w:pPr>
              <w:ind w:left="140"/>
              <w:spacing w:after="0"/>
              <w:rPr>
                <w:sz w:val="20"/>
                <w:szCs w:val="20"/>
                <w:color w:val="auto"/>
              </w:rPr>
            </w:pPr>
            <w:r>
              <w:rPr>
                <w:rFonts w:ascii="Arial" w:cs="Arial" w:eastAsia="Arial" w:hAnsi="Arial"/>
                <w:sz w:val="18"/>
                <w:szCs w:val="18"/>
                <w:color w:val="auto"/>
              </w:rPr>
              <w:t>Interest income</w:t>
            </w:r>
          </w:p>
        </w:tc>
        <w:tc>
          <w:tcPr>
            <w:tcW w:w="380" w:type="dxa"/>
            <w:vAlign w:val="bottom"/>
            <w:shd w:val="clear" w:color="auto" w:fill="EAF9E8"/>
          </w:tcPr>
          <w:p>
            <w:pPr>
              <w:spacing w:after="0"/>
              <w:rPr>
                <w:sz w:val="18"/>
                <w:szCs w:val="18"/>
                <w:color w:val="auto"/>
              </w:rPr>
            </w:pPr>
          </w:p>
        </w:tc>
        <w:tc>
          <w:tcPr>
            <w:tcW w:w="14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2,165</w:t>
            </w:r>
          </w:p>
        </w:tc>
        <w:tc>
          <w:tcPr>
            <w:tcW w:w="2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5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4,813</w:t>
            </w:r>
          </w:p>
        </w:tc>
        <w:tc>
          <w:tcPr>
            <w:tcW w:w="12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140"/>
              <w:spacing w:after="0"/>
              <w:rPr>
                <w:sz w:val="20"/>
                <w:szCs w:val="20"/>
                <w:color w:val="auto"/>
              </w:rPr>
            </w:pPr>
            <w:r>
              <w:rPr>
                <w:rFonts w:ascii="Arial" w:cs="Arial" w:eastAsia="Arial" w:hAnsi="Arial"/>
                <w:sz w:val="18"/>
                <w:szCs w:val="18"/>
                <w:color w:val="auto"/>
              </w:rPr>
              <w:t>Interest expense</w:t>
            </w:r>
          </w:p>
        </w:tc>
        <w:tc>
          <w:tcPr>
            <w:tcW w:w="380" w:type="dxa"/>
            <w:vAlign w:val="bottom"/>
          </w:tcPr>
          <w:p>
            <w:pPr>
              <w:spacing w:after="0"/>
              <w:rPr>
                <w:sz w:val="18"/>
                <w:szCs w:val="18"/>
                <w:color w:val="auto"/>
              </w:rPr>
            </w:pPr>
          </w:p>
        </w:tc>
        <w:tc>
          <w:tcPr>
            <w:tcW w:w="1660" w:type="dxa"/>
            <w:vAlign w:val="bottom"/>
            <w:gridSpan w:val="2"/>
          </w:tcPr>
          <w:p>
            <w:pPr>
              <w:jc w:val="right"/>
              <w:ind w:right="140"/>
              <w:spacing w:after="0"/>
              <w:rPr>
                <w:sz w:val="20"/>
                <w:szCs w:val="20"/>
                <w:color w:val="auto"/>
              </w:rPr>
            </w:pPr>
            <w:r>
              <w:rPr>
                <w:rFonts w:ascii="Arial" w:cs="Arial" w:eastAsia="Arial" w:hAnsi="Arial"/>
                <w:sz w:val="18"/>
                <w:szCs w:val="18"/>
                <w:color w:val="auto"/>
              </w:rPr>
              <w:t>(16,663)</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80" w:type="dxa"/>
            <w:vAlign w:val="bottom"/>
            <w:gridSpan w:val="2"/>
          </w:tcPr>
          <w:p>
            <w:pPr>
              <w:jc w:val="right"/>
              <w:ind w:right="60"/>
              <w:spacing w:after="0"/>
              <w:rPr>
                <w:sz w:val="20"/>
                <w:szCs w:val="20"/>
                <w:color w:val="auto"/>
              </w:rPr>
            </w:pPr>
            <w:r>
              <w:rPr>
                <w:rFonts w:ascii="Arial" w:cs="Arial" w:eastAsia="Arial" w:hAnsi="Arial"/>
                <w:sz w:val="18"/>
                <w:szCs w:val="18"/>
                <w:color w:val="auto"/>
              </w:rPr>
              <w:t>(26,070)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EAF9E8"/>
          </w:tcPr>
          <w:p>
            <w:pPr>
              <w:ind w:left="140"/>
              <w:spacing w:after="0"/>
              <w:rPr>
                <w:sz w:val="20"/>
                <w:szCs w:val="20"/>
                <w:color w:val="auto"/>
              </w:rPr>
            </w:pPr>
            <w:r>
              <w:rPr>
                <w:rFonts w:ascii="Arial" w:cs="Arial" w:eastAsia="Arial" w:hAnsi="Arial"/>
                <w:sz w:val="18"/>
                <w:szCs w:val="18"/>
                <w:color w:val="auto"/>
              </w:rPr>
              <w:t>Loss on trading securities</w:t>
            </w:r>
          </w:p>
        </w:tc>
        <w:tc>
          <w:tcPr>
            <w:tcW w:w="380" w:type="dxa"/>
            <w:vAlign w:val="bottom"/>
            <w:shd w:val="clear" w:color="auto" w:fill="EAF9E8"/>
          </w:tcPr>
          <w:p>
            <w:pPr>
              <w:spacing w:after="0"/>
              <w:rPr>
                <w:sz w:val="18"/>
                <w:szCs w:val="18"/>
                <w:color w:val="auto"/>
              </w:rPr>
            </w:pPr>
          </w:p>
        </w:tc>
        <w:tc>
          <w:tcPr>
            <w:tcW w:w="166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(380)</w:t>
            </w:r>
          </w:p>
        </w:tc>
        <w:tc>
          <w:tcPr>
            <w:tcW w:w="14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680" w:type="dxa"/>
            <w:vAlign w:val="bottom"/>
            <w:gridSpan w:val="2"/>
            <w:shd w:val="clear" w:color="auto" w:fill="EAF9E8"/>
          </w:tcPr>
          <w:p>
            <w:pPr>
              <w:jc w:val="right"/>
              <w:ind w:right="60"/>
              <w:spacing w:after="0"/>
              <w:rPr>
                <w:sz w:val="20"/>
                <w:szCs w:val="20"/>
                <w:color w:val="auto"/>
              </w:rPr>
            </w:pPr>
            <w:r>
              <w:rPr>
                <w:rFonts w:ascii="Arial" w:cs="Arial" w:eastAsia="Arial" w:hAnsi="Arial"/>
                <w:sz w:val="18"/>
                <w:szCs w:val="18"/>
                <w:color w:val="auto"/>
              </w:rPr>
              <w:t>(12,023)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140"/>
              <w:spacing w:after="0"/>
              <w:rPr>
                <w:sz w:val="20"/>
                <w:szCs w:val="20"/>
                <w:color w:val="auto"/>
              </w:rPr>
            </w:pPr>
            <w:r>
              <w:rPr>
                <w:rFonts w:ascii="Arial" w:cs="Arial" w:eastAsia="Arial" w:hAnsi="Arial"/>
                <w:sz w:val="18"/>
                <w:szCs w:val="18"/>
                <w:color w:val="auto"/>
              </w:rPr>
              <w:t>Gain on debt repurchases</w:t>
            </w:r>
          </w:p>
        </w:tc>
        <w:tc>
          <w:tcPr>
            <w:tcW w:w="3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534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EAF9E8"/>
          </w:tcPr>
          <w:p>
            <w:pPr>
              <w:ind w:left="140"/>
              <w:spacing w:after="0"/>
              <w:rPr>
                <w:sz w:val="20"/>
                <w:szCs w:val="20"/>
                <w:color w:val="auto"/>
              </w:rPr>
            </w:pPr>
            <w:r>
              <w:rPr>
                <w:rFonts w:ascii="Arial" w:cs="Arial" w:eastAsia="Arial" w:hAnsi="Arial"/>
                <w:sz w:val="18"/>
                <w:szCs w:val="18"/>
                <w:color w:val="auto"/>
              </w:rPr>
              <w:t>Loss on loans held for resale, net</w:t>
            </w:r>
          </w:p>
        </w:tc>
        <w:tc>
          <w:tcPr>
            <w:tcW w:w="380" w:type="dxa"/>
            <w:vAlign w:val="bottom"/>
            <w:shd w:val="clear" w:color="auto" w:fill="EAF9E8"/>
          </w:tcPr>
          <w:p>
            <w:pPr>
              <w:spacing w:after="0"/>
              <w:rPr>
                <w:sz w:val="18"/>
                <w:szCs w:val="18"/>
                <w:color w:val="auto"/>
              </w:rPr>
            </w:pPr>
          </w:p>
        </w:tc>
        <w:tc>
          <w:tcPr>
            <w:tcW w:w="166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(4,554)</w:t>
            </w:r>
          </w:p>
        </w:tc>
        <w:tc>
          <w:tcPr>
            <w:tcW w:w="14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680" w:type="dxa"/>
            <w:vAlign w:val="bottom"/>
            <w:gridSpan w:val="2"/>
            <w:shd w:val="clear" w:color="auto" w:fill="EAF9E8"/>
          </w:tcPr>
          <w:p>
            <w:pPr>
              <w:jc w:val="right"/>
              <w:ind w:right="60"/>
              <w:spacing w:after="0"/>
              <w:rPr>
                <w:sz w:val="20"/>
                <w:szCs w:val="20"/>
                <w:color w:val="auto"/>
              </w:rPr>
            </w:pPr>
            <w:r>
              <w:rPr>
                <w:rFonts w:ascii="Arial" w:cs="Arial" w:eastAsia="Arial" w:hAnsi="Arial"/>
                <w:sz w:val="18"/>
                <w:szCs w:val="18"/>
                <w:color w:val="auto"/>
              </w:rPr>
              <w:t>(4,509)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140"/>
              <w:spacing w:after="0"/>
              <w:rPr>
                <w:sz w:val="20"/>
                <w:szCs w:val="20"/>
                <w:color w:val="auto"/>
              </w:rPr>
            </w:pPr>
            <w:r>
              <w:rPr>
                <w:rFonts w:ascii="Arial" w:cs="Arial" w:eastAsia="Arial" w:hAnsi="Arial"/>
                <w:sz w:val="18"/>
                <w:szCs w:val="18"/>
                <w:color w:val="auto"/>
              </w:rPr>
              <w:t>Equity in earnings of unconsolidated entities</w:t>
            </w:r>
          </w:p>
        </w:tc>
        <w:tc>
          <w:tcPr>
            <w:tcW w:w="3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27</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6,955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EAF9E8"/>
          </w:tcPr>
          <w:p>
            <w:pPr>
              <w:ind w:left="140"/>
              <w:spacing w:after="0"/>
              <w:rPr>
                <w:sz w:val="20"/>
                <w:szCs w:val="20"/>
                <w:color w:val="auto"/>
              </w:rPr>
            </w:pPr>
            <w:r>
              <w:rPr>
                <w:rFonts w:ascii="Arial" w:cs="Arial" w:eastAsia="Arial" w:hAnsi="Arial"/>
                <w:sz w:val="18"/>
                <w:szCs w:val="18"/>
                <w:color w:val="auto"/>
              </w:rPr>
              <w:t>Other, net</w:t>
            </w:r>
          </w:p>
        </w:tc>
        <w:tc>
          <w:tcPr>
            <w:tcW w:w="380" w:type="dxa"/>
            <w:vAlign w:val="bottom"/>
            <w:shd w:val="clear" w:color="auto" w:fill="EAF9E8"/>
          </w:tcPr>
          <w:p>
            <w:pPr>
              <w:spacing w:after="0"/>
              <w:rPr>
                <w:sz w:val="18"/>
                <w:szCs w:val="18"/>
                <w:color w:val="auto"/>
              </w:rPr>
            </w:pPr>
          </w:p>
        </w:tc>
        <w:tc>
          <w:tcPr>
            <w:tcW w:w="166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(189)</w:t>
            </w:r>
          </w:p>
        </w:tc>
        <w:tc>
          <w:tcPr>
            <w:tcW w:w="14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680" w:type="dxa"/>
            <w:vAlign w:val="bottom"/>
            <w:gridSpan w:val="2"/>
            <w:shd w:val="clear" w:color="auto" w:fill="EAF9E8"/>
          </w:tcPr>
          <w:p>
            <w:pPr>
              <w:jc w:val="right"/>
              <w:ind w:right="60"/>
              <w:spacing w:after="0"/>
              <w:rPr>
                <w:sz w:val="20"/>
                <w:szCs w:val="20"/>
                <w:color w:val="auto"/>
              </w:rPr>
            </w:pPr>
            <w:r>
              <w:rPr>
                <w:rFonts w:ascii="Arial" w:cs="Arial" w:eastAsia="Arial" w:hAnsi="Arial"/>
                <w:sz w:val="18"/>
                <w:szCs w:val="18"/>
                <w:color w:val="auto"/>
              </w:rPr>
              <w:t>(925)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260" w:type="dxa"/>
            <w:vAlign w:val="bottom"/>
            <w:vMerge w:val="restart"/>
          </w:tcPr>
          <w:p>
            <w:pPr>
              <w:ind w:left="300"/>
              <w:spacing w:after="0"/>
              <w:rPr>
                <w:sz w:val="20"/>
                <w:szCs w:val="20"/>
                <w:color w:val="auto"/>
              </w:rPr>
            </w:pPr>
            <w:r>
              <w:rPr>
                <w:rFonts w:ascii="Arial" w:cs="Arial" w:eastAsia="Arial" w:hAnsi="Arial"/>
                <w:sz w:val="18"/>
                <w:szCs w:val="18"/>
                <w:color w:val="auto"/>
              </w:rPr>
              <w:t>Other expense, net</w:t>
            </w:r>
          </w:p>
        </w:tc>
        <w:tc>
          <w:tcPr>
            <w:tcW w:w="380" w:type="dxa"/>
            <w:vAlign w:val="bottom"/>
          </w:tcPr>
          <w:p>
            <w:pPr>
              <w:spacing w:after="0"/>
              <w:rPr>
                <w:sz w:val="21"/>
                <w:szCs w:val="21"/>
                <w:color w:val="auto"/>
              </w:rPr>
            </w:pPr>
          </w:p>
        </w:tc>
        <w:tc>
          <w:tcPr>
            <w:tcW w:w="1660" w:type="dxa"/>
            <w:vAlign w:val="bottom"/>
            <w:gridSpan w:val="2"/>
          </w:tcPr>
          <w:p>
            <w:pPr>
              <w:spacing w:after="0"/>
              <w:rPr>
                <w:sz w:val="21"/>
                <w:szCs w:val="21"/>
                <w:color w:val="auto"/>
              </w:rPr>
            </w:pP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80" w:type="dxa"/>
            <w:vAlign w:val="bottom"/>
            <w:gridSpan w:val="2"/>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vMerge w:val="continue"/>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(19,060)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(31,759)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7280" w:type="dxa"/>
            <w:vAlign w:val="bottom"/>
            <w:gridSpan w:val="2"/>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7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60" w:type="dxa"/>
            <w:vAlign w:val="bottom"/>
            <w:shd w:val="clear" w:color="auto" w:fill="EAF9E8"/>
          </w:tcPr>
          <w:p>
            <w:pPr>
              <w:spacing w:after="0"/>
              <w:rPr>
                <w:sz w:val="20"/>
                <w:szCs w:val="20"/>
                <w:color w:val="auto"/>
              </w:rPr>
            </w:pPr>
            <w:r>
              <w:rPr>
                <w:rFonts w:ascii="Arial" w:cs="Arial" w:eastAsia="Arial" w:hAnsi="Arial"/>
                <w:sz w:val="18"/>
                <w:szCs w:val="18"/>
                <w:color w:val="auto"/>
              </w:rPr>
              <w:t>Income from continuing operations before income taxes</w:t>
            </w:r>
          </w:p>
        </w:tc>
        <w:tc>
          <w:tcPr>
            <w:tcW w:w="380" w:type="dxa"/>
            <w:vAlign w:val="bottom"/>
            <w:shd w:val="clear" w:color="auto" w:fill="EAF9E8"/>
          </w:tcPr>
          <w:p>
            <w:pPr>
              <w:spacing w:after="0"/>
              <w:rPr>
                <w:sz w:val="18"/>
                <w:szCs w:val="18"/>
                <w:color w:val="auto"/>
              </w:rPr>
            </w:pPr>
          </w:p>
        </w:tc>
        <w:tc>
          <w:tcPr>
            <w:tcW w:w="14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23,264</w:t>
            </w:r>
          </w:p>
        </w:tc>
        <w:tc>
          <w:tcPr>
            <w:tcW w:w="2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5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8,417</w:t>
            </w:r>
          </w:p>
        </w:tc>
        <w:tc>
          <w:tcPr>
            <w:tcW w:w="12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Income tax expense</w:t>
            </w:r>
          </w:p>
        </w:tc>
        <w:tc>
          <w:tcPr>
            <w:tcW w:w="3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8,037</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2,939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26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60" w:type="dxa"/>
            <w:vAlign w:val="bottom"/>
            <w:shd w:val="clear" w:color="auto" w:fill="EAF9E8"/>
          </w:tcPr>
          <w:p>
            <w:pPr>
              <w:ind w:left="140"/>
              <w:spacing w:after="0"/>
              <w:rPr>
                <w:sz w:val="20"/>
                <w:szCs w:val="20"/>
                <w:color w:val="auto"/>
              </w:rPr>
            </w:pPr>
            <w:r>
              <w:rPr>
                <w:rFonts w:ascii="Arial" w:cs="Arial" w:eastAsia="Arial" w:hAnsi="Arial"/>
                <w:sz w:val="18"/>
                <w:szCs w:val="18"/>
                <w:b w:val="1"/>
                <w:bCs w:val="1"/>
                <w:color w:val="auto"/>
              </w:rPr>
              <w:t>Income from continuing operations</w:t>
            </w:r>
          </w:p>
        </w:tc>
        <w:tc>
          <w:tcPr>
            <w:tcW w:w="380" w:type="dxa"/>
            <w:vAlign w:val="bottom"/>
            <w:shd w:val="clear" w:color="auto" w:fill="EAF9E8"/>
          </w:tcPr>
          <w:p>
            <w:pPr>
              <w:spacing w:after="0"/>
              <w:rPr>
                <w:sz w:val="18"/>
                <w:szCs w:val="18"/>
                <w:color w:val="auto"/>
              </w:rPr>
            </w:pPr>
          </w:p>
        </w:tc>
        <w:tc>
          <w:tcPr>
            <w:tcW w:w="14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15,227</w:t>
            </w:r>
          </w:p>
        </w:tc>
        <w:tc>
          <w:tcPr>
            <w:tcW w:w="2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5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5,478</w:t>
            </w:r>
          </w:p>
        </w:tc>
        <w:tc>
          <w:tcPr>
            <w:tcW w:w="12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Loss from discontinued operations, net of income taxes</w:t>
            </w:r>
          </w:p>
        </w:tc>
        <w:tc>
          <w:tcPr>
            <w:tcW w:w="380" w:type="dxa"/>
            <w:vAlign w:val="bottom"/>
          </w:tcPr>
          <w:p>
            <w:pPr>
              <w:spacing w:after="0"/>
              <w:rPr>
                <w:sz w:val="19"/>
                <w:szCs w:val="19"/>
                <w:color w:val="auto"/>
              </w:rPr>
            </w:pPr>
          </w:p>
        </w:tc>
        <w:tc>
          <w:tcPr>
            <w:tcW w:w="1660" w:type="dxa"/>
            <w:vAlign w:val="bottom"/>
            <w:gridSpan w:val="2"/>
          </w:tcPr>
          <w:p>
            <w:pPr>
              <w:jc w:val="right"/>
              <w:ind w:right="140"/>
              <w:spacing w:after="0"/>
              <w:rPr>
                <w:sz w:val="20"/>
                <w:szCs w:val="20"/>
                <w:color w:val="auto"/>
              </w:rPr>
            </w:pPr>
            <w:r>
              <w:rPr>
                <w:rFonts w:ascii="Arial" w:cs="Arial" w:eastAsia="Arial" w:hAnsi="Arial"/>
                <w:sz w:val="18"/>
                <w:szCs w:val="18"/>
                <w:color w:val="auto"/>
              </w:rPr>
              <w:t>(188)</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80" w:type="dxa"/>
            <w:vAlign w:val="bottom"/>
            <w:gridSpan w:val="2"/>
          </w:tcPr>
          <w:p>
            <w:pPr>
              <w:jc w:val="right"/>
              <w:ind w:right="60"/>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26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60" w:type="dxa"/>
            <w:vAlign w:val="bottom"/>
            <w:shd w:val="clear" w:color="auto" w:fill="EAF9E8"/>
          </w:tcPr>
          <w:p>
            <w:pPr>
              <w:ind w:left="300"/>
              <w:spacing w:after="0"/>
              <w:rPr>
                <w:sz w:val="20"/>
                <w:szCs w:val="20"/>
                <w:color w:val="auto"/>
              </w:rPr>
            </w:pPr>
            <w:r>
              <w:rPr>
                <w:rFonts w:ascii="Arial" w:cs="Arial" w:eastAsia="Arial" w:hAnsi="Arial"/>
                <w:sz w:val="18"/>
                <w:szCs w:val="18"/>
                <w:b w:val="1"/>
                <w:bCs w:val="1"/>
                <w:color w:val="auto"/>
              </w:rPr>
              <w:t>Net income</w:t>
            </w:r>
          </w:p>
        </w:tc>
        <w:tc>
          <w:tcPr>
            <w:tcW w:w="380" w:type="dxa"/>
            <w:vAlign w:val="bottom"/>
            <w:shd w:val="clear" w:color="auto" w:fill="EAF9E8"/>
          </w:tcPr>
          <w:p>
            <w:pPr>
              <w:spacing w:after="0"/>
              <w:rPr>
                <w:sz w:val="18"/>
                <w:szCs w:val="18"/>
                <w:color w:val="auto"/>
              </w:rPr>
            </w:pPr>
          </w:p>
        </w:tc>
        <w:tc>
          <w:tcPr>
            <w:tcW w:w="14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15,039</w:t>
            </w:r>
          </w:p>
        </w:tc>
        <w:tc>
          <w:tcPr>
            <w:tcW w:w="2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5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5,274</w:t>
            </w:r>
          </w:p>
        </w:tc>
        <w:tc>
          <w:tcPr>
            <w:tcW w:w="12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260" w:type="dxa"/>
            <w:vAlign w:val="bottom"/>
          </w:tcPr>
          <w:p>
            <w:pPr>
              <w:ind w:left="460"/>
              <w:spacing w:after="0"/>
              <w:rPr>
                <w:sz w:val="20"/>
                <w:szCs w:val="20"/>
                <w:color w:val="auto"/>
              </w:rPr>
            </w:pPr>
            <w:r>
              <w:rPr>
                <w:rFonts w:ascii="Arial" w:cs="Arial" w:eastAsia="Arial" w:hAnsi="Arial"/>
                <w:sz w:val="18"/>
                <w:szCs w:val="18"/>
                <w:color w:val="auto"/>
              </w:rPr>
              <w:t>Net loss (income) attributable to minority interest in subsidiaries</w:t>
            </w:r>
          </w:p>
        </w:tc>
        <w:tc>
          <w:tcPr>
            <w:tcW w:w="3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70</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80" w:type="dxa"/>
            <w:vAlign w:val="bottom"/>
            <w:gridSpan w:val="2"/>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20" w:type="dxa"/>
            <w:vAlign w:val="bottom"/>
            <w:gridSpan w:val="2"/>
          </w:tcPr>
          <w:p>
            <w:pPr>
              <w:spacing w:after="0"/>
              <w:rPr>
                <w:sz w:val="20"/>
                <w:szCs w:val="20"/>
                <w:color w:val="auto"/>
              </w:rPr>
            </w:pPr>
          </w:p>
        </w:tc>
        <w:tc>
          <w:tcPr>
            <w:tcW w:w="1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60" w:type="dxa"/>
            <w:vAlign w:val="bottom"/>
            <w:shd w:val="clear" w:color="auto" w:fill="EAF9E8"/>
          </w:tcPr>
          <w:p>
            <w:pPr>
              <w:ind w:left="300"/>
              <w:spacing w:after="0"/>
              <w:rPr>
                <w:sz w:val="20"/>
                <w:szCs w:val="20"/>
                <w:color w:val="auto"/>
              </w:rPr>
            </w:pPr>
            <w:r>
              <w:rPr>
                <w:rFonts w:ascii="Arial" w:cs="Arial" w:eastAsia="Arial" w:hAnsi="Arial"/>
                <w:sz w:val="18"/>
                <w:szCs w:val="18"/>
                <w:b w:val="1"/>
                <w:bCs w:val="1"/>
                <w:color w:val="auto"/>
              </w:rPr>
              <w:t>Net income attributable to Ocwen Financial Corporation (OCN)</w:t>
            </w:r>
          </w:p>
        </w:tc>
        <w:tc>
          <w:tcPr>
            <w:tcW w:w="380" w:type="dxa"/>
            <w:vAlign w:val="bottom"/>
            <w:tcBorders>
              <w:top w:val="single" w:sz="8" w:color="auto"/>
            </w:tcBorders>
            <w:shd w:val="clear" w:color="auto" w:fill="EAF9E8"/>
          </w:tcPr>
          <w:p>
            <w:pPr>
              <w:jc w:val="right"/>
              <w:ind w:right="192"/>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15,109</w:t>
            </w:r>
          </w:p>
        </w:tc>
        <w:tc>
          <w:tcPr>
            <w:tcW w:w="2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280" w:type="dxa"/>
            <w:vAlign w:val="bottom"/>
            <w:tcBorders>
              <w:top w:val="single" w:sz="8" w:color="auto"/>
            </w:tcBorders>
            <w:shd w:val="clear" w:color="auto" w:fill="EAF9E8"/>
          </w:tcPr>
          <w:p>
            <w:pPr>
              <w:jc w:val="right"/>
              <w:ind w:right="123"/>
              <w:spacing w:after="0"/>
              <w:rPr>
                <w:sz w:val="20"/>
                <w:szCs w:val="20"/>
                <w:color w:val="auto"/>
              </w:rPr>
            </w:pPr>
            <w:r>
              <w:rPr>
                <w:rFonts w:ascii="Arial" w:cs="Arial" w:eastAsia="Arial" w:hAnsi="Arial"/>
                <w:sz w:val="15"/>
                <w:szCs w:val="15"/>
                <w:color w:val="auto"/>
                <w:w w:val="71"/>
              </w:rPr>
              <w:t>$</w:t>
            </w:r>
          </w:p>
        </w:tc>
        <w:tc>
          <w:tcPr>
            <w:tcW w:w="156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5,272</w:t>
            </w:r>
          </w:p>
        </w:tc>
        <w:tc>
          <w:tcPr>
            <w:tcW w:w="12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72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Basic earnings per share</w:t>
            </w:r>
          </w:p>
        </w:tc>
        <w:tc>
          <w:tcPr>
            <w:tcW w:w="38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280" w:type="dxa"/>
            <w:vAlign w:val="bottom"/>
            <w:gridSpan w:val="2"/>
            <w:vMerge w:val="continue"/>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7280" w:type="dxa"/>
            <w:vAlign w:val="bottom"/>
            <w:gridSpan w:val="2"/>
            <w:vMerge w:val="continue"/>
          </w:tcPr>
          <w:p>
            <w:pPr>
              <w:spacing w:after="0"/>
              <w:rPr>
                <w:sz w:val="24"/>
                <w:szCs w:val="24"/>
                <w:color w:val="auto"/>
              </w:rPr>
            </w:pPr>
          </w:p>
        </w:tc>
        <w:tc>
          <w:tcPr>
            <w:tcW w:w="3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260" w:type="dxa"/>
            <w:vAlign w:val="bottom"/>
            <w:shd w:val="clear" w:color="auto" w:fill="EAF9E8"/>
          </w:tcPr>
          <w:p>
            <w:pPr>
              <w:ind w:left="140"/>
              <w:spacing w:after="0"/>
              <w:rPr>
                <w:sz w:val="20"/>
                <w:szCs w:val="20"/>
                <w:color w:val="auto"/>
              </w:rPr>
            </w:pPr>
            <w:r>
              <w:rPr>
                <w:rFonts w:ascii="Arial" w:cs="Arial" w:eastAsia="Arial" w:hAnsi="Arial"/>
                <w:sz w:val="18"/>
                <w:szCs w:val="18"/>
                <w:color w:val="auto"/>
              </w:rPr>
              <w:t>Income from continuing operations attributable to OCN common shareholders</w:t>
            </w:r>
          </w:p>
        </w:tc>
        <w:tc>
          <w:tcPr>
            <w:tcW w:w="380" w:type="dxa"/>
            <w:vAlign w:val="bottom"/>
            <w:shd w:val="clear" w:color="auto" w:fill="EAF9E8"/>
          </w:tcPr>
          <w:p>
            <w:pPr>
              <w:jc w:val="right"/>
              <w:ind w:right="192"/>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0.24</w:t>
            </w:r>
          </w:p>
        </w:tc>
        <w:tc>
          <w:tcPr>
            <w:tcW w:w="200" w:type="dxa"/>
            <w:vAlign w:val="bottom"/>
            <w:shd w:val="clear" w:color="auto" w:fill="EAF9E8"/>
          </w:tcPr>
          <w:p>
            <w:pPr>
              <w:spacing w:after="0"/>
              <w:rPr>
                <w:sz w:val="18"/>
                <w:szCs w:val="18"/>
                <w:color w:val="auto"/>
              </w:rPr>
            </w:pPr>
          </w:p>
        </w:tc>
        <w:tc>
          <w:tcPr>
            <w:tcW w:w="420" w:type="dxa"/>
            <w:vAlign w:val="bottom"/>
            <w:gridSpan w:val="2"/>
            <w:shd w:val="clear" w:color="auto" w:fill="EAF9E8"/>
          </w:tcPr>
          <w:p>
            <w:pPr>
              <w:jc w:val="right"/>
              <w:ind w:right="123"/>
              <w:spacing w:after="0"/>
              <w:rPr>
                <w:sz w:val="20"/>
                <w:szCs w:val="20"/>
                <w:color w:val="auto"/>
              </w:rPr>
            </w:pPr>
            <w:r>
              <w:rPr>
                <w:rFonts w:ascii="Arial" w:cs="Arial" w:eastAsia="Arial" w:hAnsi="Arial"/>
                <w:sz w:val="18"/>
                <w:szCs w:val="18"/>
                <w:color w:val="auto"/>
              </w:rPr>
              <w:t>$</w:t>
            </w:r>
          </w:p>
        </w:tc>
        <w:tc>
          <w:tcPr>
            <w:tcW w:w="15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0.09</w:t>
            </w:r>
          </w:p>
        </w:tc>
        <w:tc>
          <w:tcPr>
            <w:tcW w:w="12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260" w:type="dxa"/>
            <w:vAlign w:val="bottom"/>
          </w:tcPr>
          <w:p>
            <w:pPr>
              <w:ind w:left="140"/>
              <w:spacing w:after="0"/>
              <w:rPr>
                <w:sz w:val="20"/>
                <w:szCs w:val="20"/>
                <w:color w:val="auto"/>
              </w:rPr>
            </w:pPr>
            <w:r>
              <w:rPr>
                <w:rFonts w:ascii="Arial" w:cs="Arial" w:eastAsia="Arial" w:hAnsi="Arial"/>
                <w:sz w:val="18"/>
                <w:szCs w:val="18"/>
                <w:color w:val="auto"/>
              </w:rPr>
              <w:t>Loss from discontinued operations attributable to OCN common shareholders</w:t>
            </w:r>
          </w:p>
        </w:tc>
        <w:tc>
          <w:tcPr>
            <w:tcW w:w="380" w:type="dxa"/>
            <w:vAlign w:val="bottom"/>
          </w:tcPr>
          <w:p>
            <w:pPr>
              <w:spacing w:after="0"/>
              <w:rPr>
                <w:sz w:val="19"/>
                <w:szCs w:val="19"/>
                <w:color w:val="auto"/>
              </w:rPr>
            </w:pPr>
          </w:p>
        </w:tc>
        <w:tc>
          <w:tcPr>
            <w:tcW w:w="1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80" w:type="dxa"/>
            <w:vAlign w:val="bottom"/>
            <w:gridSpan w:val="2"/>
          </w:tcPr>
          <w:p>
            <w:pPr>
              <w:jc w:val="right"/>
              <w:ind w:right="6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20" w:type="dxa"/>
            <w:vAlign w:val="bottom"/>
            <w:gridSpan w:val="2"/>
          </w:tcPr>
          <w:p>
            <w:pPr>
              <w:spacing w:after="0"/>
              <w:rPr>
                <w:sz w:val="20"/>
                <w:szCs w:val="20"/>
                <w:color w:val="auto"/>
              </w:rPr>
            </w:pPr>
          </w:p>
        </w:tc>
        <w:tc>
          <w:tcPr>
            <w:tcW w:w="1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60" w:type="dxa"/>
            <w:vAlign w:val="bottom"/>
            <w:shd w:val="clear" w:color="auto" w:fill="EAF9E8"/>
          </w:tcPr>
          <w:p>
            <w:pPr>
              <w:ind w:left="140"/>
              <w:spacing w:after="0"/>
              <w:rPr>
                <w:sz w:val="20"/>
                <w:szCs w:val="20"/>
                <w:color w:val="auto"/>
              </w:rPr>
            </w:pPr>
            <w:r>
              <w:rPr>
                <w:rFonts w:ascii="Arial" w:cs="Arial" w:eastAsia="Arial" w:hAnsi="Arial"/>
                <w:sz w:val="18"/>
                <w:szCs w:val="18"/>
                <w:color w:val="auto"/>
              </w:rPr>
              <w:t>Net income attributable to OCN common shareholders</w:t>
            </w:r>
          </w:p>
        </w:tc>
        <w:tc>
          <w:tcPr>
            <w:tcW w:w="380" w:type="dxa"/>
            <w:vAlign w:val="bottom"/>
            <w:tcBorders>
              <w:top w:val="single" w:sz="8" w:color="auto"/>
            </w:tcBorders>
            <w:shd w:val="clear" w:color="auto" w:fill="EAF9E8"/>
          </w:tcPr>
          <w:p>
            <w:pPr>
              <w:jc w:val="right"/>
              <w:ind w:right="192"/>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0.24</w:t>
            </w:r>
          </w:p>
        </w:tc>
        <w:tc>
          <w:tcPr>
            <w:tcW w:w="2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280" w:type="dxa"/>
            <w:vAlign w:val="bottom"/>
            <w:tcBorders>
              <w:top w:val="single" w:sz="8" w:color="auto"/>
            </w:tcBorders>
            <w:shd w:val="clear" w:color="auto" w:fill="EAF9E8"/>
          </w:tcPr>
          <w:p>
            <w:pPr>
              <w:jc w:val="right"/>
              <w:ind w:right="123"/>
              <w:spacing w:after="0"/>
              <w:rPr>
                <w:sz w:val="20"/>
                <w:szCs w:val="20"/>
                <w:color w:val="auto"/>
              </w:rPr>
            </w:pPr>
            <w:r>
              <w:rPr>
                <w:rFonts w:ascii="Arial" w:cs="Arial" w:eastAsia="Arial" w:hAnsi="Arial"/>
                <w:sz w:val="15"/>
                <w:szCs w:val="15"/>
                <w:color w:val="auto"/>
                <w:w w:val="71"/>
              </w:rPr>
              <w:t>$</w:t>
            </w:r>
          </w:p>
        </w:tc>
        <w:tc>
          <w:tcPr>
            <w:tcW w:w="156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0.08</w:t>
            </w:r>
          </w:p>
        </w:tc>
        <w:tc>
          <w:tcPr>
            <w:tcW w:w="12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72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Diluted earnings per share</w:t>
            </w:r>
          </w:p>
        </w:tc>
        <w:tc>
          <w:tcPr>
            <w:tcW w:w="38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280" w:type="dxa"/>
            <w:vAlign w:val="bottom"/>
            <w:gridSpan w:val="2"/>
            <w:vMerge w:val="continue"/>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7280" w:type="dxa"/>
            <w:vAlign w:val="bottom"/>
            <w:gridSpan w:val="2"/>
            <w:vMerge w:val="continue"/>
          </w:tcPr>
          <w:p>
            <w:pPr>
              <w:spacing w:after="0"/>
              <w:rPr>
                <w:sz w:val="24"/>
                <w:szCs w:val="24"/>
                <w:color w:val="auto"/>
              </w:rPr>
            </w:pPr>
          </w:p>
        </w:tc>
        <w:tc>
          <w:tcPr>
            <w:tcW w:w="3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260" w:type="dxa"/>
            <w:vAlign w:val="bottom"/>
            <w:shd w:val="clear" w:color="auto" w:fill="EAF9E8"/>
          </w:tcPr>
          <w:p>
            <w:pPr>
              <w:ind w:left="140"/>
              <w:spacing w:after="0"/>
              <w:rPr>
                <w:sz w:val="20"/>
                <w:szCs w:val="20"/>
                <w:color w:val="auto"/>
              </w:rPr>
            </w:pPr>
            <w:r>
              <w:rPr>
                <w:rFonts w:ascii="Arial" w:cs="Arial" w:eastAsia="Arial" w:hAnsi="Arial"/>
                <w:sz w:val="18"/>
                <w:szCs w:val="18"/>
                <w:color w:val="auto"/>
              </w:rPr>
              <w:t>Income from continuing operations attributable to OCN common shareholders</w:t>
            </w:r>
          </w:p>
        </w:tc>
        <w:tc>
          <w:tcPr>
            <w:tcW w:w="380" w:type="dxa"/>
            <w:vAlign w:val="bottom"/>
            <w:shd w:val="clear" w:color="auto" w:fill="EAF9E8"/>
          </w:tcPr>
          <w:p>
            <w:pPr>
              <w:jc w:val="right"/>
              <w:ind w:right="192"/>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0.24</w:t>
            </w:r>
          </w:p>
        </w:tc>
        <w:tc>
          <w:tcPr>
            <w:tcW w:w="200" w:type="dxa"/>
            <w:vAlign w:val="bottom"/>
            <w:shd w:val="clear" w:color="auto" w:fill="EAF9E8"/>
          </w:tcPr>
          <w:p>
            <w:pPr>
              <w:spacing w:after="0"/>
              <w:rPr>
                <w:sz w:val="18"/>
                <w:szCs w:val="18"/>
                <w:color w:val="auto"/>
              </w:rPr>
            </w:pPr>
          </w:p>
        </w:tc>
        <w:tc>
          <w:tcPr>
            <w:tcW w:w="420" w:type="dxa"/>
            <w:vAlign w:val="bottom"/>
            <w:gridSpan w:val="2"/>
            <w:shd w:val="clear" w:color="auto" w:fill="EAF9E8"/>
          </w:tcPr>
          <w:p>
            <w:pPr>
              <w:jc w:val="right"/>
              <w:ind w:right="123"/>
              <w:spacing w:after="0"/>
              <w:rPr>
                <w:sz w:val="20"/>
                <w:szCs w:val="20"/>
                <w:color w:val="auto"/>
              </w:rPr>
            </w:pPr>
            <w:r>
              <w:rPr>
                <w:rFonts w:ascii="Arial" w:cs="Arial" w:eastAsia="Arial" w:hAnsi="Arial"/>
                <w:sz w:val="18"/>
                <w:szCs w:val="18"/>
                <w:color w:val="auto"/>
              </w:rPr>
              <w:t>$</w:t>
            </w:r>
          </w:p>
        </w:tc>
        <w:tc>
          <w:tcPr>
            <w:tcW w:w="15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0.09</w:t>
            </w:r>
          </w:p>
        </w:tc>
        <w:tc>
          <w:tcPr>
            <w:tcW w:w="12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260" w:type="dxa"/>
            <w:vAlign w:val="bottom"/>
          </w:tcPr>
          <w:p>
            <w:pPr>
              <w:ind w:left="140"/>
              <w:spacing w:after="0"/>
              <w:rPr>
                <w:sz w:val="20"/>
                <w:szCs w:val="20"/>
                <w:color w:val="auto"/>
              </w:rPr>
            </w:pPr>
            <w:r>
              <w:rPr>
                <w:rFonts w:ascii="Arial" w:cs="Arial" w:eastAsia="Arial" w:hAnsi="Arial"/>
                <w:sz w:val="18"/>
                <w:szCs w:val="18"/>
                <w:color w:val="auto"/>
              </w:rPr>
              <w:t>Loss from discontinued operations attributable to OCN common shareholders</w:t>
            </w:r>
          </w:p>
        </w:tc>
        <w:tc>
          <w:tcPr>
            <w:tcW w:w="380" w:type="dxa"/>
            <w:vAlign w:val="bottom"/>
          </w:tcPr>
          <w:p>
            <w:pPr>
              <w:spacing w:after="0"/>
              <w:rPr>
                <w:sz w:val="19"/>
                <w:szCs w:val="19"/>
                <w:color w:val="auto"/>
              </w:rPr>
            </w:pPr>
          </w:p>
        </w:tc>
        <w:tc>
          <w:tcPr>
            <w:tcW w:w="1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80" w:type="dxa"/>
            <w:vAlign w:val="bottom"/>
            <w:gridSpan w:val="2"/>
          </w:tcPr>
          <w:p>
            <w:pPr>
              <w:jc w:val="right"/>
              <w:ind w:right="6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20" w:type="dxa"/>
            <w:vAlign w:val="bottom"/>
            <w:gridSpan w:val="2"/>
          </w:tcPr>
          <w:p>
            <w:pPr>
              <w:spacing w:after="0"/>
              <w:rPr>
                <w:sz w:val="20"/>
                <w:szCs w:val="20"/>
                <w:color w:val="auto"/>
              </w:rPr>
            </w:pPr>
          </w:p>
        </w:tc>
        <w:tc>
          <w:tcPr>
            <w:tcW w:w="1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60" w:type="dxa"/>
            <w:vAlign w:val="bottom"/>
            <w:shd w:val="clear" w:color="auto" w:fill="EAF9E8"/>
          </w:tcPr>
          <w:p>
            <w:pPr>
              <w:ind w:left="140"/>
              <w:spacing w:after="0"/>
              <w:rPr>
                <w:sz w:val="20"/>
                <w:szCs w:val="20"/>
                <w:color w:val="auto"/>
              </w:rPr>
            </w:pPr>
            <w:r>
              <w:rPr>
                <w:rFonts w:ascii="Arial" w:cs="Arial" w:eastAsia="Arial" w:hAnsi="Arial"/>
                <w:sz w:val="18"/>
                <w:szCs w:val="18"/>
                <w:color w:val="auto"/>
              </w:rPr>
              <w:t>Net income attributable to OCN common shareholders</w:t>
            </w:r>
          </w:p>
        </w:tc>
        <w:tc>
          <w:tcPr>
            <w:tcW w:w="380" w:type="dxa"/>
            <w:vAlign w:val="bottom"/>
            <w:tcBorders>
              <w:top w:val="single" w:sz="8" w:color="auto"/>
            </w:tcBorders>
            <w:shd w:val="clear" w:color="auto" w:fill="EAF9E8"/>
          </w:tcPr>
          <w:p>
            <w:pPr>
              <w:jc w:val="right"/>
              <w:ind w:right="192"/>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0.24</w:t>
            </w:r>
          </w:p>
        </w:tc>
        <w:tc>
          <w:tcPr>
            <w:tcW w:w="2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280" w:type="dxa"/>
            <w:vAlign w:val="bottom"/>
            <w:tcBorders>
              <w:top w:val="single" w:sz="8" w:color="auto"/>
            </w:tcBorders>
            <w:shd w:val="clear" w:color="auto" w:fill="EAF9E8"/>
          </w:tcPr>
          <w:p>
            <w:pPr>
              <w:jc w:val="right"/>
              <w:ind w:right="123"/>
              <w:spacing w:after="0"/>
              <w:rPr>
                <w:sz w:val="20"/>
                <w:szCs w:val="20"/>
                <w:color w:val="auto"/>
              </w:rPr>
            </w:pPr>
            <w:r>
              <w:rPr>
                <w:rFonts w:ascii="Arial" w:cs="Arial" w:eastAsia="Arial" w:hAnsi="Arial"/>
                <w:sz w:val="15"/>
                <w:szCs w:val="15"/>
                <w:color w:val="auto"/>
                <w:w w:val="71"/>
              </w:rPr>
              <w:t>$</w:t>
            </w:r>
          </w:p>
        </w:tc>
        <w:tc>
          <w:tcPr>
            <w:tcW w:w="156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0.08</w:t>
            </w:r>
          </w:p>
        </w:tc>
        <w:tc>
          <w:tcPr>
            <w:tcW w:w="12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72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Weighted average common shares outstanding</w:t>
            </w:r>
          </w:p>
        </w:tc>
        <w:tc>
          <w:tcPr>
            <w:tcW w:w="38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280" w:type="dxa"/>
            <w:vAlign w:val="bottom"/>
            <w:gridSpan w:val="2"/>
            <w:vMerge w:val="continue"/>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7280" w:type="dxa"/>
            <w:vAlign w:val="bottom"/>
            <w:gridSpan w:val="2"/>
            <w:vMerge w:val="continue"/>
          </w:tcPr>
          <w:p>
            <w:pPr>
              <w:spacing w:after="0"/>
              <w:rPr>
                <w:sz w:val="24"/>
                <w:szCs w:val="24"/>
                <w:color w:val="auto"/>
              </w:rPr>
            </w:pPr>
          </w:p>
        </w:tc>
        <w:tc>
          <w:tcPr>
            <w:tcW w:w="3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260" w:type="dxa"/>
            <w:vAlign w:val="bottom"/>
            <w:shd w:val="clear" w:color="auto" w:fill="EAF9E8"/>
          </w:tcPr>
          <w:p>
            <w:pPr>
              <w:ind w:left="140"/>
              <w:spacing w:after="0"/>
              <w:rPr>
                <w:sz w:val="20"/>
                <w:szCs w:val="20"/>
                <w:color w:val="auto"/>
              </w:rPr>
            </w:pPr>
            <w:r>
              <w:rPr>
                <w:rFonts w:ascii="Arial" w:cs="Arial" w:eastAsia="Arial" w:hAnsi="Arial"/>
                <w:sz w:val="18"/>
                <w:szCs w:val="18"/>
                <w:color w:val="auto"/>
              </w:rPr>
              <w:t>Basic</w:t>
            </w:r>
          </w:p>
        </w:tc>
        <w:tc>
          <w:tcPr>
            <w:tcW w:w="380" w:type="dxa"/>
            <w:vAlign w:val="bottom"/>
            <w:shd w:val="clear" w:color="auto" w:fill="EAF9E8"/>
          </w:tcPr>
          <w:p>
            <w:pPr>
              <w:spacing w:after="0"/>
              <w:rPr>
                <w:sz w:val="18"/>
                <w:szCs w:val="18"/>
                <w:color w:val="auto"/>
              </w:rPr>
            </w:pPr>
          </w:p>
        </w:tc>
        <w:tc>
          <w:tcPr>
            <w:tcW w:w="14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62,750,010</w:t>
            </w:r>
          </w:p>
        </w:tc>
        <w:tc>
          <w:tcPr>
            <w:tcW w:w="2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5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62,567,972</w:t>
            </w:r>
          </w:p>
        </w:tc>
        <w:tc>
          <w:tcPr>
            <w:tcW w:w="12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260" w:type="dxa"/>
            <w:vAlign w:val="bottom"/>
          </w:tcPr>
          <w:p>
            <w:pPr>
              <w:ind w:left="140"/>
              <w:spacing w:after="0"/>
              <w:rPr>
                <w:sz w:val="20"/>
                <w:szCs w:val="20"/>
                <w:color w:val="auto"/>
              </w:rPr>
            </w:pPr>
            <w:r>
              <w:rPr>
                <w:rFonts w:ascii="Arial" w:cs="Arial" w:eastAsia="Arial" w:hAnsi="Arial"/>
                <w:sz w:val="18"/>
                <w:szCs w:val="18"/>
                <w:color w:val="auto"/>
              </w:rPr>
              <w:t>Diluted</w:t>
            </w:r>
          </w:p>
        </w:tc>
        <w:tc>
          <w:tcPr>
            <w:tcW w:w="3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67,871,466</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62,814,449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0" w:gutter="0" w:footer="0" w:header="0"/>
        </w:sectPr>
      </w:pPr>
    </w:p>
    <w:bookmarkStart w:id="5" w:name="page6"/>
    <w:bookmarkEnd w:id="5"/>
    <w:p>
      <w:pPr>
        <w:jc w:val="center"/>
        <w:ind w:right="-20"/>
        <w:spacing w:after="0"/>
        <w:rPr>
          <w:sz w:val="20"/>
          <w:szCs w:val="20"/>
          <w:color w:val="auto"/>
        </w:rPr>
      </w:pPr>
      <w:r>
        <w:rPr>
          <w:rFonts w:ascii="Arial" w:cs="Arial" w:eastAsia="Arial" w:hAnsi="Arial"/>
          <w:sz w:val="15"/>
          <w:szCs w:val="15"/>
          <w:i w:val="1"/>
          <w:iCs w:val="1"/>
          <w:color w:val="auto"/>
        </w:rPr>
        <w:t>The accompanying notes are an integral part of these consolidated financial statements.</w:t>
      </w:r>
    </w:p>
    <w:p>
      <w:pPr>
        <w:sectPr>
          <w:pgSz w:w="11900" w:h="16838" w:orient="portrait"/>
          <w:cols w:equalWidth="0" w:num="1">
            <w:col w:w="9019"/>
          </w:cols>
          <w:pgMar w:left="1440" w:top="131" w:right="1440" w:bottom="1440" w:gutter="0" w:footer="0" w:header="0"/>
        </w:sectPr>
      </w:pPr>
    </w:p>
    <w:p>
      <w:pPr>
        <w:spacing w:after="0" w:line="260"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175260</wp:posOffset>
            </wp:positionV>
            <wp:extent cx="7267575"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9019"/>
          </w:cols>
          <w:pgMar w:left="1440" w:top="131" w:right="1440" w:bottom="1440" w:gutter="0" w:footer="0" w:header="0"/>
          <w:type w:val="continuous"/>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OCWEN FINANCIAL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7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760" w:type="dxa"/>
            <w:vAlign w:val="bottom"/>
            <w:gridSpan w:val="6"/>
          </w:tcPr>
          <w:p>
            <w:pPr>
              <w:jc w:val="right"/>
              <w:ind w:right="780"/>
              <w:spacing w:after="0"/>
              <w:rPr>
                <w:sz w:val="20"/>
                <w:szCs w:val="20"/>
                <w:color w:val="auto"/>
              </w:rPr>
            </w:pPr>
            <w:r>
              <w:rPr>
                <w:rFonts w:ascii="Arial" w:cs="Arial" w:eastAsia="Arial" w:hAnsi="Arial"/>
                <w:sz w:val="18"/>
                <w:szCs w:val="18"/>
                <w:color w:val="auto"/>
                <w:w w:val="96"/>
              </w:rPr>
              <w:t>For the three months ended March 31,</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26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60" w:type="dxa"/>
            <w:vAlign w:val="bottom"/>
          </w:tcPr>
          <w:p>
            <w:pPr>
              <w:jc w:val="right"/>
              <w:ind w:right="652"/>
              <w:spacing w:after="0"/>
              <w:rPr>
                <w:sz w:val="20"/>
                <w:szCs w:val="20"/>
                <w:color w:val="auto"/>
              </w:rPr>
            </w:pPr>
            <w:r>
              <w:rPr>
                <w:rFonts w:ascii="Arial" w:cs="Arial" w:eastAsia="Arial" w:hAnsi="Arial"/>
                <w:sz w:val="18"/>
                <w:szCs w:val="18"/>
                <w:color w:val="auto"/>
              </w:rPr>
              <w:t>2009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80" w:type="dxa"/>
            <w:vAlign w:val="bottom"/>
          </w:tcPr>
          <w:p>
            <w:pPr>
              <w:jc w:val="right"/>
              <w:ind w:right="652"/>
              <w:spacing w:after="0"/>
              <w:rPr>
                <w:sz w:val="20"/>
                <w:szCs w:val="20"/>
                <w:color w:val="auto"/>
              </w:rPr>
            </w:pPr>
            <w:r>
              <w:rPr>
                <w:rFonts w:ascii="Arial" w:cs="Arial" w:eastAsia="Arial" w:hAnsi="Arial"/>
                <w:sz w:val="18"/>
                <w:szCs w:val="18"/>
                <w:color w:val="auto"/>
              </w:rPr>
              <w:t>2008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0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jc w:val="right"/>
              <w:ind w:right="332"/>
              <w:spacing w:after="0"/>
              <w:rPr>
                <w:sz w:val="20"/>
                <w:szCs w:val="20"/>
                <w:color w:val="auto"/>
              </w:rPr>
            </w:pPr>
            <w:r>
              <w:rPr>
                <w:rFonts w:ascii="Arial" w:cs="Arial" w:eastAsia="Arial" w:hAnsi="Arial"/>
                <w:sz w:val="18"/>
                <w:szCs w:val="18"/>
                <w:color w:val="auto"/>
              </w:rPr>
              <w:t>(As Adjusted)</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7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gridSpan w:val="2"/>
          </w:tcPr>
          <w:p>
            <w:pPr>
              <w:spacing w:after="0"/>
              <w:rPr>
                <w:sz w:val="12"/>
                <w:szCs w:val="12"/>
                <w:color w:val="auto"/>
              </w:rPr>
            </w:pPr>
          </w:p>
        </w:tc>
        <w:tc>
          <w:tcPr>
            <w:tcW w:w="1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60" w:type="dxa"/>
            <w:vAlign w:val="bottom"/>
            <w:shd w:val="clear" w:color="auto" w:fill="EAF9E8"/>
          </w:tcPr>
          <w:p>
            <w:pPr>
              <w:spacing w:after="0"/>
              <w:rPr>
                <w:sz w:val="20"/>
                <w:szCs w:val="20"/>
                <w:color w:val="auto"/>
              </w:rPr>
            </w:pPr>
            <w:r>
              <w:rPr>
                <w:rFonts w:ascii="Arial" w:cs="Arial" w:eastAsia="Arial" w:hAnsi="Arial"/>
                <w:sz w:val="18"/>
                <w:szCs w:val="18"/>
                <w:color w:val="auto"/>
              </w:rPr>
              <w:t>Net income</w:t>
            </w:r>
          </w:p>
        </w:tc>
        <w:tc>
          <w:tcPr>
            <w:tcW w:w="380" w:type="dxa"/>
            <w:vAlign w:val="bottom"/>
            <w:shd w:val="clear" w:color="auto" w:fill="EAF9E8"/>
          </w:tcPr>
          <w:p>
            <w:pPr>
              <w:jc w:val="right"/>
              <w:ind w:right="192"/>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15,039</w:t>
            </w:r>
          </w:p>
        </w:tc>
        <w:tc>
          <w:tcPr>
            <w:tcW w:w="200" w:type="dxa"/>
            <w:vAlign w:val="bottom"/>
            <w:shd w:val="clear" w:color="auto" w:fill="EAF9E8"/>
          </w:tcPr>
          <w:p>
            <w:pPr>
              <w:spacing w:after="0"/>
              <w:rPr>
                <w:sz w:val="18"/>
                <w:szCs w:val="18"/>
                <w:color w:val="auto"/>
              </w:rPr>
            </w:pPr>
          </w:p>
        </w:tc>
        <w:tc>
          <w:tcPr>
            <w:tcW w:w="400" w:type="dxa"/>
            <w:vAlign w:val="bottom"/>
            <w:gridSpan w:val="2"/>
            <w:shd w:val="clear" w:color="auto" w:fill="EAF9E8"/>
          </w:tcPr>
          <w:p>
            <w:pPr>
              <w:jc w:val="right"/>
              <w:ind w:right="103"/>
              <w:spacing w:after="0"/>
              <w:rPr>
                <w:sz w:val="20"/>
                <w:szCs w:val="20"/>
                <w:color w:val="auto"/>
              </w:rPr>
            </w:pPr>
            <w:r>
              <w:rPr>
                <w:rFonts w:ascii="Arial" w:cs="Arial" w:eastAsia="Arial" w:hAnsi="Arial"/>
                <w:sz w:val="18"/>
                <w:szCs w:val="18"/>
                <w:color w:val="auto"/>
              </w:rPr>
              <w:t>$</w:t>
            </w:r>
          </w:p>
        </w:tc>
        <w:tc>
          <w:tcPr>
            <w:tcW w:w="15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5,274</w:t>
            </w:r>
          </w:p>
        </w:tc>
        <w:tc>
          <w:tcPr>
            <w:tcW w:w="12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364"/>
        </w:trPr>
        <w:tc>
          <w:tcPr>
            <w:tcW w:w="7280" w:type="dxa"/>
            <w:vAlign w:val="bottom"/>
            <w:gridSpan w:val="2"/>
          </w:tcPr>
          <w:p>
            <w:pPr>
              <w:spacing w:after="0"/>
              <w:rPr>
                <w:sz w:val="20"/>
                <w:szCs w:val="20"/>
                <w:color w:val="auto"/>
              </w:rPr>
            </w:pPr>
            <w:r>
              <w:rPr>
                <w:rFonts w:ascii="Arial" w:cs="Arial" w:eastAsia="Arial" w:hAnsi="Arial"/>
                <w:sz w:val="18"/>
                <w:szCs w:val="18"/>
                <w:color w:val="auto"/>
              </w:rPr>
              <w:t>Other comprehensive income, net of taxes:</w:t>
            </w:r>
          </w:p>
        </w:tc>
        <w:tc>
          <w:tcPr>
            <w:tcW w:w="3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260" w:type="dxa"/>
            <w:vAlign w:val="bottom"/>
            <w:shd w:val="clear" w:color="auto" w:fill="EAF9E8"/>
          </w:tcPr>
          <w:p>
            <w:pPr>
              <w:ind w:left="140"/>
              <w:spacing w:after="0"/>
              <w:rPr>
                <w:sz w:val="20"/>
                <w:szCs w:val="20"/>
                <w:color w:val="auto"/>
              </w:rPr>
            </w:pPr>
            <w:r>
              <w:rPr>
                <w:rFonts w:ascii="Arial" w:cs="Arial" w:eastAsia="Arial" w:hAnsi="Arial"/>
                <w:sz w:val="18"/>
                <w:szCs w:val="18"/>
                <w:color w:val="auto"/>
              </w:rPr>
              <w:t>Change in unrealized foreign currency translation adjustment (1)</w:t>
            </w:r>
          </w:p>
        </w:tc>
        <w:tc>
          <w:tcPr>
            <w:tcW w:w="380" w:type="dxa"/>
            <w:vAlign w:val="bottom"/>
            <w:shd w:val="clear" w:color="auto" w:fill="EAF9E8"/>
          </w:tcPr>
          <w:p>
            <w:pPr>
              <w:spacing w:after="0"/>
              <w:rPr>
                <w:sz w:val="18"/>
                <w:szCs w:val="18"/>
                <w:color w:val="auto"/>
              </w:rPr>
            </w:pPr>
          </w:p>
        </w:tc>
        <w:tc>
          <w:tcPr>
            <w:tcW w:w="166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(40)</w:t>
            </w:r>
          </w:p>
        </w:tc>
        <w:tc>
          <w:tcPr>
            <w:tcW w:w="14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5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714</w:t>
            </w:r>
          </w:p>
        </w:tc>
        <w:tc>
          <w:tcPr>
            <w:tcW w:w="12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26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57"/>
        </w:trPr>
        <w:tc>
          <w:tcPr>
            <w:tcW w:w="20" w:type="dxa"/>
            <w:vAlign w:val="bottom"/>
          </w:tcPr>
          <w:p>
            <w:pPr>
              <w:spacing w:after="0"/>
              <w:rPr>
                <w:sz w:val="24"/>
                <w:szCs w:val="24"/>
                <w:color w:val="auto"/>
              </w:rPr>
            </w:pPr>
          </w:p>
        </w:tc>
        <w:tc>
          <w:tcPr>
            <w:tcW w:w="7260" w:type="dxa"/>
            <w:vAlign w:val="bottom"/>
          </w:tcPr>
          <w:p>
            <w:pPr>
              <w:ind w:left="140"/>
              <w:spacing w:after="0"/>
              <w:rPr>
                <w:sz w:val="20"/>
                <w:szCs w:val="20"/>
                <w:color w:val="auto"/>
              </w:rPr>
            </w:pPr>
            <w:r>
              <w:rPr>
                <w:rFonts w:ascii="Arial" w:cs="Arial" w:eastAsia="Arial" w:hAnsi="Arial"/>
                <w:sz w:val="18"/>
                <w:szCs w:val="18"/>
                <w:color w:val="auto"/>
              </w:rPr>
              <w:t>Change in deferred loss on cash flow hedge arising during the period (2)</w:t>
            </w:r>
          </w:p>
        </w:tc>
        <w:tc>
          <w:tcPr>
            <w:tcW w:w="380" w:type="dxa"/>
            <w:vAlign w:val="bottom"/>
          </w:tcPr>
          <w:p>
            <w:pPr>
              <w:spacing w:after="0"/>
              <w:rPr>
                <w:sz w:val="24"/>
                <w:szCs w:val="24"/>
                <w:color w:val="auto"/>
              </w:rPr>
            </w:pPr>
          </w:p>
        </w:tc>
        <w:tc>
          <w:tcPr>
            <w:tcW w:w="1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00" w:type="dxa"/>
            <w:vAlign w:val="bottom"/>
            <w:gridSpan w:val="2"/>
          </w:tcPr>
          <w:p>
            <w:pPr>
              <w:jc w:val="right"/>
              <w:ind w:right="60"/>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260" w:type="dxa"/>
            <w:vAlign w:val="bottom"/>
            <w:shd w:val="clear" w:color="auto" w:fill="EAF9E8"/>
          </w:tcPr>
          <w:p>
            <w:pPr>
              <w:ind w:left="140"/>
              <w:spacing w:after="0"/>
              <w:rPr>
                <w:sz w:val="20"/>
                <w:szCs w:val="20"/>
                <w:color w:val="auto"/>
              </w:rPr>
            </w:pPr>
            <w:r>
              <w:rPr>
                <w:rFonts w:ascii="Arial" w:cs="Arial" w:eastAsia="Arial" w:hAnsi="Arial"/>
                <w:sz w:val="18"/>
                <w:szCs w:val="18"/>
                <w:color w:val="auto"/>
              </w:rPr>
              <w:t>Less: Reclassification adjustment for loss on cash flow hedge included in net income (3)</w:t>
            </w:r>
          </w:p>
        </w:tc>
        <w:tc>
          <w:tcPr>
            <w:tcW w:w="380" w:type="dxa"/>
            <w:vAlign w:val="bottom"/>
            <w:shd w:val="clear" w:color="auto" w:fill="EAF9E8"/>
          </w:tcPr>
          <w:p>
            <w:pPr>
              <w:spacing w:after="0"/>
              <w:rPr>
                <w:sz w:val="18"/>
                <w:szCs w:val="18"/>
                <w:color w:val="auto"/>
              </w:rPr>
            </w:pPr>
          </w:p>
        </w:tc>
        <w:tc>
          <w:tcPr>
            <w:tcW w:w="166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5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345</w:t>
            </w:r>
          </w:p>
        </w:tc>
        <w:tc>
          <w:tcPr>
            <w:tcW w:w="12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260" w:type="dxa"/>
            <w:vAlign w:val="bottom"/>
            <w:vMerge w:val="restart"/>
          </w:tcPr>
          <w:p>
            <w:pPr>
              <w:ind w:left="300"/>
              <w:spacing w:after="0"/>
              <w:rPr>
                <w:sz w:val="20"/>
                <w:szCs w:val="20"/>
                <w:color w:val="auto"/>
              </w:rPr>
            </w:pPr>
            <w:r>
              <w:rPr>
                <w:rFonts w:ascii="Arial" w:cs="Arial" w:eastAsia="Arial" w:hAnsi="Arial"/>
                <w:sz w:val="18"/>
                <w:szCs w:val="18"/>
                <w:color w:val="auto"/>
              </w:rPr>
              <w:t>Net change in deferred loss on cash flow hedge</w:t>
            </w:r>
          </w:p>
        </w:tc>
        <w:tc>
          <w:tcPr>
            <w:tcW w:w="380" w:type="dxa"/>
            <w:vAlign w:val="bottom"/>
          </w:tcPr>
          <w:p>
            <w:pPr>
              <w:spacing w:after="0"/>
              <w:rPr>
                <w:sz w:val="21"/>
                <w:szCs w:val="21"/>
                <w:color w:val="auto"/>
              </w:rPr>
            </w:pPr>
          </w:p>
        </w:tc>
        <w:tc>
          <w:tcPr>
            <w:tcW w:w="1660" w:type="dxa"/>
            <w:vAlign w:val="bottom"/>
            <w:gridSpan w:val="2"/>
          </w:tcPr>
          <w:p>
            <w:pPr>
              <w:spacing w:after="0"/>
              <w:rPr>
                <w:sz w:val="21"/>
                <w:szCs w:val="21"/>
                <w:color w:val="auto"/>
              </w:rPr>
            </w:pP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vMerge w:val="continue"/>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60" w:type="dxa"/>
            <w:vAlign w:val="bottom"/>
            <w:gridSpan w:val="2"/>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60" w:type="dxa"/>
            <w:vAlign w:val="bottom"/>
            <w:shd w:val="clear" w:color="auto" w:fill="EAF9E8"/>
          </w:tcPr>
          <w:p>
            <w:pPr>
              <w:spacing w:after="0"/>
              <w:rPr>
                <w:sz w:val="18"/>
                <w:szCs w:val="18"/>
                <w:color w:val="auto"/>
              </w:rPr>
            </w:pPr>
          </w:p>
        </w:tc>
        <w:tc>
          <w:tcPr>
            <w:tcW w:w="380" w:type="dxa"/>
            <w:vAlign w:val="bottom"/>
            <w:tcBorders>
              <w:top w:val="single" w:sz="8" w:color="auto"/>
            </w:tcBorders>
            <w:shd w:val="clear" w:color="auto" w:fill="EAF9E8"/>
          </w:tcPr>
          <w:p>
            <w:pPr>
              <w:spacing w:after="0"/>
              <w:rPr>
                <w:sz w:val="18"/>
                <w:szCs w:val="18"/>
                <w:color w:val="auto"/>
              </w:rPr>
            </w:pPr>
          </w:p>
        </w:tc>
        <w:tc>
          <w:tcPr>
            <w:tcW w:w="146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(40)</w:t>
            </w:r>
          </w:p>
        </w:tc>
        <w:tc>
          <w:tcPr>
            <w:tcW w:w="2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260" w:type="dxa"/>
            <w:vAlign w:val="bottom"/>
            <w:tcBorders>
              <w:top w:val="single" w:sz="8" w:color="auto"/>
            </w:tcBorders>
            <w:shd w:val="clear" w:color="auto" w:fill="EAF9E8"/>
          </w:tcPr>
          <w:p>
            <w:pPr>
              <w:spacing w:after="0"/>
              <w:rPr>
                <w:sz w:val="18"/>
                <w:szCs w:val="18"/>
                <w:color w:val="auto"/>
              </w:rPr>
            </w:pPr>
          </w:p>
        </w:tc>
        <w:tc>
          <w:tcPr>
            <w:tcW w:w="158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865</w:t>
            </w:r>
          </w:p>
        </w:tc>
        <w:tc>
          <w:tcPr>
            <w:tcW w:w="12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7280" w:type="dxa"/>
            <w:vAlign w:val="bottom"/>
            <w:gridSpan w:val="2"/>
            <w:vMerge w:val="restart"/>
          </w:tcPr>
          <w:p>
            <w:pPr>
              <w:spacing w:after="0"/>
              <w:rPr>
                <w:sz w:val="20"/>
                <w:szCs w:val="20"/>
                <w:color w:val="auto"/>
              </w:rPr>
            </w:pPr>
            <w:r>
              <w:rPr>
                <w:rFonts w:ascii="Arial" w:cs="Arial" w:eastAsia="Arial" w:hAnsi="Arial"/>
                <w:sz w:val="18"/>
                <w:szCs w:val="18"/>
                <w:color w:val="auto"/>
              </w:rPr>
              <w:t>Comprehensive income</w:t>
            </w:r>
          </w:p>
        </w:tc>
        <w:tc>
          <w:tcPr>
            <w:tcW w:w="38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7280" w:type="dxa"/>
            <w:vAlign w:val="bottom"/>
            <w:gridSpan w:val="2"/>
            <w:vMerge w:val="continue"/>
          </w:tcPr>
          <w:p>
            <w:pPr>
              <w:spacing w:after="0"/>
              <w:rPr>
                <w:sz w:val="18"/>
                <w:szCs w:val="18"/>
                <w:color w:val="auto"/>
              </w:rPr>
            </w:pPr>
          </w:p>
        </w:tc>
        <w:tc>
          <w:tcPr>
            <w:tcW w:w="3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14,999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6,139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EAF9E8"/>
          </w:tcPr>
          <w:p>
            <w:pPr>
              <w:ind w:left="140"/>
              <w:spacing w:after="0"/>
              <w:rPr>
                <w:sz w:val="20"/>
                <w:szCs w:val="20"/>
                <w:color w:val="auto"/>
              </w:rPr>
            </w:pPr>
            <w:r>
              <w:rPr>
                <w:rFonts w:ascii="Arial" w:cs="Arial" w:eastAsia="Arial" w:hAnsi="Arial"/>
                <w:sz w:val="18"/>
                <w:szCs w:val="18"/>
                <w:color w:val="auto"/>
              </w:rPr>
              <w:t>Comprehensive loss (income) attributable to minority interest in subsidiaries</w:t>
            </w:r>
          </w:p>
        </w:tc>
        <w:tc>
          <w:tcPr>
            <w:tcW w:w="380" w:type="dxa"/>
            <w:vAlign w:val="bottom"/>
            <w:shd w:val="clear" w:color="auto" w:fill="EAF9E8"/>
          </w:tcPr>
          <w:p>
            <w:pPr>
              <w:spacing w:after="0"/>
              <w:rPr>
                <w:sz w:val="18"/>
                <w:szCs w:val="18"/>
                <w:color w:val="auto"/>
              </w:rPr>
            </w:pPr>
          </w:p>
        </w:tc>
        <w:tc>
          <w:tcPr>
            <w:tcW w:w="14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102</w:t>
            </w:r>
          </w:p>
        </w:tc>
        <w:tc>
          <w:tcPr>
            <w:tcW w:w="2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700" w:type="dxa"/>
            <w:vAlign w:val="bottom"/>
            <w:gridSpan w:val="2"/>
            <w:shd w:val="clear" w:color="auto" w:fill="EAF9E8"/>
          </w:tcPr>
          <w:p>
            <w:pPr>
              <w:jc w:val="right"/>
              <w:ind w:right="6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43"/>
        </w:trPr>
        <w:tc>
          <w:tcPr>
            <w:tcW w:w="7280" w:type="dxa"/>
            <w:vAlign w:val="bottom"/>
            <w:gridSpan w:val="2"/>
            <w:vMerge w:val="restart"/>
          </w:tcPr>
          <w:p>
            <w:pPr>
              <w:spacing w:after="0"/>
              <w:rPr>
                <w:sz w:val="20"/>
                <w:szCs w:val="20"/>
                <w:color w:val="auto"/>
              </w:rPr>
            </w:pPr>
            <w:r>
              <w:rPr>
                <w:rFonts w:ascii="Arial" w:cs="Arial" w:eastAsia="Arial" w:hAnsi="Arial"/>
                <w:sz w:val="18"/>
                <w:szCs w:val="18"/>
                <w:color w:val="auto"/>
              </w:rPr>
              <w:t>Comprehensive income attributable to OCN</w:t>
            </w:r>
          </w:p>
        </w:tc>
        <w:tc>
          <w:tcPr>
            <w:tcW w:w="38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0" w:type="dxa"/>
            <w:vAlign w:val="bottom"/>
            <w:gridSpan w:val="2"/>
          </w:tcPr>
          <w:p>
            <w:pPr>
              <w:spacing w:after="0"/>
              <w:rPr>
                <w:sz w:val="21"/>
                <w:szCs w:val="21"/>
                <w:color w:val="auto"/>
              </w:rPr>
            </w:pPr>
          </w:p>
        </w:tc>
        <w:tc>
          <w:tcPr>
            <w:tcW w:w="1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7280" w:type="dxa"/>
            <w:vAlign w:val="bottom"/>
            <w:gridSpan w:val="2"/>
            <w:vMerge w:val="continue"/>
          </w:tcPr>
          <w:p>
            <w:pPr>
              <w:spacing w:after="0"/>
              <w:rPr>
                <w:sz w:val="18"/>
                <w:szCs w:val="18"/>
                <w:color w:val="auto"/>
              </w:rPr>
            </w:pPr>
          </w:p>
        </w:tc>
        <w:tc>
          <w:tcPr>
            <w:tcW w:w="380" w:type="dxa"/>
            <w:vAlign w:val="bottom"/>
            <w:tcBorders>
              <w:top w:val="single" w:sz="8" w:color="auto"/>
            </w:tcBorders>
          </w:tcPr>
          <w:p>
            <w:pPr>
              <w:jc w:val="right"/>
              <w:ind w:right="192"/>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15,101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Borders>
              <w:top w:val="single" w:sz="8" w:color="auto"/>
            </w:tcBorders>
          </w:tcPr>
          <w:p>
            <w:pPr>
              <w:jc w:val="right"/>
              <w:ind w:right="103"/>
              <w:spacing w:after="0"/>
              <w:rPr>
                <w:sz w:val="20"/>
                <w:szCs w:val="20"/>
                <w:color w:val="auto"/>
              </w:rPr>
            </w:pPr>
            <w:r>
              <w:rPr>
                <w:rFonts w:ascii="Arial" w:cs="Arial" w:eastAsia="Arial" w:hAnsi="Arial"/>
                <w:sz w:val="15"/>
                <w:szCs w:val="15"/>
                <w:color w:val="auto"/>
                <w:w w:val="71"/>
              </w:rPr>
              <w:t>$</w:t>
            </w: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6,047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26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ind w:left="580" w:hanging="572"/>
        <w:spacing w:after="0"/>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Net of tax benefit (expense) of $23 and $(420) for the three months ended March 31, 2009 and 2008, respectively.</w:t>
      </w:r>
    </w:p>
    <w:p>
      <w:pPr>
        <w:spacing w:after="0" w:line="157" w:lineRule="exact"/>
        <w:rPr>
          <w:rFonts w:ascii="Arial" w:cs="Arial" w:eastAsia="Arial" w:hAnsi="Arial"/>
          <w:sz w:val="18"/>
          <w:szCs w:val="18"/>
          <w:color w:val="auto"/>
        </w:rPr>
      </w:pPr>
    </w:p>
    <w:p>
      <w:pPr>
        <w:ind w:left="580" w:hanging="572"/>
        <w:spacing w:after="0"/>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Net of tax benefit of $114 for the three months ended March 31, 2008.</w:t>
      </w:r>
    </w:p>
    <w:p>
      <w:pPr>
        <w:spacing w:after="0" w:line="157" w:lineRule="exact"/>
        <w:rPr>
          <w:rFonts w:ascii="Arial" w:cs="Arial" w:eastAsia="Arial" w:hAnsi="Arial"/>
          <w:sz w:val="18"/>
          <w:szCs w:val="18"/>
          <w:color w:val="auto"/>
        </w:rPr>
      </w:pPr>
    </w:p>
    <w:p>
      <w:pPr>
        <w:ind w:left="580" w:hanging="572"/>
        <w:spacing w:after="0"/>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Net of tax expense of $202 for the three months ended March 31, 2008.</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OCWEN FINANCIAL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CHANGES IN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MARCH 31, 2009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share data)</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0" w:type="dxa"/>
            <w:vAlign w:val="bottom"/>
            <w:gridSpan w:val="4"/>
          </w:tcPr>
          <w:p>
            <w:pPr>
              <w:jc w:val="center"/>
              <w:spacing w:after="0"/>
              <w:rPr>
                <w:sz w:val="20"/>
                <w:szCs w:val="20"/>
                <w:color w:val="auto"/>
              </w:rPr>
            </w:pPr>
            <w:r>
              <w:rPr>
                <w:rFonts w:ascii="Arial" w:cs="Arial" w:eastAsia="Arial" w:hAnsi="Arial"/>
                <w:sz w:val="18"/>
                <w:szCs w:val="18"/>
                <w:color w:val="auto"/>
                <w:w w:val="86"/>
              </w:rPr>
              <w:t>OCN Shareholders</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7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3"/>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gridSpan w:val="2"/>
          </w:tcPr>
          <w:p>
            <w:pPr>
              <w:jc w:val="center"/>
              <w:spacing w:after="0" w:line="201" w:lineRule="exact"/>
              <w:rPr>
                <w:sz w:val="20"/>
                <w:szCs w:val="20"/>
                <w:color w:val="auto"/>
              </w:rPr>
            </w:pPr>
            <w:r>
              <w:rPr>
                <w:rFonts w:ascii="Arial" w:cs="Arial" w:eastAsia="Arial" w:hAnsi="Arial"/>
                <w:sz w:val="18"/>
                <w:szCs w:val="18"/>
                <w:color w:val="auto"/>
                <w:w w:val="90"/>
              </w:rPr>
              <w:t>Accumulated</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8"/>
                <w:szCs w:val="18"/>
                <w:color w:val="auto"/>
                <w:w w:val="88"/>
              </w:rPr>
              <w:t>Other</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8"/>
                <w:szCs w:val="18"/>
                <w:color w:val="auto"/>
                <w:w w:val="96"/>
              </w:rPr>
              <w:t>Additional</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4"/>
          </w:tcPr>
          <w:p>
            <w:pPr>
              <w:jc w:val="center"/>
              <w:ind w:right="40"/>
              <w:spacing w:after="0"/>
              <w:rPr>
                <w:sz w:val="20"/>
                <w:szCs w:val="20"/>
                <w:color w:val="auto"/>
              </w:rPr>
            </w:pPr>
            <w:r>
              <w:rPr>
                <w:rFonts w:ascii="Arial" w:cs="Arial" w:eastAsia="Arial" w:hAnsi="Arial"/>
                <w:sz w:val="18"/>
                <w:szCs w:val="18"/>
                <w:color w:val="auto"/>
                <w:w w:val="87"/>
              </w:rPr>
              <w:t>Comprehensive</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8"/>
                <w:szCs w:val="18"/>
                <w:color w:val="auto"/>
                <w:w w:val="98"/>
              </w:rPr>
              <w:t>Minority</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2360" w:type="dxa"/>
            <w:vAlign w:val="bottom"/>
            <w:gridSpan w:val="6"/>
          </w:tcPr>
          <w:p>
            <w:pPr>
              <w:ind w:left="620"/>
              <w:spacing w:after="0"/>
              <w:rPr>
                <w:sz w:val="20"/>
                <w:szCs w:val="20"/>
                <w:color w:val="auto"/>
              </w:rPr>
            </w:pPr>
            <w:r>
              <w:rPr>
                <w:rFonts w:ascii="Arial" w:cs="Arial" w:eastAsia="Arial" w:hAnsi="Arial"/>
                <w:sz w:val="18"/>
                <w:szCs w:val="18"/>
                <w:color w:val="auto"/>
              </w:rPr>
              <w:t>Common Stock</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8"/>
                <w:szCs w:val="18"/>
                <w:color w:val="auto"/>
                <w:w w:val="92"/>
              </w:rPr>
              <w:t>Paid-in</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w w:val="88"/>
              </w:rPr>
              <w:t>Retained</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8"/>
                <w:szCs w:val="18"/>
                <w:color w:val="auto"/>
                <w:w w:val="90"/>
              </w:rPr>
              <w:t>Income,</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interest in</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7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gridSpan w:val="2"/>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gridSpan w:val="2"/>
            <w:vMerge w:val="restart"/>
          </w:tcPr>
          <w:p>
            <w:pPr>
              <w:jc w:val="center"/>
              <w:ind w:right="300"/>
              <w:spacing w:after="0"/>
              <w:rPr>
                <w:sz w:val="20"/>
                <w:szCs w:val="20"/>
                <w:color w:val="auto"/>
              </w:rPr>
            </w:pPr>
            <w:r>
              <w:rPr>
                <w:rFonts w:ascii="Arial" w:cs="Arial" w:eastAsia="Arial" w:hAnsi="Arial"/>
                <w:sz w:val="18"/>
                <w:szCs w:val="18"/>
                <w:color w:val="auto"/>
                <w:w w:val="92"/>
              </w:rPr>
              <w:t>Capital</w:t>
            </w: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gridSpan w:val="2"/>
            <w:vMerge w:val="restart"/>
          </w:tcPr>
          <w:p>
            <w:pPr>
              <w:jc w:val="right"/>
              <w:ind w:right="320"/>
              <w:spacing w:after="0"/>
              <w:rPr>
                <w:sz w:val="20"/>
                <w:szCs w:val="20"/>
                <w:color w:val="auto"/>
              </w:rPr>
            </w:pPr>
            <w:r>
              <w:rPr>
                <w:rFonts w:ascii="Arial" w:cs="Arial" w:eastAsia="Arial" w:hAnsi="Arial"/>
                <w:sz w:val="18"/>
                <w:szCs w:val="18"/>
                <w:color w:val="auto"/>
                <w:w w:val="90"/>
              </w:rPr>
              <w:t>Earnings</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gridSpan w:val="2"/>
            <w:vMerge w:val="restart"/>
          </w:tcPr>
          <w:p>
            <w:pPr>
              <w:jc w:val="center"/>
              <w:ind w:right="240"/>
              <w:spacing w:after="0"/>
              <w:rPr>
                <w:sz w:val="20"/>
                <w:szCs w:val="20"/>
                <w:color w:val="auto"/>
              </w:rPr>
            </w:pPr>
            <w:r>
              <w:rPr>
                <w:rFonts w:ascii="Arial" w:cs="Arial" w:eastAsia="Arial" w:hAnsi="Arial"/>
                <w:sz w:val="18"/>
                <w:szCs w:val="18"/>
                <w:color w:val="auto"/>
                <w:w w:val="88"/>
              </w:rPr>
              <w:t>Net of Taxes</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60" w:type="dxa"/>
            <w:vAlign w:val="bottom"/>
            <w:gridSpan w:val="2"/>
            <w:vMerge w:val="restart"/>
          </w:tcPr>
          <w:p>
            <w:pPr>
              <w:jc w:val="center"/>
              <w:ind w:right="220"/>
              <w:spacing w:after="0"/>
              <w:rPr>
                <w:sz w:val="20"/>
                <w:szCs w:val="20"/>
                <w:color w:val="auto"/>
              </w:rPr>
            </w:pPr>
            <w:r>
              <w:rPr>
                <w:rFonts w:ascii="Arial" w:cs="Arial" w:eastAsia="Arial" w:hAnsi="Arial"/>
                <w:sz w:val="18"/>
                <w:szCs w:val="18"/>
                <w:color w:val="auto"/>
                <w:w w:val="88"/>
              </w:rPr>
              <w:t>subsidiaries</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gridSpan w:val="2"/>
            <w:vMerge w:val="restart"/>
          </w:tcPr>
          <w:p>
            <w:pPr>
              <w:jc w:val="right"/>
              <w:ind w:right="44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160" w:type="dxa"/>
            <w:vAlign w:val="bottom"/>
            <w:tcBorders>
              <w:top w:val="single" w:sz="8" w:color="auto"/>
            </w:tcBorders>
            <w:gridSpan w:val="2"/>
          </w:tcPr>
          <w:p>
            <w:pPr>
              <w:jc w:val="right"/>
              <w:ind w:right="400"/>
              <w:spacing w:after="0"/>
              <w:rPr>
                <w:sz w:val="20"/>
                <w:szCs w:val="20"/>
                <w:color w:val="auto"/>
              </w:rPr>
            </w:pPr>
            <w:r>
              <w:rPr>
                <w:rFonts w:ascii="Arial" w:cs="Arial" w:eastAsia="Arial" w:hAnsi="Arial"/>
                <w:sz w:val="18"/>
                <w:szCs w:val="18"/>
                <w:color w:val="auto"/>
              </w:rPr>
              <w:t>Shares</w:t>
            </w:r>
          </w:p>
        </w:tc>
        <w:tc>
          <w:tcPr>
            <w:tcW w:w="1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152"/>
              <w:spacing w:after="0"/>
              <w:rPr>
                <w:sz w:val="20"/>
                <w:szCs w:val="20"/>
                <w:color w:val="auto"/>
              </w:rPr>
            </w:pPr>
            <w:r>
              <w:rPr>
                <w:rFonts w:ascii="Arial" w:cs="Arial" w:eastAsia="Arial" w:hAnsi="Arial"/>
                <w:sz w:val="18"/>
                <w:szCs w:val="18"/>
                <w:color w:val="auto"/>
                <w:w w:val="99"/>
              </w:rPr>
              <w:t>Amount</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2720" w:type="dxa"/>
            <w:vAlign w:val="bottom"/>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20" w:type="dxa"/>
            <w:vAlign w:val="bottom"/>
            <w:vMerge w:val="continue"/>
          </w:tcPr>
          <w:p>
            <w:pPr>
              <w:spacing w:after="0"/>
              <w:rPr>
                <w:sz w:val="16"/>
                <w:szCs w:val="16"/>
                <w:color w:val="auto"/>
              </w:rPr>
            </w:pPr>
          </w:p>
        </w:tc>
        <w:tc>
          <w:tcPr>
            <w:tcW w:w="2720" w:type="dxa"/>
            <w:vAlign w:val="bottom"/>
            <w:shd w:val="clear" w:color="auto" w:fill="EAF9E8"/>
          </w:tcPr>
          <w:p>
            <w:pPr>
              <w:spacing w:after="0" w:line="195" w:lineRule="exact"/>
              <w:rPr>
                <w:sz w:val="20"/>
                <w:szCs w:val="20"/>
                <w:color w:val="auto"/>
              </w:rPr>
            </w:pPr>
            <w:r>
              <w:rPr>
                <w:rFonts w:ascii="Arial" w:cs="Arial" w:eastAsia="Arial" w:hAnsi="Arial"/>
                <w:sz w:val="18"/>
                <w:szCs w:val="18"/>
                <w:b w:val="1"/>
                <w:bCs w:val="1"/>
                <w:color w:val="auto"/>
              </w:rPr>
              <w:t>Balance at December 31, 2008</w:t>
            </w:r>
          </w:p>
        </w:tc>
        <w:tc>
          <w:tcPr>
            <w:tcW w:w="1040" w:type="dxa"/>
            <w:vAlign w:val="bottom"/>
            <w:shd w:val="clear" w:color="auto" w:fill="EAF9E8"/>
          </w:tcPr>
          <w:p>
            <w:pPr>
              <w:spacing w:after="0"/>
              <w:rPr>
                <w:sz w:val="16"/>
                <w:szCs w:val="16"/>
                <w:color w:val="auto"/>
              </w:rPr>
            </w:pPr>
          </w:p>
        </w:tc>
        <w:tc>
          <w:tcPr>
            <w:tcW w:w="120" w:type="dxa"/>
            <w:vAlign w:val="bottom"/>
            <w:shd w:val="clear" w:color="auto" w:fill="EAF9E8"/>
          </w:tcPr>
          <w:p>
            <w:pPr>
              <w:spacing w:after="0"/>
              <w:rPr>
                <w:sz w:val="16"/>
                <w:szCs w:val="16"/>
                <w:color w:val="auto"/>
              </w:rPr>
            </w:pPr>
          </w:p>
        </w:tc>
        <w:tc>
          <w:tcPr>
            <w:tcW w:w="120" w:type="dxa"/>
            <w:vAlign w:val="bottom"/>
            <w:shd w:val="clear" w:color="auto" w:fill="EAF9E8"/>
          </w:tcPr>
          <w:p>
            <w:pPr>
              <w:spacing w:after="0"/>
              <w:rPr>
                <w:sz w:val="16"/>
                <w:szCs w:val="16"/>
                <w:color w:val="auto"/>
              </w:rPr>
            </w:pPr>
          </w:p>
        </w:tc>
        <w:tc>
          <w:tcPr>
            <w:tcW w:w="160" w:type="dxa"/>
            <w:vAlign w:val="bottom"/>
            <w:shd w:val="clear" w:color="auto" w:fill="EAF9E8"/>
          </w:tcPr>
          <w:p>
            <w:pPr>
              <w:spacing w:after="0"/>
              <w:rPr>
                <w:sz w:val="16"/>
                <w:szCs w:val="16"/>
                <w:color w:val="auto"/>
              </w:rPr>
            </w:pPr>
          </w:p>
        </w:tc>
        <w:tc>
          <w:tcPr>
            <w:tcW w:w="880" w:type="dxa"/>
            <w:vAlign w:val="bottom"/>
            <w:shd w:val="clear" w:color="auto" w:fill="EAF9E8"/>
          </w:tcPr>
          <w:p>
            <w:pPr>
              <w:spacing w:after="0"/>
              <w:rPr>
                <w:sz w:val="16"/>
                <w:szCs w:val="16"/>
                <w:color w:val="auto"/>
              </w:rPr>
            </w:pPr>
          </w:p>
        </w:tc>
        <w:tc>
          <w:tcPr>
            <w:tcW w:w="40" w:type="dxa"/>
            <w:vAlign w:val="bottom"/>
            <w:shd w:val="clear" w:color="auto" w:fill="EAF9E8"/>
          </w:tcPr>
          <w:p>
            <w:pPr>
              <w:spacing w:after="0"/>
              <w:rPr>
                <w:sz w:val="16"/>
                <w:szCs w:val="16"/>
                <w:color w:val="auto"/>
              </w:rPr>
            </w:pPr>
          </w:p>
        </w:tc>
        <w:tc>
          <w:tcPr>
            <w:tcW w:w="180" w:type="dxa"/>
            <w:vAlign w:val="bottom"/>
            <w:shd w:val="clear" w:color="auto" w:fill="EAF9E8"/>
          </w:tcPr>
          <w:p>
            <w:pPr>
              <w:spacing w:after="0"/>
              <w:rPr>
                <w:sz w:val="16"/>
                <w:szCs w:val="16"/>
                <w:color w:val="auto"/>
              </w:rPr>
            </w:pPr>
          </w:p>
        </w:tc>
        <w:tc>
          <w:tcPr>
            <w:tcW w:w="120" w:type="dxa"/>
            <w:vAlign w:val="bottom"/>
            <w:shd w:val="clear" w:color="auto" w:fill="EAF9E8"/>
          </w:tcPr>
          <w:p>
            <w:pPr>
              <w:spacing w:after="0"/>
              <w:rPr>
                <w:sz w:val="16"/>
                <w:szCs w:val="16"/>
                <w:color w:val="auto"/>
              </w:rPr>
            </w:pPr>
          </w:p>
        </w:tc>
        <w:tc>
          <w:tcPr>
            <w:tcW w:w="920" w:type="dxa"/>
            <w:vAlign w:val="bottom"/>
            <w:shd w:val="clear" w:color="auto" w:fill="EAF9E8"/>
          </w:tcPr>
          <w:p>
            <w:pPr>
              <w:spacing w:after="0"/>
              <w:rPr>
                <w:sz w:val="16"/>
                <w:szCs w:val="16"/>
                <w:color w:val="auto"/>
              </w:rPr>
            </w:pPr>
          </w:p>
        </w:tc>
        <w:tc>
          <w:tcPr>
            <w:tcW w:w="180" w:type="dxa"/>
            <w:vAlign w:val="bottom"/>
            <w:shd w:val="clear" w:color="auto" w:fill="EAF9E8"/>
          </w:tcPr>
          <w:p>
            <w:pPr>
              <w:spacing w:after="0"/>
              <w:rPr>
                <w:sz w:val="16"/>
                <w:szCs w:val="16"/>
                <w:color w:val="auto"/>
              </w:rPr>
            </w:pPr>
          </w:p>
        </w:tc>
        <w:tc>
          <w:tcPr>
            <w:tcW w:w="40" w:type="dxa"/>
            <w:vAlign w:val="bottom"/>
            <w:shd w:val="clear" w:color="auto" w:fill="EAF9E8"/>
          </w:tcPr>
          <w:p>
            <w:pPr>
              <w:spacing w:after="0"/>
              <w:rPr>
                <w:sz w:val="16"/>
                <w:szCs w:val="16"/>
                <w:color w:val="auto"/>
              </w:rPr>
            </w:pPr>
          </w:p>
        </w:tc>
        <w:tc>
          <w:tcPr>
            <w:tcW w:w="140" w:type="dxa"/>
            <w:vAlign w:val="bottom"/>
            <w:shd w:val="clear" w:color="auto" w:fill="EAF9E8"/>
          </w:tcPr>
          <w:p>
            <w:pPr>
              <w:spacing w:after="0"/>
              <w:rPr>
                <w:sz w:val="16"/>
                <w:szCs w:val="16"/>
                <w:color w:val="auto"/>
              </w:rPr>
            </w:pPr>
          </w:p>
        </w:tc>
        <w:tc>
          <w:tcPr>
            <w:tcW w:w="860" w:type="dxa"/>
            <w:vAlign w:val="bottom"/>
            <w:shd w:val="clear" w:color="auto" w:fill="EAF9E8"/>
          </w:tcPr>
          <w:p>
            <w:pPr>
              <w:spacing w:after="0"/>
              <w:rPr>
                <w:sz w:val="16"/>
                <w:szCs w:val="16"/>
                <w:color w:val="auto"/>
              </w:rPr>
            </w:pPr>
          </w:p>
        </w:tc>
        <w:tc>
          <w:tcPr>
            <w:tcW w:w="120" w:type="dxa"/>
            <w:vAlign w:val="bottom"/>
            <w:shd w:val="clear" w:color="auto" w:fill="EAF9E8"/>
          </w:tcPr>
          <w:p>
            <w:pPr>
              <w:spacing w:after="0"/>
              <w:rPr>
                <w:sz w:val="16"/>
                <w:szCs w:val="16"/>
                <w:color w:val="auto"/>
              </w:rPr>
            </w:pPr>
          </w:p>
        </w:tc>
        <w:tc>
          <w:tcPr>
            <w:tcW w:w="100" w:type="dxa"/>
            <w:vAlign w:val="bottom"/>
            <w:shd w:val="clear" w:color="auto" w:fill="EAF9E8"/>
          </w:tcPr>
          <w:p>
            <w:pPr>
              <w:spacing w:after="0"/>
              <w:rPr>
                <w:sz w:val="16"/>
                <w:szCs w:val="16"/>
                <w:color w:val="auto"/>
              </w:rPr>
            </w:pPr>
          </w:p>
        </w:tc>
        <w:tc>
          <w:tcPr>
            <w:tcW w:w="100" w:type="dxa"/>
            <w:vAlign w:val="bottom"/>
            <w:shd w:val="clear" w:color="auto" w:fill="EAF9E8"/>
          </w:tcPr>
          <w:p>
            <w:pPr>
              <w:spacing w:after="0"/>
              <w:rPr>
                <w:sz w:val="16"/>
                <w:szCs w:val="16"/>
                <w:color w:val="auto"/>
              </w:rPr>
            </w:pPr>
          </w:p>
        </w:tc>
        <w:tc>
          <w:tcPr>
            <w:tcW w:w="1000" w:type="dxa"/>
            <w:vAlign w:val="bottom"/>
            <w:shd w:val="clear" w:color="auto" w:fill="EAF9E8"/>
          </w:tcPr>
          <w:p>
            <w:pPr>
              <w:spacing w:after="0"/>
              <w:rPr>
                <w:sz w:val="16"/>
                <w:szCs w:val="16"/>
                <w:color w:val="auto"/>
              </w:rPr>
            </w:pPr>
          </w:p>
        </w:tc>
        <w:tc>
          <w:tcPr>
            <w:tcW w:w="140" w:type="dxa"/>
            <w:vAlign w:val="bottom"/>
            <w:shd w:val="clear" w:color="auto" w:fill="EAF9E8"/>
          </w:tcPr>
          <w:p>
            <w:pPr>
              <w:spacing w:after="0"/>
              <w:rPr>
                <w:sz w:val="16"/>
                <w:szCs w:val="16"/>
                <w:color w:val="auto"/>
              </w:rPr>
            </w:pPr>
          </w:p>
        </w:tc>
        <w:tc>
          <w:tcPr>
            <w:tcW w:w="80" w:type="dxa"/>
            <w:vAlign w:val="bottom"/>
            <w:shd w:val="clear" w:color="auto" w:fill="EAF9E8"/>
          </w:tcPr>
          <w:p>
            <w:pPr>
              <w:spacing w:after="0"/>
              <w:rPr>
                <w:sz w:val="16"/>
                <w:szCs w:val="16"/>
                <w:color w:val="auto"/>
              </w:rPr>
            </w:pPr>
          </w:p>
        </w:tc>
        <w:tc>
          <w:tcPr>
            <w:tcW w:w="80" w:type="dxa"/>
            <w:vAlign w:val="bottom"/>
            <w:shd w:val="clear" w:color="auto" w:fill="EAF9E8"/>
          </w:tcPr>
          <w:p>
            <w:pPr>
              <w:spacing w:after="0"/>
              <w:rPr>
                <w:sz w:val="16"/>
                <w:szCs w:val="16"/>
                <w:color w:val="auto"/>
              </w:rPr>
            </w:pPr>
          </w:p>
        </w:tc>
        <w:tc>
          <w:tcPr>
            <w:tcW w:w="920" w:type="dxa"/>
            <w:vAlign w:val="bottom"/>
            <w:shd w:val="clear" w:color="auto" w:fill="EAF9E8"/>
          </w:tcPr>
          <w:p>
            <w:pPr>
              <w:spacing w:after="0"/>
              <w:rPr>
                <w:sz w:val="16"/>
                <w:szCs w:val="16"/>
                <w:color w:val="auto"/>
              </w:rPr>
            </w:pPr>
          </w:p>
        </w:tc>
        <w:tc>
          <w:tcPr>
            <w:tcW w:w="140" w:type="dxa"/>
            <w:vAlign w:val="bottom"/>
            <w:shd w:val="clear" w:color="auto" w:fill="EAF9E8"/>
          </w:tcPr>
          <w:p>
            <w:pPr>
              <w:spacing w:after="0"/>
              <w:rPr>
                <w:sz w:val="16"/>
                <w:szCs w:val="16"/>
                <w:color w:val="auto"/>
              </w:rPr>
            </w:pPr>
          </w:p>
        </w:tc>
        <w:tc>
          <w:tcPr>
            <w:tcW w:w="80" w:type="dxa"/>
            <w:vAlign w:val="bottom"/>
            <w:shd w:val="clear" w:color="auto" w:fill="EAF9E8"/>
          </w:tcPr>
          <w:p>
            <w:pPr>
              <w:spacing w:after="0"/>
              <w:rPr>
                <w:sz w:val="16"/>
                <w:szCs w:val="16"/>
                <w:color w:val="auto"/>
              </w:rPr>
            </w:pPr>
          </w:p>
        </w:tc>
        <w:tc>
          <w:tcPr>
            <w:tcW w:w="200" w:type="dxa"/>
            <w:vAlign w:val="bottom"/>
            <w:shd w:val="clear" w:color="auto" w:fill="EAF9E8"/>
          </w:tcPr>
          <w:p>
            <w:pPr>
              <w:spacing w:after="0"/>
              <w:rPr>
                <w:sz w:val="16"/>
                <w:szCs w:val="16"/>
                <w:color w:val="auto"/>
              </w:rPr>
            </w:pPr>
          </w:p>
        </w:tc>
        <w:tc>
          <w:tcPr>
            <w:tcW w:w="820" w:type="dxa"/>
            <w:vAlign w:val="bottom"/>
            <w:shd w:val="clear" w:color="auto" w:fill="EAF9E8"/>
          </w:tcPr>
          <w:p>
            <w:pPr>
              <w:spacing w:after="0"/>
              <w:rPr>
                <w:sz w:val="16"/>
                <w:szCs w:val="16"/>
                <w:color w:val="auto"/>
              </w:rPr>
            </w:pPr>
          </w:p>
        </w:tc>
        <w:tc>
          <w:tcPr>
            <w:tcW w:w="100" w:type="dxa"/>
            <w:vAlign w:val="bottom"/>
            <w:shd w:val="clear" w:color="auto" w:fill="EAF9E8"/>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20" w:type="dxa"/>
            <w:vAlign w:val="bottom"/>
            <w:shd w:val="clear" w:color="auto" w:fill="EAF9E8"/>
          </w:tcPr>
          <w:p>
            <w:pPr>
              <w:ind w:left="140"/>
              <w:spacing w:after="0"/>
              <w:rPr>
                <w:sz w:val="20"/>
                <w:szCs w:val="20"/>
                <w:color w:val="auto"/>
              </w:rPr>
            </w:pPr>
            <w:r>
              <w:rPr>
                <w:rFonts w:ascii="Arial" w:cs="Arial" w:eastAsia="Arial" w:hAnsi="Arial"/>
                <w:sz w:val="18"/>
                <w:szCs w:val="18"/>
                <w:b w:val="1"/>
                <w:bCs w:val="1"/>
                <w:color w:val="auto"/>
              </w:rPr>
              <w:t>(As Adjusted – See Note 2)</w:t>
            </w:r>
          </w:p>
        </w:tc>
        <w:tc>
          <w:tcPr>
            <w:tcW w:w="116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62,716,530</w:t>
            </w:r>
          </w:p>
        </w:tc>
        <w:tc>
          <w:tcPr>
            <w:tcW w:w="280" w:type="dxa"/>
            <w:vAlign w:val="bottom"/>
            <w:gridSpan w:val="2"/>
            <w:shd w:val="clear" w:color="auto" w:fill="EAF9E8"/>
          </w:tcPr>
          <w:p>
            <w:pPr>
              <w:jc w:val="right"/>
              <w:ind w:right="3"/>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627</w:t>
            </w:r>
          </w:p>
        </w:tc>
        <w:tc>
          <w:tcPr>
            <w:tcW w:w="30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203,195</w:t>
            </w:r>
          </w:p>
        </w:tc>
        <w:tc>
          <w:tcPr>
            <w:tcW w:w="18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403,537</w:t>
            </w:r>
          </w:p>
        </w:tc>
        <w:tc>
          <w:tcPr>
            <w:tcW w:w="20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1,876</w:t>
            </w:r>
          </w:p>
        </w:tc>
        <w:tc>
          <w:tcPr>
            <w:tcW w:w="16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406</w:t>
            </w:r>
          </w:p>
        </w:tc>
        <w:tc>
          <w:tcPr>
            <w:tcW w:w="280" w:type="dxa"/>
            <w:vAlign w:val="bottom"/>
            <w:gridSpan w:val="2"/>
            <w:shd w:val="clear" w:color="auto" w:fill="EAF9E8"/>
          </w:tcPr>
          <w:p>
            <w:pPr>
              <w:jc w:val="right"/>
              <w:ind w:right="43"/>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609,641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tcPr>
          <w:p>
            <w:pPr>
              <w:spacing w:after="0"/>
              <w:rPr>
                <w:sz w:val="20"/>
                <w:szCs w:val="20"/>
                <w:color w:val="auto"/>
              </w:rPr>
            </w:pPr>
            <w:r>
              <w:rPr>
                <w:rFonts w:ascii="Arial" w:cs="Arial" w:eastAsia="Arial" w:hAnsi="Arial"/>
                <w:sz w:val="18"/>
                <w:szCs w:val="18"/>
                <w:color w:val="auto"/>
              </w:rPr>
              <w:t>Net income</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15,109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(70)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15,039</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720" w:type="dxa"/>
            <w:vAlign w:val="bottom"/>
            <w:shd w:val="clear" w:color="auto" w:fill="EAF9E8"/>
          </w:tcPr>
          <w:p>
            <w:pPr>
              <w:spacing w:after="0"/>
              <w:rPr>
                <w:sz w:val="20"/>
                <w:szCs w:val="20"/>
                <w:color w:val="auto"/>
              </w:rPr>
            </w:pPr>
            <w:r>
              <w:rPr>
                <w:rFonts w:ascii="Arial" w:cs="Arial" w:eastAsia="Arial" w:hAnsi="Arial"/>
                <w:sz w:val="18"/>
                <w:szCs w:val="18"/>
                <w:color w:val="auto"/>
              </w:rPr>
              <w:t>Repurchase of 3.25% Convertible</w:t>
            </w:r>
          </w:p>
        </w:tc>
        <w:tc>
          <w:tcPr>
            <w:tcW w:w="104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880" w:type="dxa"/>
            <w:vAlign w:val="bottom"/>
            <w:shd w:val="clear" w:color="auto" w:fill="EAF9E8"/>
          </w:tcPr>
          <w:p>
            <w:pPr>
              <w:spacing w:after="0"/>
              <w:rPr>
                <w:sz w:val="18"/>
                <w:szCs w:val="18"/>
                <w:color w:val="auto"/>
              </w:rPr>
            </w:pPr>
          </w:p>
        </w:tc>
        <w:tc>
          <w:tcPr>
            <w:tcW w:w="4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9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4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86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0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92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8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720" w:type="dxa"/>
            <w:vAlign w:val="bottom"/>
            <w:shd w:val="clear" w:color="auto" w:fill="EAF9E8"/>
          </w:tcPr>
          <w:p>
            <w:pPr>
              <w:ind w:left="140"/>
              <w:spacing w:after="0"/>
              <w:rPr>
                <w:sz w:val="20"/>
                <w:szCs w:val="20"/>
                <w:color w:val="auto"/>
              </w:rPr>
            </w:pPr>
            <w:r>
              <w:rPr>
                <w:rFonts w:ascii="Arial" w:cs="Arial" w:eastAsia="Arial" w:hAnsi="Arial"/>
                <w:sz w:val="18"/>
                <w:szCs w:val="18"/>
                <w:color w:val="auto"/>
              </w:rPr>
              <w:t>Notes</w:t>
            </w:r>
          </w:p>
        </w:tc>
        <w:tc>
          <w:tcPr>
            <w:tcW w:w="116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EAF9E8"/>
          </w:tcPr>
          <w:p>
            <w:pPr>
              <w:spacing w:after="0"/>
              <w:rPr>
                <w:sz w:val="19"/>
                <w:szCs w:val="19"/>
                <w:color w:val="auto"/>
              </w:rPr>
            </w:pPr>
          </w:p>
        </w:tc>
        <w:tc>
          <w:tcPr>
            <w:tcW w:w="160" w:type="dxa"/>
            <w:vAlign w:val="bottom"/>
            <w:shd w:val="clear" w:color="auto" w:fill="EAF9E8"/>
          </w:tcPr>
          <w:p>
            <w:pPr>
              <w:spacing w:after="0"/>
              <w:rPr>
                <w:sz w:val="19"/>
                <w:szCs w:val="19"/>
                <w:color w:val="auto"/>
              </w:rPr>
            </w:pPr>
          </w:p>
        </w:tc>
        <w:tc>
          <w:tcPr>
            <w:tcW w:w="92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w:t>
            </w:r>
          </w:p>
        </w:tc>
        <w:tc>
          <w:tcPr>
            <w:tcW w:w="18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10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(3)</w:t>
            </w:r>
          </w:p>
        </w:tc>
        <w:tc>
          <w:tcPr>
            <w:tcW w:w="4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98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14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EAF9E8"/>
          </w:tcPr>
          <w:p>
            <w:pPr>
              <w:spacing w:after="0"/>
              <w:rPr>
                <w:sz w:val="19"/>
                <w:szCs w:val="19"/>
                <w:color w:val="auto"/>
              </w:rPr>
            </w:pPr>
          </w:p>
        </w:tc>
        <w:tc>
          <w:tcPr>
            <w:tcW w:w="80" w:type="dxa"/>
            <w:vAlign w:val="bottom"/>
            <w:shd w:val="clear" w:color="auto" w:fill="EAF9E8"/>
          </w:tcPr>
          <w:p>
            <w:pPr>
              <w:spacing w:after="0"/>
              <w:rPr>
                <w:sz w:val="19"/>
                <w:szCs w:val="19"/>
                <w:color w:val="auto"/>
              </w:rPr>
            </w:pPr>
          </w:p>
        </w:tc>
        <w:tc>
          <w:tcPr>
            <w:tcW w:w="106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EAF9E8"/>
          </w:tcPr>
          <w:p>
            <w:pPr>
              <w:spacing w:after="0"/>
              <w:rPr>
                <w:sz w:val="19"/>
                <w:szCs w:val="19"/>
                <w:color w:val="auto"/>
              </w:rPr>
            </w:pPr>
          </w:p>
        </w:tc>
        <w:tc>
          <w:tcPr>
            <w:tcW w:w="200" w:type="dxa"/>
            <w:vAlign w:val="bottom"/>
            <w:shd w:val="clear" w:color="auto" w:fill="EAF9E8"/>
          </w:tcPr>
          <w:p>
            <w:pPr>
              <w:spacing w:after="0"/>
              <w:rPr>
                <w:sz w:val="19"/>
                <w:szCs w:val="19"/>
                <w:color w:val="auto"/>
              </w:rPr>
            </w:pPr>
          </w:p>
        </w:tc>
        <w:tc>
          <w:tcPr>
            <w:tcW w:w="92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720" w:type="dxa"/>
            <w:vAlign w:val="bottom"/>
          </w:tcPr>
          <w:p>
            <w:pPr>
              <w:spacing w:after="0"/>
              <w:rPr>
                <w:sz w:val="20"/>
                <w:szCs w:val="20"/>
                <w:color w:val="auto"/>
              </w:rPr>
            </w:pPr>
            <w:r>
              <w:rPr>
                <w:rFonts w:ascii="Arial" w:cs="Arial" w:eastAsia="Arial" w:hAnsi="Arial"/>
                <w:sz w:val="18"/>
                <w:szCs w:val="18"/>
                <w:color w:val="auto"/>
                <w:w w:val="97"/>
              </w:rPr>
              <w:t>Issuance of common stock awards</w:t>
            </w: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720" w:type="dxa"/>
            <w:vAlign w:val="bottom"/>
          </w:tcPr>
          <w:p>
            <w:pPr>
              <w:ind w:left="140"/>
              <w:spacing w:after="0"/>
              <w:rPr>
                <w:sz w:val="20"/>
                <w:szCs w:val="20"/>
                <w:color w:val="auto"/>
              </w:rPr>
            </w:pPr>
            <w:r>
              <w:rPr>
                <w:rFonts w:ascii="Arial" w:cs="Arial" w:eastAsia="Arial" w:hAnsi="Arial"/>
                <w:sz w:val="18"/>
                <w:szCs w:val="18"/>
                <w:color w:val="auto"/>
              </w:rPr>
              <w:t>to employees</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29,907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(138)</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720" w:type="dxa"/>
            <w:vAlign w:val="bottom"/>
            <w:shd w:val="clear" w:color="auto" w:fill="EAF9E8"/>
          </w:tcPr>
          <w:p>
            <w:pPr>
              <w:spacing w:after="0"/>
              <w:rPr>
                <w:sz w:val="20"/>
                <w:szCs w:val="20"/>
                <w:color w:val="auto"/>
              </w:rPr>
            </w:pPr>
            <w:r>
              <w:rPr>
                <w:rFonts w:ascii="Arial" w:cs="Arial" w:eastAsia="Arial" w:hAnsi="Arial"/>
                <w:sz w:val="18"/>
                <w:szCs w:val="18"/>
                <w:color w:val="auto"/>
                <w:w w:val="98"/>
              </w:rPr>
              <w:t>Exercise of common stock options</w:t>
            </w:r>
          </w:p>
        </w:tc>
        <w:tc>
          <w:tcPr>
            <w:tcW w:w="116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217,061</w:t>
            </w:r>
          </w:p>
        </w:tc>
        <w:tc>
          <w:tcPr>
            <w:tcW w:w="12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92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3</w:t>
            </w:r>
          </w:p>
        </w:tc>
        <w:tc>
          <w:tcPr>
            <w:tcW w:w="18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10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1,477</w:t>
            </w:r>
          </w:p>
        </w:tc>
        <w:tc>
          <w:tcPr>
            <w:tcW w:w="4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98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14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106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9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1,480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720" w:type="dxa"/>
            <w:vAlign w:val="bottom"/>
          </w:tcPr>
          <w:p>
            <w:pPr>
              <w:spacing w:after="0"/>
              <w:rPr>
                <w:sz w:val="20"/>
                <w:szCs w:val="20"/>
                <w:color w:val="auto"/>
              </w:rPr>
            </w:pPr>
            <w:r>
              <w:rPr>
                <w:rFonts w:ascii="Arial" w:cs="Arial" w:eastAsia="Arial" w:hAnsi="Arial"/>
                <w:sz w:val="18"/>
                <w:szCs w:val="18"/>
                <w:color w:val="auto"/>
              </w:rPr>
              <w:t>Excess tax benefits related to</w:t>
            </w: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720" w:type="dxa"/>
            <w:vAlign w:val="bottom"/>
          </w:tcPr>
          <w:p>
            <w:pPr>
              <w:ind w:left="140"/>
              <w:spacing w:after="0"/>
              <w:rPr>
                <w:sz w:val="20"/>
                <w:szCs w:val="20"/>
                <w:color w:val="auto"/>
              </w:rPr>
            </w:pPr>
            <w:r>
              <w:rPr>
                <w:rFonts w:ascii="Arial" w:cs="Arial" w:eastAsia="Arial" w:hAnsi="Arial"/>
                <w:sz w:val="18"/>
                <w:szCs w:val="18"/>
                <w:color w:val="auto"/>
              </w:rPr>
              <w:t>share-based awards</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186</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20" w:type="dxa"/>
            <w:vAlign w:val="bottom"/>
            <w:shd w:val="clear" w:color="auto" w:fill="EAF9E8"/>
          </w:tcPr>
          <w:p>
            <w:pPr>
              <w:spacing w:after="0"/>
              <w:rPr>
                <w:sz w:val="20"/>
                <w:szCs w:val="20"/>
                <w:color w:val="auto"/>
              </w:rPr>
            </w:pPr>
            <w:r>
              <w:rPr>
                <w:rFonts w:ascii="Arial" w:cs="Arial" w:eastAsia="Arial" w:hAnsi="Arial"/>
                <w:sz w:val="18"/>
                <w:szCs w:val="18"/>
                <w:color w:val="auto"/>
                <w:w w:val="99"/>
              </w:rPr>
              <w:t>Employee compensation – Share-</w:t>
            </w:r>
          </w:p>
        </w:tc>
        <w:tc>
          <w:tcPr>
            <w:tcW w:w="104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880" w:type="dxa"/>
            <w:vAlign w:val="bottom"/>
            <w:shd w:val="clear" w:color="auto" w:fill="EAF9E8"/>
          </w:tcPr>
          <w:p>
            <w:pPr>
              <w:spacing w:after="0"/>
              <w:rPr>
                <w:sz w:val="18"/>
                <w:szCs w:val="18"/>
                <w:color w:val="auto"/>
              </w:rPr>
            </w:pPr>
          </w:p>
        </w:tc>
        <w:tc>
          <w:tcPr>
            <w:tcW w:w="4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9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4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86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0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92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8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720" w:type="dxa"/>
            <w:vAlign w:val="bottom"/>
            <w:shd w:val="clear" w:color="auto" w:fill="EAF9E8"/>
          </w:tcPr>
          <w:p>
            <w:pPr>
              <w:ind w:left="140"/>
              <w:spacing w:after="0"/>
              <w:rPr>
                <w:sz w:val="20"/>
                <w:szCs w:val="20"/>
                <w:color w:val="auto"/>
              </w:rPr>
            </w:pPr>
            <w:r>
              <w:rPr>
                <w:rFonts w:ascii="Arial" w:cs="Arial" w:eastAsia="Arial" w:hAnsi="Arial"/>
                <w:sz w:val="18"/>
                <w:szCs w:val="18"/>
                <w:color w:val="auto"/>
              </w:rPr>
              <w:t>based awards</w:t>
            </w:r>
          </w:p>
        </w:tc>
        <w:tc>
          <w:tcPr>
            <w:tcW w:w="116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EAF9E8"/>
          </w:tcPr>
          <w:p>
            <w:pPr>
              <w:spacing w:after="0"/>
              <w:rPr>
                <w:sz w:val="19"/>
                <w:szCs w:val="19"/>
                <w:color w:val="auto"/>
              </w:rPr>
            </w:pPr>
          </w:p>
        </w:tc>
        <w:tc>
          <w:tcPr>
            <w:tcW w:w="160" w:type="dxa"/>
            <w:vAlign w:val="bottom"/>
            <w:shd w:val="clear" w:color="auto" w:fill="EAF9E8"/>
          </w:tcPr>
          <w:p>
            <w:pPr>
              <w:spacing w:after="0"/>
              <w:rPr>
                <w:sz w:val="19"/>
                <w:szCs w:val="19"/>
                <w:color w:val="auto"/>
              </w:rPr>
            </w:pPr>
          </w:p>
        </w:tc>
        <w:tc>
          <w:tcPr>
            <w:tcW w:w="92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w:t>
            </w:r>
          </w:p>
        </w:tc>
        <w:tc>
          <w:tcPr>
            <w:tcW w:w="18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10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522</w:t>
            </w:r>
          </w:p>
        </w:tc>
        <w:tc>
          <w:tcPr>
            <w:tcW w:w="4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98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14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EAF9E8"/>
          </w:tcPr>
          <w:p>
            <w:pPr>
              <w:spacing w:after="0"/>
              <w:rPr>
                <w:sz w:val="19"/>
                <w:szCs w:val="19"/>
                <w:color w:val="auto"/>
              </w:rPr>
            </w:pPr>
          </w:p>
        </w:tc>
        <w:tc>
          <w:tcPr>
            <w:tcW w:w="80" w:type="dxa"/>
            <w:vAlign w:val="bottom"/>
            <w:shd w:val="clear" w:color="auto" w:fill="EAF9E8"/>
          </w:tcPr>
          <w:p>
            <w:pPr>
              <w:spacing w:after="0"/>
              <w:rPr>
                <w:sz w:val="19"/>
                <w:szCs w:val="19"/>
                <w:color w:val="auto"/>
              </w:rPr>
            </w:pPr>
          </w:p>
        </w:tc>
        <w:tc>
          <w:tcPr>
            <w:tcW w:w="106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EAF9E8"/>
          </w:tcPr>
          <w:p>
            <w:pPr>
              <w:spacing w:after="0"/>
              <w:rPr>
                <w:sz w:val="19"/>
                <w:szCs w:val="19"/>
                <w:color w:val="auto"/>
              </w:rPr>
            </w:pPr>
          </w:p>
        </w:tc>
        <w:tc>
          <w:tcPr>
            <w:tcW w:w="200" w:type="dxa"/>
            <w:vAlign w:val="bottom"/>
            <w:shd w:val="clear" w:color="auto" w:fill="EAF9E8"/>
          </w:tcPr>
          <w:p>
            <w:pPr>
              <w:spacing w:after="0"/>
              <w:rPr>
                <w:sz w:val="19"/>
                <w:szCs w:val="19"/>
                <w:color w:val="auto"/>
              </w:rPr>
            </w:pPr>
          </w:p>
        </w:tc>
        <w:tc>
          <w:tcPr>
            <w:tcW w:w="9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522</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720" w:type="dxa"/>
            <w:vAlign w:val="bottom"/>
          </w:tcPr>
          <w:p>
            <w:pPr>
              <w:spacing w:after="0"/>
              <w:rPr>
                <w:sz w:val="20"/>
                <w:szCs w:val="20"/>
                <w:color w:val="auto"/>
              </w:rPr>
            </w:pPr>
            <w:r>
              <w:rPr>
                <w:rFonts w:ascii="Arial" w:cs="Arial" w:eastAsia="Arial" w:hAnsi="Arial"/>
                <w:sz w:val="18"/>
                <w:szCs w:val="18"/>
                <w:color w:val="auto"/>
              </w:rPr>
              <w:t>Director’s compensation –</w:t>
            </w: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720" w:type="dxa"/>
            <w:vAlign w:val="bottom"/>
          </w:tcPr>
          <w:p>
            <w:pPr>
              <w:ind w:left="140"/>
              <w:spacing w:after="0"/>
              <w:rPr>
                <w:sz w:val="20"/>
                <w:szCs w:val="20"/>
                <w:color w:val="auto"/>
              </w:rPr>
            </w:pPr>
            <w:r>
              <w:rPr>
                <w:rFonts w:ascii="Arial" w:cs="Arial" w:eastAsia="Arial" w:hAnsi="Arial"/>
                <w:sz w:val="18"/>
                <w:szCs w:val="18"/>
                <w:color w:val="auto"/>
              </w:rPr>
              <w:t>Common stock</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23</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20" w:type="dxa"/>
            <w:vAlign w:val="bottom"/>
            <w:shd w:val="clear" w:color="auto" w:fill="EAF9E8"/>
          </w:tcPr>
          <w:p>
            <w:pPr>
              <w:spacing w:after="0"/>
              <w:rPr>
                <w:sz w:val="20"/>
                <w:szCs w:val="20"/>
                <w:color w:val="auto"/>
              </w:rPr>
            </w:pPr>
            <w:r>
              <w:rPr>
                <w:rFonts w:ascii="Arial" w:cs="Arial" w:eastAsia="Arial" w:hAnsi="Arial"/>
                <w:sz w:val="18"/>
                <w:szCs w:val="18"/>
                <w:color w:val="auto"/>
              </w:rPr>
              <w:t>Other comprehensive loss, net of</w:t>
            </w:r>
          </w:p>
        </w:tc>
        <w:tc>
          <w:tcPr>
            <w:tcW w:w="104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880" w:type="dxa"/>
            <w:vAlign w:val="bottom"/>
            <w:shd w:val="clear" w:color="auto" w:fill="EAF9E8"/>
          </w:tcPr>
          <w:p>
            <w:pPr>
              <w:spacing w:after="0"/>
              <w:rPr>
                <w:sz w:val="18"/>
                <w:szCs w:val="18"/>
                <w:color w:val="auto"/>
              </w:rPr>
            </w:pPr>
          </w:p>
        </w:tc>
        <w:tc>
          <w:tcPr>
            <w:tcW w:w="4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9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4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86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0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92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8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720" w:type="dxa"/>
            <w:vAlign w:val="bottom"/>
            <w:shd w:val="clear" w:color="auto" w:fill="EAF9E8"/>
          </w:tcPr>
          <w:p>
            <w:pPr>
              <w:ind w:left="140"/>
              <w:spacing w:after="0"/>
              <w:rPr>
                <w:sz w:val="20"/>
                <w:szCs w:val="20"/>
                <w:color w:val="auto"/>
              </w:rPr>
            </w:pPr>
            <w:r>
              <w:rPr>
                <w:rFonts w:ascii="Arial" w:cs="Arial" w:eastAsia="Arial" w:hAnsi="Arial"/>
                <w:sz w:val="18"/>
                <w:szCs w:val="18"/>
                <w:color w:val="auto"/>
              </w:rPr>
              <w:t>income taxes</w:t>
            </w:r>
          </w:p>
        </w:tc>
        <w:tc>
          <w:tcPr>
            <w:tcW w:w="116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EAF9E8"/>
          </w:tcPr>
          <w:p>
            <w:pPr>
              <w:spacing w:after="0"/>
              <w:rPr>
                <w:sz w:val="19"/>
                <w:szCs w:val="19"/>
                <w:color w:val="auto"/>
              </w:rPr>
            </w:pPr>
          </w:p>
        </w:tc>
        <w:tc>
          <w:tcPr>
            <w:tcW w:w="160" w:type="dxa"/>
            <w:vAlign w:val="bottom"/>
            <w:shd w:val="clear" w:color="auto" w:fill="EAF9E8"/>
          </w:tcPr>
          <w:p>
            <w:pPr>
              <w:spacing w:after="0"/>
              <w:rPr>
                <w:sz w:val="19"/>
                <w:szCs w:val="19"/>
                <w:color w:val="auto"/>
              </w:rPr>
            </w:pPr>
          </w:p>
        </w:tc>
        <w:tc>
          <w:tcPr>
            <w:tcW w:w="92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w:t>
            </w:r>
          </w:p>
        </w:tc>
        <w:tc>
          <w:tcPr>
            <w:tcW w:w="18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10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98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140" w:type="dxa"/>
            <w:vAlign w:val="bottom"/>
            <w:gridSpan w:val="2"/>
            <w:shd w:val="clear" w:color="auto" w:fill="EAF9E8"/>
          </w:tcPr>
          <w:p>
            <w:pPr>
              <w:jc w:val="right"/>
              <w:ind w:right="80"/>
              <w:spacing w:after="0"/>
              <w:rPr>
                <w:sz w:val="20"/>
                <w:szCs w:val="20"/>
                <w:color w:val="auto"/>
              </w:rPr>
            </w:pPr>
            <w:r>
              <w:rPr>
                <w:rFonts w:ascii="Arial" w:cs="Arial" w:eastAsia="Arial" w:hAnsi="Arial"/>
                <w:sz w:val="18"/>
                <w:szCs w:val="18"/>
                <w:color w:val="auto"/>
              </w:rPr>
              <w:t>(40)</w:t>
            </w:r>
          </w:p>
        </w:tc>
        <w:tc>
          <w:tcPr>
            <w:tcW w:w="80" w:type="dxa"/>
            <w:vAlign w:val="bottom"/>
            <w:shd w:val="clear" w:color="auto" w:fill="EAF9E8"/>
          </w:tcPr>
          <w:p>
            <w:pPr>
              <w:spacing w:after="0"/>
              <w:rPr>
                <w:sz w:val="19"/>
                <w:szCs w:val="19"/>
                <w:color w:val="auto"/>
              </w:rPr>
            </w:pPr>
          </w:p>
        </w:tc>
        <w:tc>
          <w:tcPr>
            <w:tcW w:w="80" w:type="dxa"/>
            <w:vAlign w:val="bottom"/>
            <w:shd w:val="clear" w:color="auto" w:fill="EAF9E8"/>
          </w:tcPr>
          <w:p>
            <w:pPr>
              <w:spacing w:after="0"/>
              <w:rPr>
                <w:sz w:val="19"/>
                <w:szCs w:val="19"/>
                <w:color w:val="auto"/>
              </w:rPr>
            </w:pPr>
          </w:p>
        </w:tc>
        <w:tc>
          <w:tcPr>
            <w:tcW w:w="1060" w:type="dxa"/>
            <w:vAlign w:val="bottom"/>
            <w:gridSpan w:val="2"/>
            <w:shd w:val="clear" w:color="auto" w:fill="EAF9E8"/>
          </w:tcPr>
          <w:p>
            <w:pPr>
              <w:jc w:val="right"/>
              <w:ind w:right="80"/>
              <w:spacing w:after="0"/>
              <w:rPr>
                <w:sz w:val="20"/>
                <w:szCs w:val="20"/>
                <w:color w:val="auto"/>
              </w:rPr>
            </w:pPr>
            <w:r>
              <w:rPr>
                <w:rFonts w:ascii="Arial" w:cs="Arial" w:eastAsia="Arial" w:hAnsi="Arial"/>
                <w:sz w:val="18"/>
                <w:szCs w:val="18"/>
                <w:color w:val="auto"/>
              </w:rPr>
              <w:t>(32)</w:t>
            </w:r>
          </w:p>
        </w:tc>
        <w:tc>
          <w:tcPr>
            <w:tcW w:w="80" w:type="dxa"/>
            <w:vAlign w:val="bottom"/>
            <w:shd w:val="clear" w:color="auto" w:fill="EAF9E8"/>
          </w:tcPr>
          <w:p>
            <w:pPr>
              <w:spacing w:after="0"/>
              <w:rPr>
                <w:sz w:val="19"/>
                <w:szCs w:val="19"/>
                <w:color w:val="auto"/>
              </w:rPr>
            </w:pPr>
          </w:p>
        </w:tc>
        <w:tc>
          <w:tcPr>
            <w:tcW w:w="200" w:type="dxa"/>
            <w:vAlign w:val="bottom"/>
            <w:shd w:val="clear" w:color="auto" w:fill="EAF9E8"/>
          </w:tcPr>
          <w:p>
            <w:pPr>
              <w:spacing w:after="0"/>
              <w:rPr>
                <w:sz w:val="19"/>
                <w:szCs w:val="19"/>
                <w:color w:val="auto"/>
              </w:rPr>
            </w:pPr>
          </w:p>
        </w:tc>
        <w:tc>
          <w:tcPr>
            <w:tcW w:w="92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43"/>
        </w:trPr>
        <w:tc>
          <w:tcPr>
            <w:tcW w:w="27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Balance at March 31, 2009</w:t>
            </w:r>
          </w:p>
        </w:tc>
        <w:tc>
          <w:tcPr>
            <w:tcW w:w="1160" w:type="dxa"/>
            <w:vAlign w:val="bottom"/>
            <w:gridSpan w:val="2"/>
          </w:tcPr>
          <w:p>
            <w:pPr>
              <w:spacing w:after="0"/>
              <w:rPr>
                <w:sz w:val="21"/>
                <w:szCs w:val="21"/>
                <w:color w:val="auto"/>
              </w:rPr>
            </w:pPr>
          </w:p>
        </w:tc>
        <w:tc>
          <w:tcPr>
            <w:tcW w:w="280" w:type="dxa"/>
            <w:vAlign w:val="bottom"/>
            <w:gridSpan w:val="2"/>
          </w:tcPr>
          <w:p>
            <w:pPr>
              <w:spacing w:after="0"/>
              <w:rPr>
                <w:sz w:val="21"/>
                <w:szCs w:val="21"/>
                <w:color w:val="auto"/>
              </w:rPr>
            </w:pPr>
          </w:p>
        </w:tc>
        <w:tc>
          <w:tcPr>
            <w:tcW w:w="920" w:type="dxa"/>
            <w:vAlign w:val="bottom"/>
            <w:gridSpan w:val="2"/>
          </w:tcPr>
          <w:p>
            <w:pPr>
              <w:spacing w:after="0"/>
              <w:rPr>
                <w:sz w:val="21"/>
                <w:szCs w:val="21"/>
                <w:color w:val="auto"/>
              </w:rPr>
            </w:pPr>
          </w:p>
        </w:tc>
        <w:tc>
          <w:tcPr>
            <w:tcW w:w="300" w:type="dxa"/>
            <w:vAlign w:val="bottom"/>
            <w:gridSpan w:val="2"/>
          </w:tcPr>
          <w:p>
            <w:pPr>
              <w:spacing w:after="0"/>
              <w:rPr>
                <w:sz w:val="21"/>
                <w:szCs w:val="21"/>
                <w:color w:val="auto"/>
              </w:rPr>
            </w:pPr>
          </w:p>
        </w:tc>
        <w:tc>
          <w:tcPr>
            <w:tcW w:w="1100" w:type="dxa"/>
            <w:vAlign w:val="bottom"/>
            <w:gridSpan w:val="2"/>
          </w:tcPr>
          <w:p>
            <w:pPr>
              <w:spacing w:after="0"/>
              <w:rPr>
                <w:sz w:val="21"/>
                <w:szCs w:val="21"/>
                <w:color w:val="auto"/>
              </w:rPr>
            </w:pPr>
          </w:p>
        </w:tc>
        <w:tc>
          <w:tcPr>
            <w:tcW w:w="180" w:type="dxa"/>
            <w:vAlign w:val="bottom"/>
            <w:gridSpan w:val="2"/>
          </w:tcPr>
          <w:p>
            <w:pPr>
              <w:spacing w:after="0"/>
              <w:rPr>
                <w:sz w:val="21"/>
                <w:szCs w:val="21"/>
                <w:color w:val="auto"/>
              </w:rPr>
            </w:pPr>
          </w:p>
        </w:tc>
        <w:tc>
          <w:tcPr>
            <w:tcW w:w="980" w:type="dxa"/>
            <w:vAlign w:val="bottom"/>
            <w:gridSpan w:val="2"/>
          </w:tcPr>
          <w:p>
            <w:pPr>
              <w:spacing w:after="0"/>
              <w:rPr>
                <w:sz w:val="21"/>
                <w:szCs w:val="21"/>
                <w:color w:val="auto"/>
              </w:rPr>
            </w:pPr>
          </w:p>
        </w:tc>
        <w:tc>
          <w:tcPr>
            <w:tcW w:w="200" w:type="dxa"/>
            <w:vAlign w:val="bottom"/>
            <w:gridSpan w:val="2"/>
          </w:tcPr>
          <w:p>
            <w:pPr>
              <w:spacing w:after="0"/>
              <w:rPr>
                <w:sz w:val="21"/>
                <w:szCs w:val="21"/>
                <w:color w:val="auto"/>
              </w:rPr>
            </w:pPr>
          </w:p>
        </w:tc>
        <w:tc>
          <w:tcPr>
            <w:tcW w:w="1140" w:type="dxa"/>
            <w:vAlign w:val="bottom"/>
            <w:gridSpan w:val="2"/>
          </w:tcPr>
          <w:p>
            <w:pPr>
              <w:spacing w:after="0"/>
              <w:rPr>
                <w:sz w:val="21"/>
                <w:szCs w:val="21"/>
                <w:color w:val="auto"/>
              </w:rPr>
            </w:pPr>
          </w:p>
        </w:tc>
        <w:tc>
          <w:tcPr>
            <w:tcW w:w="160" w:type="dxa"/>
            <w:vAlign w:val="bottom"/>
            <w:gridSpan w:val="2"/>
          </w:tcPr>
          <w:p>
            <w:pPr>
              <w:spacing w:after="0"/>
              <w:rPr>
                <w:sz w:val="21"/>
                <w:szCs w:val="21"/>
                <w:color w:val="auto"/>
              </w:rPr>
            </w:pPr>
          </w:p>
        </w:tc>
        <w:tc>
          <w:tcPr>
            <w:tcW w:w="1060" w:type="dxa"/>
            <w:vAlign w:val="bottom"/>
            <w:gridSpan w:val="2"/>
          </w:tcPr>
          <w:p>
            <w:pPr>
              <w:spacing w:after="0"/>
              <w:rPr>
                <w:sz w:val="21"/>
                <w:szCs w:val="21"/>
                <w:color w:val="auto"/>
              </w:rPr>
            </w:pPr>
          </w:p>
        </w:tc>
        <w:tc>
          <w:tcPr>
            <w:tcW w:w="280" w:type="dxa"/>
            <w:vAlign w:val="bottom"/>
            <w:gridSpan w:val="2"/>
          </w:tcPr>
          <w:p>
            <w:pPr>
              <w:spacing w:after="0"/>
              <w:rPr>
                <w:sz w:val="21"/>
                <w:szCs w:val="21"/>
                <w:color w:val="auto"/>
              </w:rPr>
            </w:pPr>
          </w:p>
        </w:tc>
        <w:tc>
          <w:tcPr>
            <w:tcW w:w="920" w:type="dxa"/>
            <w:vAlign w:val="bottom"/>
            <w:gridSpan w:val="2"/>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740" w:type="dxa"/>
            <w:vAlign w:val="bottom"/>
            <w:gridSpan w:val="2"/>
            <w:vMerge w:val="continue"/>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62,963,498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jc w:val="right"/>
              <w:ind w:right="3"/>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630</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205,262</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418,646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1,836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tcBorders>
          </w:tcPr>
          <w:p>
            <w:pPr>
              <w:jc w:val="right"/>
              <w:ind w:right="43"/>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626,678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1746250</wp:posOffset>
            </wp:positionH>
            <wp:positionV relativeFrom="paragraph">
              <wp:posOffset>150495</wp:posOffset>
            </wp:positionV>
            <wp:extent cx="543687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436870" cy="26035"/>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OCWEN FINANCIAL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7260" w:type="dxa"/>
            <w:vAlign w:val="bottom"/>
          </w:tcPr>
          <w:p>
            <w:pPr>
              <w:spacing w:after="0"/>
              <w:rPr>
                <w:sz w:val="19"/>
                <w:szCs w:val="19"/>
                <w:color w:val="auto"/>
              </w:rPr>
            </w:pPr>
          </w:p>
        </w:tc>
        <w:tc>
          <w:tcPr>
            <w:tcW w:w="4140" w:type="dxa"/>
            <w:vAlign w:val="bottom"/>
            <w:gridSpan w:val="7"/>
          </w:tcPr>
          <w:p>
            <w:pPr>
              <w:jc w:val="right"/>
              <w:ind w:right="780"/>
              <w:spacing w:after="0"/>
              <w:rPr>
                <w:sz w:val="20"/>
                <w:szCs w:val="20"/>
                <w:color w:val="auto"/>
              </w:rPr>
            </w:pPr>
            <w:r>
              <w:rPr>
                <w:rFonts w:ascii="Arial" w:cs="Arial" w:eastAsia="Arial" w:hAnsi="Arial"/>
                <w:sz w:val="18"/>
                <w:szCs w:val="18"/>
                <w:color w:val="auto"/>
              </w:rPr>
              <w:t>For the three months ended March 31,</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260" w:type="dxa"/>
            <w:vAlign w:val="bottom"/>
          </w:tcPr>
          <w:p>
            <w:pPr>
              <w:spacing w:after="0"/>
              <w:rPr>
                <w:sz w:val="21"/>
                <w:szCs w:val="21"/>
                <w:color w:val="auto"/>
              </w:rPr>
            </w:pPr>
          </w:p>
        </w:tc>
        <w:tc>
          <w:tcPr>
            <w:tcW w:w="116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2009</w:t>
            </w: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80" w:type="dxa"/>
            <w:vAlign w:val="bottom"/>
          </w:tcPr>
          <w:p>
            <w:pPr>
              <w:jc w:val="right"/>
              <w:ind w:right="652"/>
              <w:spacing w:after="0"/>
              <w:rPr>
                <w:sz w:val="20"/>
                <w:szCs w:val="20"/>
                <w:color w:val="auto"/>
              </w:rPr>
            </w:pPr>
            <w:r>
              <w:rPr>
                <w:rFonts w:ascii="Arial" w:cs="Arial" w:eastAsia="Arial" w:hAnsi="Arial"/>
                <w:sz w:val="18"/>
                <w:szCs w:val="18"/>
                <w:color w:val="auto"/>
              </w:rPr>
              <w:t>2008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2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0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jc w:val="right"/>
              <w:ind w:right="332"/>
              <w:spacing w:after="0"/>
              <w:rPr>
                <w:sz w:val="20"/>
                <w:szCs w:val="20"/>
                <w:color w:val="auto"/>
              </w:rPr>
            </w:pPr>
            <w:r>
              <w:rPr>
                <w:rFonts w:ascii="Arial" w:cs="Arial" w:eastAsia="Arial" w:hAnsi="Arial"/>
                <w:sz w:val="18"/>
                <w:szCs w:val="18"/>
                <w:color w:val="auto"/>
              </w:rPr>
              <w:t>(As Adjusted)</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72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60" w:type="dxa"/>
            <w:vAlign w:val="bottom"/>
            <w:shd w:val="clear" w:color="auto" w:fill="EAF9E8"/>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160" w:type="dxa"/>
            <w:vAlign w:val="bottom"/>
            <w:shd w:val="clear" w:color="auto" w:fill="EAF9E8"/>
          </w:tcPr>
          <w:p>
            <w:pPr>
              <w:spacing w:after="0"/>
              <w:rPr>
                <w:sz w:val="18"/>
                <w:szCs w:val="18"/>
                <w:color w:val="auto"/>
              </w:rPr>
            </w:pPr>
          </w:p>
        </w:tc>
        <w:tc>
          <w:tcPr>
            <w:tcW w:w="68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58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Net income</w:t>
            </w:r>
          </w:p>
        </w:tc>
        <w:tc>
          <w:tcPr>
            <w:tcW w:w="1160" w:type="dxa"/>
            <w:vAlign w:val="bottom"/>
          </w:tcPr>
          <w:p>
            <w:pPr>
              <w:jc w:val="right"/>
              <w:ind w:right="972"/>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15,039</w:t>
            </w:r>
          </w:p>
        </w:tc>
        <w:tc>
          <w:tcPr>
            <w:tcW w:w="200" w:type="dxa"/>
            <w:vAlign w:val="bottom"/>
          </w:tcPr>
          <w:p>
            <w:pPr>
              <w:spacing w:after="0"/>
              <w:rPr>
                <w:sz w:val="18"/>
                <w:szCs w:val="18"/>
                <w:color w:val="auto"/>
              </w:rPr>
            </w:pPr>
          </w:p>
        </w:tc>
        <w:tc>
          <w:tcPr>
            <w:tcW w:w="400" w:type="dxa"/>
            <w:vAlign w:val="bottom"/>
            <w:gridSpan w:val="2"/>
          </w:tcPr>
          <w:p>
            <w:pPr>
              <w:jc w:val="right"/>
              <w:ind w:right="103"/>
              <w:spacing w:after="0"/>
              <w:rPr>
                <w:sz w:val="20"/>
                <w:szCs w:val="20"/>
                <w:color w:val="auto"/>
              </w:rPr>
            </w:pPr>
            <w:r>
              <w:rPr>
                <w:rFonts w:ascii="Arial" w:cs="Arial" w:eastAsia="Arial" w:hAnsi="Arial"/>
                <w:sz w:val="18"/>
                <w:szCs w:val="18"/>
                <w:color w:val="auto"/>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5,274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EAF9E8"/>
          </w:tcPr>
          <w:p>
            <w:pPr>
              <w:spacing w:after="0"/>
              <w:rPr>
                <w:sz w:val="20"/>
                <w:szCs w:val="20"/>
                <w:color w:val="auto"/>
              </w:rPr>
            </w:pPr>
            <w:r>
              <w:rPr>
                <w:rFonts w:ascii="Arial" w:cs="Arial" w:eastAsia="Arial" w:hAnsi="Arial"/>
                <w:sz w:val="18"/>
                <w:szCs w:val="18"/>
                <w:color w:val="auto"/>
              </w:rPr>
              <w:t>Adjustments to reconcile net income to net cash provided (used) by operating activities</w:t>
            </w:r>
          </w:p>
        </w:tc>
        <w:tc>
          <w:tcPr>
            <w:tcW w:w="1160" w:type="dxa"/>
            <w:vAlign w:val="bottom"/>
            <w:shd w:val="clear" w:color="auto" w:fill="EAF9E8"/>
          </w:tcPr>
          <w:p>
            <w:pPr>
              <w:spacing w:after="0"/>
              <w:rPr>
                <w:sz w:val="18"/>
                <w:szCs w:val="18"/>
                <w:color w:val="auto"/>
              </w:rPr>
            </w:pPr>
          </w:p>
        </w:tc>
        <w:tc>
          <w:tcPr>
            <w:tcW w:w="68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58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140"/>
              <w:spacing w:after="0"/>
              <w:rPr>
                <w:sz w:val="20"/>
                <w:szCs w:val="20"/>
                <w:color w:val="auto"/>
              </w:rPr>
            </w:pPr>
            <w:r>
              <w:rPr>
                <w:rFonts w:ascii="Arial" w:cs="Arial" w:eastAsia="Arial" w:hAnsi="Arial"/>
                <w:sz w:val="18"/>
                <w:szCs w:val="18"/>
                <w:color w:val="auto"/>
              </w:rPr>
              <w:t>Amortization of mortgage servicing rights</w:t>
            </w:r>
          </w:p>
        </w:tc>
        <w:tc>
          <w:tcPr>
            <w:tcW w:w="1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10,041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14,014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EAF9E8"/>
          </w:tcPr>
          <w:p>
            <w:pPr>
              <w:ind w:left="140"/>
              <w:spacing w:after="0"/>
              <w:rPr>
                <w:sz w:val="20"/>
                <w:szCs w:val="20"/>
                <w:color w:val="auto"/>
              </w:rPr>
            </w:pPr>
            <w:r>
              <w:rPr>
                <w:rFonts w:ascii="Arial" w:cs="Arial" w:eastAsia="Arial" w:hAnsi="Arial"/>
                <w:sz w:val="18"/>
                <w:szCs w:val="18"/>
                <w:color w:val="auto"/>
              </w:rPr>
              <w:t>Premium amortization and discount accretion</w:t>
            </w:r>
          </w:p>
        </w:tc>
        <w:tc>
          <w:tcPr>
            <w:tcW w:w="1160" w:type="dxa"/>
            <w:vAlign w:val="bottom"/>
            <w:shd w:val="clear" w:color="auto" w:fill="EAF9E8"/>
          </w:tcPr>
          <w:p>
            <w:pPr>
              <w:spacing w:after="0"/>
              <w:rPr>
                <w:sz w:val="18"/>
                <w:szCs w:val="18"/>
                <w:color w:val="auto"/>
              </w:rPr>
            </w:pPr>
          </w:p>
        </w:tc>
        <w:tc>
          <w:tcPr>
            <w:tcW w:w="6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754</w:t>
            </w:r>
          </w:p>
        </w:tc>
        <w:tc>
          <w:tcPr>
            <w:tcW w:w="2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5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1,018</w:t>
            </w:r>
          </w:p>
        </w:tc>
        <w:tc>
          <w:tcPr>
            <w:tcW w:w="12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140"/>
              <w:spacing w:after="0"/>
              <w:rPr>
                <w:sz w:val="20"/>
                <w:szCs w:val="20"/>
                <w:color w:val="auto"/>
              </w:rPr>
            </w:pPr>
            <w:r>
              <w:rPr>
                <w:rFonts w:ascii="Arial" w:cs="Arial" w:eastAsia="Arial" w:hAnsi="Arial"/>
                <w:sz w:val="18"/>
                <w:szCs w:val="18"/>
                <w:color w:val="auto"/>
              </w:rPr>
              <w:t>Depreciation and other amortization</w:t>
            </w:r>
          </w:p>
        </w:tc>
        <w:tc>
          <w:tcPr>
            <w:tcW w:w="1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2,444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3,144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EAF9E8"/>
          </w:tcPr>
          <w:p>
            <w:pPr>
              <w:ind w:left="140"/>
              <w:spacing w:after="0"/>
              <w:rPr>
                <w:sz w:val="20"/>
                <w:szCs w:val="20"/>
                <w:color w:val="auto"/>
              </w:rPr>
            </w:pPr>
            <w:r>
              <w:rPr>
                <w:rFonts w:ascii="Arial" w:cs="Arial" w:eastAsia="Arial" w:hAnsi="Arial"/>
                <w:sz w:val="18"/>
                <w:szCs w:val="18"/>
                <w:color w:val="auto"/>
              </w:rPr>
              <w:t>Provision for bad debts</w:t>
            </w:r>
          </w:p>
        </w:tc>
        <w:tc>
          <w:tcPr>
            <w:tcW w:w="1160" w:type="dxa"/>
            <w:vAlign w:val="bottom"/>
            <w:shd w:val="clear" w:color="auto" w:fill="EAF9E8"/>
          </w:tcPr>
          <w:p>
            <w:pPr>
              <w:spacing w:after="0"/>
              <w:rPr>
                <w:sz w:val="18"/>
                <w:szCs w:val="18"/>
                <w:color w:val="auto"/>
              </w:rPr>
            </w:pPr>
          </w:p>
        </w:tc>
        <w:tc>
          <w:tcPr>
            <w:tcW w:w="6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328</w:t>
            </w:r>
          </w:p>
        </w:tc>
        <w:tc>
          <w:tcPr>
            <w:tcW w:w="2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700" w:type="dxa"/>
            <w:vAlign w:val="bottom"/>
            <w:gridSpan w:val="2"/>
            <w:shd w:val="clear" w:color="auto" w:fill="EAF9E8"/>
          </w:tcPr>
          <w:p>
            <w:pPr>
              <w:jc w:val="right"/>
              <w:ind w:right="6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140"/>
              <w:spacing w:after="0"/>
              <w:rPr>
                <w:sz w:val="20"/>
                <w:szCs w:val="20"/>
                <w:color w:val="auto"/>
              </w:rPr>
            </w:pPr>
            <w:r>
              <w:rPr>
                <w:rFonts w:ascii="Arial" w:cs="Arial" w:eastAsia="Arial" w:hAnsi="Arial"/>
                <w:sz w:val="18"/>
                <w:szCs w:val="18"/>
                <w:color w:val="auto"/>
              </w:rPr>
              <w:t>Loss on trading securities</w:t>
            </w:r>
          </w:p>
        </w:tc>
        <w:tc>
          <w:tcPr>
            <w:tcW w:w="1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380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12,023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EAF9E8"/>
          </w:tcPr>
          <w:p>
            <w:pPr>
              <w:ind w:left="140"/>
              <w:spacing w:after="0"/>
              <w:rPr>
                <w:sz w:val="20"/>
                <w:szCs w:val="20"/>
                <w:color w:val="auto"/>
              </w:rPr>
            </w:pPr>
            <w:r>
              <w:rPr>
                <w:rFonts w:ascii="Arial" w:cs="Arial" w:eastAsia="Arial" w:hAnsi="Arial"/>
                <w:sz w:val="18"/>
                <w:szCs w:val="18"/>
                <w:color w:val="auto"/>
              </w:rPr>
              <w:t>Loss on loans held for resale, net</w:t>
            </w:r>
          </w:p>
        </w:tc>
        <w:tc>
          <w:tcPr>
            <w:tcW w:w="1160" w:type="dxa"/>
            <w:vAlign w:val="bottom"/>
            <w:shd w:val="clear" w:color="auto" w:fill="EAF9E8"/>
          </w:tcPr>
          <w:p>
            <w:pPr>
              <w:spacing w:after="0"/>
              <w:rPr>
                <w:sz w:val="18"/>
                <w:szCs w:val="18"/>
                <w:color w:val="auto"/>
              </w:rPr>
            </w:pPr>
          </w:p>
        </w:tc>
        <w:tc>
          <w:tcPr>
            <w:tcW w:w="6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4,554</w:t>
            </w:r>
          </w:p>
        </w:tc>
        <w:tc>
          <w:tcPr>
            <w:tcW w:w="2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5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4,509</w:t>
            </w:r>
          </w:p>
        </w:tc>
        <w:tc>
          <w:tcPr>
            <w:tcW w:w="12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140"/>
              <w:spacing w:after="0"/>
              <w:rPr>
                <w:sz w:val="20"/>
                <w:szCs w:val="20"/>
                <w:color w:val="auto"/>
              </w:rPr>
            </w:pPr>
            <w:r>
              <w:rPr>
                <w:rFonts w:ascii="Arial" w:cs="Arial" w:eastAsia="Arial" w:hAnsi="Arial"/>
                <w:sz w:val="18"/>
                <w:szCs w:val="18"/>
                <w:color w:val="auto"/>
              </w:rPr>
              <w:t>Equity in earnings of unconsolidated entities</w:t>
            </w:r>
          </w:p>
        </w:tc>
        <w:tc>
          <w:tcPr>
            <w:tcW w:w="116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(27)</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00" w:type="dxa"/>
            <w:vAlign w:val="bottom"/>
            <w:gridSpan w:val="2"/>
          </w:tcPr>
          <w:p>
            <w:pPr>
              <w:jc w:val="right"/>
              <w:ind w:right="60"/>
              <w:spacing w:after="0"/>
              <w:rPr>
                <w:sz w:val="20"/>
                <w:szCs w:val="20"/>
                <w:color w:val="auto"/>
              </w:rPr>
            </w:pPr>
            <w:r>
              <w:rPr>
                <w:rFonts w:ascii="Arial" w:cs="Arial" w:eastAsia="Arial" w:hAnsi="Arial"/>
                <w:sz w:val="18"/>
                <w:szCs w:val="18"/>
                <w:color w:val="auto"/>
              </w:rPr>
              <w:t>(6,955)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EAF9E8"/>
          </w:tcPr>
          <w:p>
            <w:pPr>
              <w:ind w:left="140"/>
              <w:spacing w:after="0"/>
              <w:rPr>
                <w:sz w:val="20"/>
                <w:szCs w:val="20"/>
                <w:color w:val="auto"/>
              </w:rPr>
            </w:pPr>
            <w:r>
              <w:rPr>
                <w:rFonts w:ascii="Arial" w:cs="Arial" w:eastAsia="Arial" w:hAnsi="Arial"/>
                <w:sz w:val="18"/>
                <w:szCs w:val="18"/>
                <w:color w:val="auto"/>
              </w:rPr>
              <w:t>Gain on repurchase of debt securities</w:t>
            </w:r>
          </w:p>
        </w:tc>
        <w:tc>
          <w:tcPr>
            <w:tcW w:w="1160" w:type="dxa"/>
            <w:vAlign w:val="bottom"/>
            <w:shd w:val="clear" w:color="auto" w:fill="EAF9E8"/>
          </w:tcPr>
          <w:p>
            <w:pPr>
              <w:spacing w:after="0"/>
              <w:rPr>
                <w:sz w:val="18"/>
                <w:szCs w:val="18"/>
                <w:color w:val="auto"/>
              </w:rPr>
            </w:pPr>
          </w:p>
        </w:tc>
        <w:tc>
          <w:tcPr>
            <w:tcW w:w="88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(534)</w:t>
            </w:r>
          </w:p>
        </w:tc>
        <w:tc>
          <w:tcPr>
            <w:tcW w:w="14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70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140"/>
              <w:spacing w:after="0"/>
              <w:rPr>
                <w:sz w:val="20"/>
                <w:szCs w:val="20"/>
                <w:color w:val="auto"/>
              </w:rPr>
            </w:pPr>
            <w:r>
              <w:rPr>
                <w:rFonts w:ascii="Arial" w:cs="Arial" w:eastAsia="Arial" w:hAnsi="Arial"/>
                <w:sz w:val="18"/>
                <w:szCs w:val="18"/>
                <w:color w:val="auto"/>
              </w:rPr>
              <w:t>Excess tax benefits related to share-based awards</w:t>
            </w:r>
          </w:p>
        </w:tc>
        <w:tc>
          <w:tcPr>
            <w:tcW w:w="116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(186)</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EAF9E8"/>
          </w:tcPr>
          <w:p>
            <w:pPr>
              <w:ind w:left="140"/>
              <w:spacing w:after="0"/>
              <w:rPr>
                <w:sz w:val="20"/>
                <w:szCs w:val="20"/>
                <w:color w:val="auto"/>
              </w:rPr>
            </w:pPr>
            <w:r>
              <w:rPr>
                <w:rFonts w:ascii="Arial" w:cs="Arial" w:eastAsia="Arial" w:hAnsi="Arial"/>
                <w:sz w:val="18"/>
                <w:szCs w:val="18"/>
                <w:color w:val="auto"/>
              </w:rPr>
              <w:t>Net cash provided (used) by trading activities</w:t>
            </w:r>
          </w:p>
        </w:tc>
        <w:tc>
          <w:tcPr>
            <w:tcW w:w="1160" w:type="dxa"/>
            <w:vAlign w:val="bottom"/>
            <w:shd w:val="clear" w:color="auto" w:fill="EAF9E8"/>
          </w:tcPr>
          <w:p>
            <w:pPr>
              <w:spacing w:after="0"/>
              <w:rPr>
                <w:sz w:val="18"/>
                <w:szCs w:val="18"/>
                <w:color w:val="auto"/>
              </w:rPr>
            </w:pPr>
          </w:p>
        </w:tc>
        <w:tc>
          <w:tcPr>
            <w:tcW w:w="6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1,100</w:t>
            </w:r>
          </w:p>
        </w:tc>
        <w:tc>
          <w:tcPr>
            <w:tcW w:w="2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700" w:type="dxa"/>
            <w:vAlign w:val="bottom"/>
            <w:gridSpan w:val="2"/>
            <w:shd w:val="clear" w:color="auto" w:fill="EAF9E8"/>
          </w:tcPr>
          <w:p>
            <w:pPr>
              <w:jc w:val="right"/>
              <w:ind w:right="60"/>
              <w:spacing w:after="0"/>
              <w:rPr>
                <w:sz w:val="20"/>
                <w:szCs w:val="20"/>
                <w:color w:val="auto"/>
              </w:rPr>
            </w:pPr>
            <w:r>
              <w:rPr>
                <w:rFonts w:ascii="Arial" w:cs="Arial" w:eastAsia="Arial" w:hAnsi="Arial"/>
                <w:sz w:val="18"/>
                <w:szCs w:val="18"/>
                <w:color w:val="auto"/>
              </w:rPr>
              <w:t>(286,640)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140"/>
              <w:spacing w:after="0"/>
              <w:rPr>
                <w:sz w:val="20"/>
                <w:szCs w:val="20"/>
                <w:color w:val="auto"/>
              </w:rPr>
            </w:pPr>
            <w:r>
              <w:rPr>
                <w:rFonts w:ascii="Arial" w:cs="Arial" w:eastAsia="Arial" w:hAnsi="Arial"/>
                <w:sz w:val="18"/>
                <w:szCs w:val="18"/>
                <w:color w:val="auto"/>
              </w:rPr>
              <w:t>Net cash provided by loans held for resale activities</w:t>
            </w:r>
          </w:p>
        </w:tc>
        <w:tc>
          <w:tcPr>
            <w:tcW w:w="1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1,137</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1,303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EAF9E8"/>
          </w:tcPr>
          <w:p>
            <w:pPr>
              <w:ind w:left="140"/>
              <w:spacing w:after="0"/>
              <w:rPr>
                <w:sz w:val="20"/>
                <w:szCs w:val="20"/>
                <w:color w:val="auto"/>
              </w:rPr>
            </w:pPr>
            <w:r>
              <w:rPr>
                <w:rFonts w:ascii="Arial" w:cs="Arial" w:eastAsia="Arial" w:hAnsi="Arial"/>
                <w:sz w:val="18"/>
                <w:szCs w:val="18"/>
                <w:color w:val="auto"/>
              </w:rPr>
              <w:t>Decrease (increase) in advances and match funded advances</w:t>
            </w:r>
          </w:p>
        </w:tc>
        <w:tc>
          <w:tcPr>
            <w:tcW w:w="1160" w:type="dxa"/>
            <w:vAlign w:val="bottom"/>
            <w:shd w:val="clear" w:color="auto" w:fill="EAF9E8"/>
          </w:tcPr>
          <w:p>
            <w:pPr>
              <w:spacing w:after="0"/>
              <w:rPr>
                <w:sz w:val="18"/>
                <w:szCs w:val="18"/>
                <w:color w:val="auto"/>
              </w:rPr>
            </w:pPr>
          </w:p>
        </w:tc>
        <w:tc>
          <w:tcPr>
            <w:tcW w:w="6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148,509</w:t>
            </w:r>
          </w:p>
        </w:tc>
        <w:tc>
          <w:tcPr>
            <w:tcW w:w="2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700" w:type="dxa"/>
            <w:vAlign w:val="bottom"/>
            <w:gridSpan w:val="2"/>
            <w:shd w:val="clear" w:color="auto" w:fill="EAF9E8"/>
          </w:tcPr>
          <w:p>
            <w:pPr>
              <w:jc w:val="right"/>
              <w:ind w:right="60"/>
              <w:spacing w:after="0"/>
              <w:rPr>
                <w:sz w:val="20"/>
                <w:szCs w:val="20"/>
                <w:color w:val="auto"/>
              </w:rPr>
            </w:pPr>
            <w:r>
              <w:rPr>
                <w:rFonts w:ascii="Arial" w:cs="Arial" w:eastAsia="Arial" w:hAnsi="Arial"/>
                <w:sz w:val="18"/>
                <w:szCs w:val="18"/>
                <w:color w:val="auto"/>
              </w:rPr>
              <w:t>(30,761)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140"/>
              <w:spacing w:after="0"/>
              <w:rPr>
                <w:sz w:val="20"/>
                <w:szCs w:val="20"/>
                <w:color w:val="auto"/>
              </w:rPr>
            </w:pPr>
            <w:r>
              <w:rPr>
                <w:rFonts w:ascii="Arial" w:cs="Arial" w:eastAsia="Arial" w:hAnsi="Arial"/>
                <w:sz w:val="18"/>
                <w:szCs w:val="18"/>
                <w:color w:val="auto"/>
              </w:rPr>
              <w:t>Decrease in deferred tax asset</w:t>
            </w:r>
          </w:p>
        </w:tc>
        <w:tc>
          <w:tcPr>
            <w:tcW w:w="1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7,232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496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EAF9E8"/>
          </w:tcPr>
          <w:p>
            <w:pPr>
              <w:ind w:left="140"/>
              <w:spacing w:after="0"/>
              <w:rPr>
                <w:sz w:val="20"/>
                <w:szCs w:val="20"/>
                <w:color w:val="auto"/>
              </w:rPr>
            </w:pPr>
            <w:r>
              <w:rPr>
                <w:rFonts w:ascii="Arial" w:cs="Arial" w:eastAsia="Arial" w:hAnsi="Arial"/>
                <w:sz w:val="18"/>
                <w:szCs w:val="18"/>
                <w:color w:val="auto"/>
              </w:rPr>
              <w:t>Increase in receivables and other assets, net</w:t>
            </w:r>
          </w:p>
        </w:tc>
        <w:tc>
          <w:tcPr>
            <w:tcW w:w="1160" w:type="dxa"/>
            <w:vAlign w:val="bottom"/>
            <w:shd w:val="clear" w:color="auto" w:fill="EAF9E8"/>
          </w:tcPr>
          <w:p>
            <w:pPr>
              <w:spacing w:after="0"/>
              <w:rPr>
                <w:sz w:val="18"/>
                <w:szCs w:val="18"/>
                <w:color w:val="auto"/>
              </w:rPr>
            </w:pPr>
          </w:p>
        </w:tc>
        <w:tc>
          <w:tcPr>
            <w:tcW w:w="88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(4,735)</w:t>
            </w:r>
          </w:p>
        </w:tc>
        <w:tc>
          <w:tcPr>
            <w:tcW w:w="14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700" w:type="dxa"/>
            <w:vAlign w:val="bottom"/>
            <w:gridSpan w:val="2"/>
            <w:shd w:val="clear" w:color="auto" w:fill="EAF9E8"/>
          </w:tcPr>
          <w:p>
            <w:pPr>
              <w:jc w:val="right"/>
              <w:ind w:right="60"/>
              <w:spacing w:after="0"/>
              <w:rPr>
                <w:sz w:val="20"/>
                <w:szCs w:val="20"/>
                <w:color w:val="auto"/>
              </w:rPr>
            </w:pPr>
            <w:r>
              <w:rPr>
                <w:rFonts w:ascii="Arial" w:cs="Arial" w:eastAsia="Arial" w:hAnsi="Arial"/>
                <w:sz w:val="18"/>
                <w:szCs w:val="18"/>
                <w:color w:val="auto"/>
              </w:rPr>
              <w:t>(7,223)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140"/>
              <w:spacing w:after="0"/>
              <w:rPr>
                <w:sz w:val="20"/>
                <w:szCs w:val="20"/>
                <w:color w:val="auto"/>
              </w:rPr>
            </w:pPr>
            <w:r>
              <w:rPr>
                <w:rFonts w:ascii="Arial" w:cs="Arial" w:eastAsia="Arial" w:hAnsi="Arial"/>
                <w:sz w:val="18"/>
                <w:szCs w:val="18"/>
                <w:color w:val="auto"/>
              </w:rPr>
              <w:t>Decrease in servicer liabilities</w:t>
            </w:r>
          </w:p>
        </w:tc>
        <w:tc>
          <w:tcPr>
            <w:tcW w:w="116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(45,386)</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00" w:type="dxa"/>
            <w:vAlign w:val="bottom"/>
            <w:gridSpan w:val="2"/>
          </w:tcPr>
          <w:p>
            <w:pPr>
              <w:jc w:val="right"/>
              <w:ind w:right="60"/>
              <w:spacing w:after="0"/>
              <w:rPr>
                <w:sz w:val="20"/>
                <w:szCs w:val="20"/>
                <w:color w:val="auto"/>
              </w:rPr>
            </w:pPr>
            <w:r>
              <w:rPr>
                <w:rFonts w:ascii="Arial" w:cs="Arial" w:eastAsia="Arial" w:hAnsi="Arial"/>
                <w:sz w:val="18"/>
                <w:szCs w:val="18"/>
                <w:color w:val="auto"/>
              </w:rPr>
              <w:t>(15,029)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EAF9E8"/>
          </w:tcPr>
          <w:p>
            <w:pPr>
              <w:ind w:left="140"/>
              <w:spacing w:after="0"/>
              <w:rPr>
                <w:sz w:val="20"/>
                <w:szCs w:val="20"/>
                <w:color w:val="auto"/>
              </w:rPr>
            </w:pPr>
            <w:r>
              <w:rPr>
                <w:rFonts w:ascii="Arial" w:cs="Arial" w:eastAsia="Arial" w:hAnsi="Arial"/>
                <w:sz w:val="18"/>
                <w:szCs w:val="18"/>
                <w:color w:val="auto"/>
              </w:rPr>
              <w:t>Decrease in other liabilities, net</w:t>
            </w:r>
          </w:p>
        </w:tc>
        <w:tc>
          <w:tcPr>
            <w:tcW w:w="1160" w:type="dxa"/>
            <w:vAlign w:val="bottom"/>
            <w:shd w:val="clear" w:color="auto" w:fill="EAF9E8"/>
          </w:tcPr>
          <w:p>
            <w:pPr>
              <w:spacing w:after="0"/>
              <w:rPr>
                <w:sz w:val="18"/>
                <w:szCs w:val="18"/>
                <w:color w:val="auto"/>
              </w:rPr>
            </w:pPr>
          </w:p>
        </w:tc>
        <w:tc>
          <w:tcPr>
            <w:tcW w:w="88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(12,382)</w:t>
            </w:r>
          </w:p>
        </w:tc>
        <w:tc>
          <w:tcPr>
            <w:tcW w:w="14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700" w:type="dxa"/>
            <w:vAlign w:val="bottom"/>
            <w:gridSpan w:val="2"/>
            <w:shd w:val="clear" w:color="auto" w:fill="EAF9E8"/>
          </w:tcPr>
          <w:p>
            <w:pPr>
              <w:jc w:val="right"/>
              <w:ind w:right="60"/>
              <w:spacing w:after="0"/>
              <w:rPr>
                <w:sz w:val="20"/>
                <w:szCs w:val="20"/>
                <w:color w:val="auto"/>
              </w:rPr>
            </w:pPr>
            <w:r>
              <w:rPr>
                <w:rFonts w:ascii="Arial" w:cs="Arial" w:eastAsia="Arial" w:hAnsi="Arial"/>
                <w:sz w:val="18"/>
                <w:szCs w:val="18"/>
                <w:color w:val="auto"/>
              </w:rPr>
              <w:t>(4,346)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260" w:type="dxa"/>
            <w:vAlign w:val="bottom"/>
          </w:tcPr>
          <w:p>
            <w:pPr>
              <w:ind w:left="140"/>
              <w:spacing w:after="0"/>
              <w:rPr>
                <w:sz w:val="20"/>
                <w:szCs w:val="20"/>
                <w:color w:val="auto"/>
              </w:rPr>
            </w:pPr>
            <w:r>
              <w:rPr>
                <w:rFonts w:ascii="Arial" w:cs="Arial" w:eastAsia="Arial" w:hAnsi="Arial"/>
                <w:sz w:val="18"/>
                <w:szCs w:val="18"/>
                <w:color w:val="auto"/>
              </w:rPr>
              <w:t>Other</w:t>
            </w:r>
          </w:p>
        </w:tc>
        <w:tc>
          <w:tcPr>
            <w:tcW w:w="1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1,826</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2,324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7280" w:type="dxa"/>
            <w:vAlign w:val="bottom"/>
            <w:gridSpan w:val="2"/>
          </w:tcPr>
          <w:p>
            <w:pPr>
              <w:spacing w:after="0"/>
              <w:rPr>
                <w:sz w:val="20"/>
                <w:szCs w:val="20"/>
                <w:color w:val="auto"/>
              </w:rPr>
            </w:pPr>
          </w:p>
        </w:tc>
        <w:tc>
          <w:tcPr>
            <w:tcW w:w="1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0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60" w:type="dxa"/>
            <w:vAlign w:val="bottom"/>
            <w:shd w:val="clear" w:color="auto" w:fill="EAF9E8"/>
          </w:tcPr>
          <w:p>
            <w:pPr>
              <w:spacing w:after="0"/>
              <w:rPr>
                <w:sz w:val="20"/>
                <w:szCs w:val="20"/>
                <w:color w:val="auto"/>
              </w:rPr>
            </w:pPr>
            <w:r>
              <w:rPr>
                <w:rFonts w:ascii="Arial" w:cs="Arial" w:eastAsia="Arial" w:hAnsi="Arial"/>
                <w:sz w:val="18"/>
                <w:szCs w:val="18"/>
                <w:color w:val="auto"/>
              </w:rPr>
              <w:t>Net cash provided (used) by operating activities</w:t>
            </w:r>
          </w:p>
        </w:tc>
        <w:tc>
          <w:tcPr>
            <w:tcW w:w="1160" w:type="dxa"/>
            <w:vAlign w:val="bottom"/>
            <w:tcBorders>
              <w:top w:val="single" w:sz="8" w:color="auto"/>
            </w:tcBorders>
            <w:shd w:val="clear" w:color="auto" w:fill="EAF9E8"/>
          </w:tcPr>
          <w:p>
            <w:pPr>
              <w:spacing w:after="0"/>
              <w:rPr>
                <w:sz w:val="18"/>
                <w:szCs w:val="18"/>
                <w:color w:val="auto"/>
              </w:rPr>
            </w:pPr>
          </w:p>
        </w:tc>
        <w:tc>
          <w:tcPr>
            <w:tcW w:w="68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130,094</w:t>
            </w:r>
          </w:p>
        </w:tc>
        <w:tc>
          <w:tcPr>
            <w:tcW w:w="2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260" w:type="dxa"/>
            <w:vAlign w:val="bottom"/>
            <w:tcBorders>
              <w:top w:val="single" w:sz="8" w:color="auto"/>
            </w:tcBorders>
            <w:shd w:val="clear" w:color="auto" w:fill="EAF9E8"/>
          </w:tcPr>
          <w:p>
            <w:pPr>
              <w:spacing w:after="0"/>
              <w:rPr>
                <w:sz w:val="18"/>
                <w:szCs w:val="18"/>
                <w:color w:val="auto"/>
              </w:rPr>
            </w:pPr>
          </w:p>
        </w:tc>
        <w:tc>
          <w:tcPr>
            <w:tcW w:w="158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(306,946)</w:t>
            </w:r>
          </w:p>
        </w:tc>
        <w:tc>
          <w:tcPr>
            <w:tcW w:w="12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72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16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57"/>
        </w:trPr>
        <w:tc>
          <w:tcPr>
            <w:tcW w:w="7280" w:type="dxa"/>
            <w:vAlign w:val="bottom"/>
            <w:gridSpan w:val="2"/>
            <w:vMerge w:val="continue"/>
          </w:tcPr>
          <w:p>
            <w:pPr>
              <w:spacing w:after="0"/>
              <w:rPr>
                <w:sz w:val="24"/>
                <w:szCs w:val="24"/>
                <w:color w:val="auto"/>
              </w:rPr>
            </w:pPr>
          </w:p>
        </w:tc>
        <w:tc>
          <w:tcPr>
            <w:tcW w:w="1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260" w:type="dxa"/>
            <w:vAlign w:val="bottom"/>
            <w:shd w:val="clear" w:color="auto" w:fill="EAF9E8"/>
          </w:tcPr>
          <w:p>
            <w:pPr>
              <w:ind w:left="140"/>
              <w:spacing w:after="0"/>
              <w:rPr>
                <w:sz w:val="20"/>
                <w:szCs w:val="20"/>
                <w:color w:val="auto"/>
              </w:rPr>
            </w:pPr>
            <w:r>
              <w:rPr>
                <w:rFonts w:ascii="Arial" w:cs="Arial" w:eastAsia="Arial" w:hAnsi="Arial"/>
                <w:sz w:val="18"/>
                <w:szCs w:val="18"/>
                <w:color w:val="auto"/>
              </w:rPr>
              <w:t>Purchase of mortgage servicing rights</w:t>
            </w:r>
          </w:p>
        </w:tc>
        <w:tc>
          <w:tcPr>
            <w:tcW w:w="1160" w:type="dxa"/>
            <w:vAlign w:val="bottom"/>
            <w:shd w:val="clear" w:color="auto" w:fill="EAF9E8"/>
          </w:tcPr>
          <w:p>
            <w:pPr>
              <w:spacing w:after="0"/>
              <w:rPr>
                <w:sz w:val="18"/>
                <w:szCs w:val="18"/>
                <w:color w:val="auto"/>
              </w:rPr>
            </w:pPr>
          </w:p>
        </w:tc>
        <w:tc>
          <w:tcPr>
            <w:tcW w:w="88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(10,241)</w:t>
            </w:r>
          </w:p>
        </w:tc>
        <w:tc>
          <w:tcPr>
            <w:tcW w:w="14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700" w:type="dxa"/>
            <w:vAlign w:val="bottom"/>
            <w:gridSpan w:val="2"/>
            <w:shd w:val="clear" w:color="auto" w:fill="EAF9E8"/>
          </w:tcPr>
          <w:p>
            <w:pPr>
              <w:jc w:val="right"/>
              <w:ind w:right="60"/>
              <w:spacing w:after="0"/>
              <w:rPr>
                <w:sz w:val="20"/>
                <w:szCs w:val="20"/>
                <w:color w:val="auto"/>
              </w:rPr>
            </w:pPr>
            <w:r>
              <w:rPr>
                <w:rFonts w:ascii="Arial" w:cs="Arial" w:eastAsia="Arial" w:hAnsi="Arial"/>
                <w:sz w:val="18"/>
                <w:szCs w:val="18"/>
                <w:color w:val="auto"/>
              </w:rPr>
              <w:t>(3,626)</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260" w:type="dxa"/>
            <w:vAlign w:val="bottom"/>
          </w:tcPr>
          <w:p>
            <w:pPr>
              <w:ind w:left="140"/>
              <w:spacing w:after="0"/>
              <w:rPr>
                <w:sz w:val="20"/>
                <w:szCs w:val="20"/>
                <w:color w:val="auto"/>
              </w:rPr>
            </w:pPr>
            <w:r>
              <w:rPr>
                <w:rFonts w:ascii="Arial" w:cs="Arial" w:eastAsia="Arial" w:hAnsi="Arial"/>
                <w:sz w:val="18"/>
                <w:szCs w:val="18"/>
                <w:color w:val="auto"/>
                <w:w w:val="99"/>
              </w:rPr>
              <w:t>Distributions from Ocwen Structured Investments, LLC and Ocwen Nonperforming Loans,</w:t>
            </w:r>
          </w:p>
        </w:tc>
        <w:tc>
          <w:tcPr>
            <w:tcW w:w="1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60" w:type="dxa"/>
            <w:vAlign w:val="bottom"/>
          </w:tcPr>
          <w:p>
            <w:pPr>
              <w:ind w:left="300"/>
              <w:spacing w:after="0"/>
              <w:rPr>
                <w:sz w:val="20"/>
                <w:szCs w:val="20"/>
                <w:color w:val="auto"/>
              </w:rPr>
            </w:pPr>
            <w:r>
              <w:rPr>
                <w:rFonts w:ascii="Arial" w:cs="Arial" w:eastAsia="Arial" w:hAnsi="Arial"/>
                <w:sz w:val="18"/>
                <w:szCs w:val="18"/>
                <w:color w:val="auto"/>
              </w:rPr>
              <w:t>LLC and related entities</w:t>
            </w:r>
          </w:p>
        </w:tc>
        <w:tc>
          <w:tcPr>
            <w:tcW w:w="1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3,246</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3,875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260" w:type="dxa"/>
            <w:vAlign w:val="bottom"/>
            <w:shd w:val="clear" w:color="auto" w:fill="EAF9E8"/>
          </w:tcPr>
          <w:p>
            <w:pPr>
              <w:ind w:left="140"/>
              <w:spacing w:after="0"/>
              <w:rPr>
                <w:sz w:val="20"/>
                <w:szCs w:val="20"/>
                <w:color w:val="auto"/>
              </w:rPr>
            </w:pPr>
            <w:r>
              <w:rPr>
                <w:rFonts w:ascii="Arial" w:cs="Arial" w:eastAsia="Arial" w:hAnsi="Arial"/>
                <w:sz w:val="18"/>
                <w:szCs w:val="18"/>
                <w:color w:val="auto"/>
              </w:rPr>
              <w:t>Investment in Ocwen Nonperforming Loans, LLC and related entities</w:t>
            </w:r>
          </w:p>
        </w:tc>
        <w:tc>
          <w:tcPr>
            <w:tcW w:w="1160" w:type="dxa"/>
            <w:vAlign w:val="bottom"/>
            <w:shd w:val="clear" w:color="auto" w:fill="EAF9E8"/>
          </w:tcPr>
          <w:p>
            <w:pPr>
              <w:spacing w:after="0"/>
              <w:rPr>
                <w:sz w:val="18"/>
                <w:szCs w:val="18"/>
                <w:color w:val="auto"/>
              </w:rPr>
            </w:pPr>
          </w:p>
        </w:tc>
        <w:tc>
          <w:tcPr>
            <w:tcW w:w="88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700" w:type="dxa"/>
            <w:vAlign w:val="bottom"/>
            <w:gridSpan w:val="2"/>
            <w:shd w:val="clear" w:color="auto" w:fill="EAF9E8"/>
          </w:tcPr>
          <w:p>
            <w:pPr>
              <w:jc w:val="right"/>
              <w:ind w:right="60"/>
              <w:spacing w:after="0"/>
              <w:rPr>
                <w:sz w:val="20"/>
                <w:szCs w:val="20"/>
                <w:color w:val="auto"/>
              </w:rPr>
            </w:pPr>
            <w:r>
              <w:rPr>
                <w:rFonts w:ascii="Arial" w:cs="Arial" w:eastAsia="Arial" w:hAnsi="Arial"/>
                <w:sz w:val="18"/>
                <w:szCs w:val="18"/>
                <w:color w:val="auto"/>
              </w:rPr>
              <w:t>(1,250)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140"/>
              <w:spacing w:after="0"/>
              <w:rPr>
                <w:sz w:val="20"/>
                <w:szCs w:val="20"/>
                <w:color w:val="auto"/>
              </w:rPr>
            </w:pPr>
            <w:r>
              <w:rPr>
                <w:rFonts w:ascii="Arial" w:cs="Arial" w:eastAsia="Arial" w:hAnsi="Arial"/>
                <w:sz w:val="18"/>
                <w:szCs w:val="18"/>
                <w:color w:val="auto"/>
              </w:rPr>
              <w:t>Additions to premises and equipment</w:t>
            </w:r>
          </w:p>
        </w:tc>
        <w:tc>
          <w:tcPr>
            <w:tcW w:w="116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(849)</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00" w:type="dxa"/>
            <w:vAlign w:val="bottom"/>
            <w:gridSpan w:val="2"/>
          </w:tcPr>
          <w:p>
            <w:pPr>
              <w:jc w:val="right"/>
              <w:ind w:right="60"/>
              <w:spacing w:after="0"/>
              <w:rPr>
                <w:sz w:val="20"/>
                <w:szCs w:val="20"/>
                <w:color w:val="auto"/>
              </w:rPr>
            </w:pPr>
            <w:r>
              <w:rPr>
                <w:rFonts w:ascii="Arial" w:cs="Arial" w:eastAsia="Arial" w:hAnsi="Arial"/>
                <w:sz w:val="18"/>
                <w:szCs w:val="18"/>
                <w:color w:val="auto"/>
              </w:rPr>
              <w:t>(940)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EAF9E8"/>
          </w:tcPr>
          <w:p>
            <w:pPr>
              <w:ind w:left="140"/>
              <w:spacing w:after="0"/>
              <w:rPr>
                <w:sz w:val="20"/>
                <w:szCs w:val="20"/>
                <w:color w:val="auto"/>
              </w:rPr>
            </w:pPr>
            <w:r>
              <w:rPr>
                <w:rFonts w:ascii="Arial" w:cs="Arial" w:eastAsia="Arial" w:hAnsi="Arial"/>
                <w:sz w:val="18"/>
                <w:szCs w:val="18"/>
                <w:color w:val="auto"/>
              </w:rPr>
              <w:t>Proceeds from sales of real estate</w:t>
            </w:r>
          </w:p>
        </w:tc>
        <w:tc>
          <w:tcPr>
            <w:tcW w:w="1160" w:type="dxa"/>
            <w:vAlign w:val="bottom"/>
            <w:shd w:val="clear" w:color="auto" w:fill="EAF9E8"/>
          </w:tcPr>
          <w:p>
            <w:pPr>
              <w:spacing w:after="0"/>
              <w:rPr>
                <w:sz w:val="18"/>
                <w:szCs w:val="18"/>
                <w:color w:val="auto"/>
              </w:rPr>
            </w:pPr>
          </w:p>
        </w:tc>
        <w:tc>
          <w:tcPr>
            <w:tcW w:w="6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1,196</w:t>
            </w:r>
          </w:p>
        </w:tc>
        <w:tc>
          <w:tcPr>
            <w:tcW w:w="2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5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1,967</w:t>
            </w:r>
          </w:p>
        </w:tc>
        <w:tc>
          <w:tcPr>
            <w:tcW w:w="12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260" w:type="dxa"/>
            <w:vAlign w:val="bottom"/>
          </w:tcPr>
          <w:p>
            <w:pPr>
              <w:ind w:left="140"/>
              <w:spacing w:after="0"/>
              <w:rPr>
                <w:sz w:val="20"/>
                <w:szCs w:val="20"/>
                <w:color w:val="auto"/>
              </w:rPr>
            </w:pPr>
            <w:r>
              <w:rPr>
                <w:rFonts w:ascii="Arial" w:cs="Arial" w:eastAsia="Arial" w:hAnsi="Arial"/>
                <w:sz w:val="18"/>
                <w:szCs w:val="18"/>
                <w:color w:val="auto"/>
              </w:rPr>
              <w:t>Other</w:t>
            </w:r>
          </w:p>
        </w:tc>
        <w:tc>
          <w:tcPr>
            <w:tcW w:w="1160" w:type="dxa"/>
            <w:vAlign w:val="bottom"/>
          </w:tcPr>
          <w:p>
            <w:pPr>
              <w:spacing w:after="0"/>
              <w:rPr>
                <w:sz w:val="19"/>
                <w:szCs w:val="19"/>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136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7280" w:type="dxa"/>
            <w:vAlign w:val="bottom"/>
            <w:gridSpan w:val="2"/>
          </w:tcPr>
          <w:p>
            <w:pPr>
              <w:spacing w:after="0"/>
              <w:rPr>
                <w:sz w:val="20"/>
                <w:szCs w:val="20"/>
                <w:color w:val="auto"/>
              </w:rPr>
            </w:pPr>
          </w:p>
        </w:tc>
        <w:tc>
          <w:tcPr>
            <w:tcW w:w="1160" w:type="dxa"/>
            <w:vAlign w:val="bottom"/>
          </w:tcPr>
          <w:p>
            <w:pPr>
              <w:spacing w:after="0"/>
              <w:rPr>
                <w:sz w:val="20"/>
                <w:szCs w:val="20"/>
                <w:color w:val="auto"/>
              </w:rPr>
            </w:pPr>
          </w:p>
        </w:tc>
        <w:tc>
          <w:tcPr>
            <w:tcW w:w="880" w:type="dxa"/>
            <w:vAlign w:val="bottom"/>
            <w:gridSpan w:val="2"/>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60" w:type="dxa"/>
            <w:vAlign w:val="bottom"/>
            <w:shd w:val="clear" w:color="auto" w:fill="EAF9E8"/>
          </w:tcPr>
          <w:p>
            <w:pPr>
              <w:spacing w:after="0"/>
              <w:rPr>
                <w:sz w:val="20"/>
                <w:szCs w:val="20"/>
                <w:color w:val="auto"/>
              </w:rPr>
            </w:pPr>
            <w:r>
              <w:rPr>
                <w:rFonts w:ascii="Arial" w:cs="Arial" w:eastAsia="Arial" w:hAnsi="Arial"/>
                <w:sz w:val="18"/>
                <w:szCs w:val="18"/>
                <w:color w:val="auto"/>
              </w:rPr>
              <w:t>Net cash provided (used) by investing activities</w:t>
            </w:r>
          </w:p>
        </w:tc>
        <w:tc>
          <w:tcPr>
            <w:tcW w:w="1160" w:type="dxa"/>
            <w:vAlign w:val="bottom"/>
            <w:tcBorders>
              <w:top w:val="single" w:sz="8" w:color="auto"/>
            </w:tcBorders>
            <w:shd w:val="clear" w:color="auto" w:fill="EAF9E8"/>
          </w:tcPr>
          <w:p>
            <w:pPr>
              <w:spacing w:after="0"/>
              <w:rPr>
                <w:sz w:val="18"/>
                <w:szCs w:val="18"/>
                <w:color w:val="auto"/>
              </w:rPr>
            </w:pPr>
          </w:p>
        </w:tc>
        <w:tc>
          <w:tcPr>
            <w:tcW w:w="68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(6,648)</w:t>
            </w:r>
          </w:p>
        </w:tc>
        <w:tc>
          <w:tcPr>
            <w:tcW w:w="2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260" w:type="dxa"/>
            <w:vAlign w:val="bottom"/>
            <w:tcBorders>
              <w:top w:val="single" w:sz="8" w:color="auto"/>
            </w:tcBorders>
            <w:shd w:val="clear" w:color="auto" w:fill="EAF9E8"/>
          </w:tcPr>
          <w:p>
            <w:pPr>
              <w:spacing w:after="0"/>
              <w:rPr>
                <w:sz w:val="18"/>
                <w:szCs w:val="18"/>
                <w:color w:val="auto"/>
              </w:rPr>
            </w:pPr>
          </w:p>
        </w:tc>
        <w:tc>
          <w:tcPr>
            <w:tcW w:w="158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162</w:t>
            </w:r>
          </w:p>
        </w:tc>
        <w:tc>
          <w:tcPr>
            <w:tcW w:w="12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72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16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57"/>
        </w:trPr>
        <w:tc>
          <w:tcPr>
            <w:tcW w:w="7280" w:type="dxa"/>
            <w:vAlign w:val="bottom"/>
            <w:gridSpan w:val="2"/>
            <w:vMerge w:val="continue"/>
          </w:tcPr>
          <w:p>
            <w:pPr>
              <w:spacing w:after="0"/>
              <w:rPr>
                <w:sz w:val="24"/>
                <w:szCs w:val="24"/>
                <w:color w:val="auto"/>
              </w:rPr>
            </w:pPr>
          </w:p>
        </w:tc>
        <w:tc>
          <w:tcPr>
            <w:tcW w:w="1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260" w:type="dxa"/>
            <w:vAlign w:val="bottom"/>
            <w:shd w:val="clear" w:color="auto" w:fill="EAF9E8"/>
          </w:tcPr>
          <w:p>
            <w:pPr>
              <w:ind w:left="140"/>
              <w:spacing w:after="0"/>
              <w:rPr>
                <w:sz w:val="20"/>
                <w:szCs w:val="20"/>
                <w:color w:val="auto"/>
              </w:rPr>
            </w:pPr>
            <w:r>
              <w:rPr>
                <w:rFonts w:ascii="Arial" w:cs="Arial" w:eastAsia="Arial" w:hAnsi="Arial"/>
                <w:sz w:val="18"/>
                <w:szCs w:val="18"/>
                <w:color w:val="auto"/>
              </w:rPr>
              <w:t>Proceeds from (repayment of) match funded liabilities, net</w:t>
            </w:r>
          </w:p>
        </w:tc>
        <w:tc>
          <w:tcPr>
            <w:tcW w:w="1160" w:type="dxa"/>
            <w:vAlign w:val="bottom"/>
            <w:shd w:val="clear" w:color="auto" w:fill="EAF9E8"/>
          </w:tcPr>
          <w:p>
            <w:pPr>
              <w:spacing w:after="0"/>
              <w:rPr>
                <w:sz w:val="18"/>
                <w:szCs w:val="18"/>
                <w:color w:val="auto"/>
              </w:rPr>
            </w:pPr>
          </w:p>
        </w:tc>
        <w:tc>
          <w:tcPr>
            <w:tcW w:w="88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w w:val="93"/>
              </w:rPr>
              <w:t>(170,797)</w:t>
            </w:r>
          </w:p>
        </w:tc>
        <w:tc>
          <w:tcPr>
            <w:tcW w:w="14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5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63,843</w:t>
            </w:r>
          </w:p>
        </w:tc>
        <w:tc>
          <w:tcPr>
            <w:tcW w:w="12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140"/>
              <w:spacing w:after="0"/>
              <w:rPr>
                <w:sz w:val="20"/>
                <w:szCs w:val="20"/>
                <w:color w:val="auto"/>
              </w:rPr>
            </w:pPr>
            <w:r>
              <w:rPr>
                <w:rFonts w:ascii="Arial" w:cs="Arial" w:eastAsia="Arial" w:hAnsi="Arial"/>
                <w:sz w:val="18"/>
                <w:szCs w:val="18"/>
                <w:color w:val="auto"/>
              </w:rPr>
              <w:t>Proceeds from lines of credit and other secured borrowings, net</w:t>
            </w:r>
          </w:p>
        </w:tc>
        <w:tc>
          <w:tcPr>
            <w:tcW w:w="1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41,822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19,546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EAF9E8"/>
          </w:tcPr>
          <w:p>
            <w:pPr>
              <w:ind w:left="140"/>
              <w:spacing w:after="0"/>
              <w:rPr>
                <w:sz w:val="20"/>
                <w:szCs w:val="20"/>
                <w:color w:val="auto"/>
              </w:rPr>
            </w:pPr>
            <w:r>
              <w:rPr>
                <w:rFonts w:ascii="Arial" w:cs="Arial" w:eastAsia="Arial" w:hAnsi="Arial"/>
                <w:sz w:val="18"/>
                <w:szCs w:val="18"/>
                <w:color w:val="auto"/>
              </w:rPr>
              <w:t>Proceeds from investment line</w:t>
            </w:r>
          </w:p>
        </w:tc>
        <w:tc>
          <w:tcPr>
            <w:tcW w:w="1160" w:type="dxa"/>
            <w:vAlign w:val="bottom"/>
            <w:shd w:val="clear" w:color="auto" w:fill="EAF9E8"/>
          </w:tcPr>
          <w:p>
            <w:pPr>
              <w:spacing w:after="0"/>
              <w:rPr>
                <w:sz w:val="18"/>
                <w:szCs w:val="18"/>
                <w:color w:val="auto"/>
              </w:rPr>
            </w:pPr>
          </w:p>
        </w:tc>
        <w:tc>
          <w:tcPr>
            <w:tcW w:w="88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5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299,964</w:t>
            </w:r>
          </w:p>
        </w:tc>
        <w:tc>
          <w:tcPr>
            <w:tcW w:w="12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140"/>
              <w:spacing w:after="0"/>
              <w:rPr>
                <w:sz w:val="20"/>
                <w:szCs w:val="20"/>
                <w:color w:val="auto"/>
              </w:rPr>
            </w:pPr>
            <w:r>
              <w:rPr>
                <w:rFonts w:ascii="Arial" w:cs="Arial" w:eastAsia="Arial" w:hAnsi="Arial"/>
                <w:sz w:val="18"/>
                <w:szCs w:val="18"/>
                <w:color w:val="auto"/>
              </w:rPr>
              <w:t>Repayment of investment line</w:t>
            </w:r>
          </w:p>
        </w:tc>
        <w:tc>
          <w:tcPr>
            <w:tcW w:w="116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(14,151)</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00" w:type="dxa"/>
            <w:vAlign w:val="bottom"/>
            <w:gridSpan w:val="2"/>
          </w:tcPr>
          <w:p>
            <w:pPr>
              <w:jc w:val="right"/>
              <w:ind w:right="60"/>
              <w:spacing w:after="0"/>
              <w:rPr>
                <w:sz w:val="20"/>
                <w:szCs w:val="20"/>
                <w:color w:val="auto"/>
              </w:rPr>
            </w:pPr>
            <w:r>
              <w:rPr>
                <w:rFonts w:ascii="Arial" w:cs="Arial" w:eastAsia="Arial" w:hAnsi="Arial"/>
                <w:sz w:val="18"/>
                <w:szCs w:val="18"/>
                <w:color w:val="auto"/>
              </w:rPr>
              <w:t>(16,128)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EAF9E8"/>
          </w:tcPr>
          <w:p>
            <w:pPr>
              <w:ind w:left="140"/>
              <w:spacing w:after="0"/>
              <w:rPr>
                <w:sz w:val="20"/>
                <w:szCs w:val="20"/>
                <w:color w:val="auto"/>
              </w:rPr>
            </w:pPr>
            <w:r>
              <w:rPr>
                <w:rFonts w:ascii="Arial" w:cs="Arial" w:eastAsia="Arial" w:hAnsi="Arial"/>
                <w:sz w:val="18"/>
                <w:szCs w:val="18"/>
                <w:color w:val="auto"/>
              </w:rPr>
              <w:t>Repurchase of debt securities</w:t>
            </w:r>
          </w:p>
        </w:tc>
        <w:tc>
          <w:tcPr>
            <w:tcW w:w="1160" w:type="dxa"/>
            <w:vAlign w:val="bottom"/>
            <w:shd w:val="clear" w:color="auto" w:fill="EAF9E8"/>
          </w:tcPr>
          <w:p>
            <w:pPr>
              <w:spacing w:after="0"/>
              <w:rPr>
                <w:sz w:val="18"/>
                <w:szCs w:val="18"/>
                <w:color w:val="auto"/>
              </w:rPr>
            </w:pPr>
          </w:p>
        </w:tc>
        <w:tc>
          <w:tcPr>
            <w:tcW w:w="88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(24,602)</w:t>
            </w:r>
          </w:p>
        </w:tc>
        <w:tc>
          <w:tcPr>
            <w:tcW w:w="14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70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140"/>
              <w:spacing w:after="0"/>
              <w:rPr>
                <w:sz w:val="20"/>
                <w:szCs w:val="20"/>
                <w:color w:val="auto"/>
              </w:rPr>
            </w:pPr>
            <w:r>
              <w:rPr>
                <w:rFonts w:ascii="Arial" w:cs="Arial" w:eastAsia="Arial" w:hAnsi="Arial"/>
                <w:sz w:val="18"/>
                <w:szCs w:val="18"/>
                <w:color w:val="auto"/>
              </w:rPr>
              <w:t>Exercise of common stock options</w:t>
            </w:r>
          </w:p>
        </w:tc>
        <w:tc>
          <w:tcPr>
            <w:tcW w:w="1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1,202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EAF9E8"/>
          </w:tcPr>
          <w:p>
            <w:pPr>
              <w:ind w:left="140"/>
              <w:spacing w:after="0"/>
              <w:rPr>
                <w:sz w:val="20"/>
                <w:szCs w:val="20"/>
                <w:color w:val="auto"/>
              </w:rPr>
            </w:pPr>
            <w:r>
              <w:rPr>
                <w:rFonts w:ascii="Arial" w:cs="Arial" w:eastAsia="Arial" w:hAnsi="Arial"/>
                <w:sz w:val="18"/>
                <w:szCs w:val="18"/>
                <w:color w:val="auto"/>
              </w:rPr>
              <w:t>Excess tax benefits related to share-based awards</w:t>
            </w:r>
          </w:p>
        </w:tc>
        <w:tc>
          <w:tcPr>
            <w:tcW w:w="1160" w:type="dxa"/>
            <w:vAlign w:val="bottom"/>
            <w:shd w:val="clear" w:color="auto" w:fill="EAF9E8"/>
          </w:tcPr>
          <w:p>
            <w:pPr>
              <w:spacing w:after="0"/>
              <w:rPr>
                <w:sz w:val="18"/>
                <w:szCs w:val="18"/>
                <w:color w:val="auto"/>
              </w:rPr>
            </w:pPr>
          </w:p>
        </w:tc>
        <w:tc>
          <w:tcPr>
            <w:tcW w:w="6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186</w:t>
            </w:r>
          </w:p>
        </w:tc>
        <w:tc>
          <w:tcPr>
            <w:tcW w:w="2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70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260" w:type="dxa"/>
            <w:vAlign w:val="bottom"/>
          </w:tcPr>
          <w:p>
            <w:pPr>
              <w:ind w:left="140"/>
              <w:spacing w:after="0"/>
              <w:rPr>
                <w:sz w:val="20"/>
                <w:szCs w:val="20"/>
                <w:color w:val="auto"/>
              </w:rPr>
            </w:pPr>
            <w:r>
              <w:rPr>
                <w:rFonts w:ascii="Arial" w:cs="Arial" w:eastAsia="Arial" w:hAnsi="Arial"/>
                <w:sz w:val="18"/>
                <w:szCs w:val="18"/>
                <w:color w:val="auto"/>
              </w:rPr>
              <w:t>Proceeds from sale of mortgage servicing rights accounted for as a financing</w:t>
            </w:r>
          </w:p>
        </w:tc>
        <w:tc>
          <w:tcPr>
            <w:tcW w:w="1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724</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7280" w:type="dxa"/>
            <w:vAlign w:val="bottom"/>
            <w:gridSpan w:val="2"/>
          </w:tcPr>
          <w:p>
            <w:pPr>
              <w:spacing w:after="0"/>
              <w:rPr>
                <w:sz w:val="20"/>
                <w:szCs w:val="20"/>
                <w:color w:val="auto"/>
              </w:rPr>
            </w:pPr>
          </w:p>
        </w:tc>
        <w:tc>
          <w:tcPr>
            <w:tcW w:w="1160" w:type="dxa"/>
            <w:vAlign w:val="bottom"/>
          </w:tcPr>
          <w:p>
            <w:pPr>
              <w:spacing w:after="0"/>
              <w:rPr>
                <w:sz w:val="20"/>
                <w:szCs w:val="20"/>
                <w:color w:val="auto"/>
              </w:rPr>
            </w:pPr>
          </w:p>
        </w:tc>
        <w:tc>
          <w:tcPr>
            <w:tcW w:w="880" w:type="dxa"/>
            <w:vAlign w:val="bottom"/>
            <w:gridSpan w:val="2"/>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60" w:type="dxa"/>
            <w:vAlign w:val="bottom"/>
            <w:shd w:val="clear" w:color="auto" w:fill="EAF9E8"/>
          </w:tcPr>
          <w:p>
            <w:pPr>
              <w:spacing w:after="0"/>
              <w:rPr>
                <w:sz w:val="20"/>
                <w:szCs w:val="20"/>
                <w:color w:val="auto"/>
              </w:rPr>
            </w:pPr>
            <w:r>
              <w:rPr>
                <w:rFonts w:ascii="Arial" w:cs="Arial" w:eastAsia="Arial" w:hAnsi="Arial"/>
                <w:sz w:val="18"/>
                <w:szCs w:val="18"/>
                <w:color w:val="auto"/>
              </w:rPr>
              <w:t>Net cash provided (used) by financing activities</w:t>
            </w:r>
          </w:p>
        </w:tc>
        <w:tc>
          <w:tcPr>
            <w:tcW w:w="1160" w:type="dxa"/>
            <w:vAlign w:val="bottom"/>
            <w:tcBorders>
              <w:top w:val="single" w:sz="8" w:color="auto"/>
            </w:tcBorders>
            <w:shd w:val="clear" w:color="auto" w:fill="EAF9E8"/>
          </w:tcPr>
          <w:p>
            <w:pPr>
              <w:spacing w:after="0"/>
              <w:rPr>
                <w:sz w:val="18"/>
                <w:szCs w:val="18"/>
                <w:color w:val="auto"/>
              </w:rPr>
            </w:pPr>
          </w:p>
        </w:tc>
        <w:tc>
          <w:tcPr>
            <w:tcW w:w="68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85"/>
              </w:rPr>
              <w:t>(165,616)</w:t>
            </w:r>
          </w:p>
        </w:tc>
        <w:tc>
          <w:tcPr>
            <w:tcW w:w="2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260" w:type="dxa"/>
            <w:vAlign w:val="bottom"/>
            <w:tcBorders>
              <w:top w:val="single" w:sz="8" w:color="auto"/>
            </w:tcBorders>
            <w:shd w:val="clear" w:color="auto" w:fill="EAF9E8"/>
          </w:tcPr>
          <w:p>
            <w:pPr>
              <w:spacing w:after="0"/>
              <w:rPr>
                <w:sz w:val="18"/>
                <w:szCs w:val="18"/>
                <w:color w:val="auto"/>
              </w:rPr>
            </w:pPr>
          </w:p>
        </w:tc>
        <w:tc>
          <w:tcPr>
            <w:tcW w:w="158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367,225</w:t>
            </w:r>
          </w:p>
        </w:tc>
        <w:tc>
          <w:tcPr>
            <w:tcW w:w="12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7280" w:type="dxa"/>
            <w:vAlign w:val="bottom"/>
            <w:gridSpan w:val="2"/>
          </w:tcPr>
          <w:p>
            <w:pPr>
              <w:spacing w:after="0"/>
              <w:rPr>
                <w:sz w:val="21"/>
                <w:szCs w:val="21"/>
                <w:color w:val="auto"/>
              </w:rPr>
            </w:pPr>
          </w:p>
        </w:tc>
        <w:tc>
          <w:tcPr>
            <w:tcW w:w="116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56"/>
        </w:trPr>
        <w:tc>
          <w:tcPr>
            <w:tcW w:w="7280" w:type="dxa"/>
            <w:vAlign w:val="bottom"/>
            <w:gridSpan w:val="2"/>
          </w:tcPr>
          <w:p>
            <w:pPr>
              <w:spacing w:after="0"/>
              <w:rPr>
                <w:sz w:val="20"/>
                <w:szCs w:val="20"/>
                <w:color w:val="auto"/>
              </w:rPr>
            </w:pPr>
            <w:r>
              <w:rPr>
                <w:rFonts w:ascii="Arial" w:cs="Arial" w:eastAsia="Arial" w:hAnsi="Arial"/>
                <w:sz w:val="18"/>
                <w:szCs w:val="18"/>
                <w:color w:val="auto"/>
              </w:rPr>
              <w:t>Net increase (decrease) in cash</w:t>
            </w:r>
          </w:p>
        </w:tc>
        <w:tc>
          <w:tcPr>
            <w:tcW w:w="1160" w:type="dxa"/>
            <w:vAlign w:val="bottom"/>
          </w:tcPr>
          <w:p>
            <w:pPr>
              <w:spacing w:after="0"/>
              <w:rPr>
                <w:sz w:val="24"/>
                <w:szCs w:val="24"/>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(42,170)</w:t>
            </w: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60,441</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260" w:type="dxa"/>
            <w:vAlign w:val="bottom"/>
            <w:shd w:val="clear" w:color="auto" w:fill="EAF9E8"/>
          </w:tcPr>
          <w:p>
            <w:pPr>
              <w:spacing w:after="0"/>
              <w:rPr>
                <w:sz w:val="20"/>
                <w:szCs w:val="20"/>
                <w:color w:val="auto"/>
              </w:rPr>
            </w:pPr>
            <w:r>
              <w:rPr>
                <w:rFonts w:ascii="Arial" w:cs="Arial" w:eastAsia="Arial" w:hAnsi="Arial"/>
                <w:sz w:val="18"/>
                <w:szCs w:val="18"/>
                <w:color w:val="auto"/>
              </w:rPr>
              <w:t>Cash at beginning of period</w:t>
            </w:r>
          </w:p>
        </w:tc>
        <w:tc>
          <w:tcPr>
            <w:tcW w:w="1160" w:type="dxa"/>
            <w:vAlign w:val="bottom"/>
            <w:shd w:val="clear" w:color="auto" w:fill="EAF9E8"/>
          </w:tcPr>
          <w:p>
            <w:pPr>
              <w:spacing w:after="0"/>
              <w:rPr>
                <w:sz w:val="18"/>
                <w:szCs w:val="18"/>
                <w:color w:val="auto"/>
              </w:rPr>
            </w:pPr>
          </w:p>
        </w:tc>
        <w:tc>
          <w:tcPr>
            <w:tcW w:w="6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201,025</w:t>
            </w:r>
          </w:p>
        </w:tc>
        <w:tc>
          <w:tcPr>
            <w:tcW w:w="2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5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114,243</w:t>
            </w:r>
          </w:p>
        </w:tc>
        <w:tc>
          <w:tcPr>
            <w:tcW w:w="12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7280" w:type="dxa"/>
            <w:vAlign w:val="bottom"/>
            <w:gridSpan w:val="2"/>
            <w:vMerge w:val="restart"/>
          </w:tcPr>
          <w:p>
            <w:pPr>
              <w:spacing w:after="0"/>
              <w:rPr>
                <w:sz w:val="20"/>
                <w:szCs w:val="20"/>
                <w:color w:val="auto"/>
              </w:rPr>
            </w:pPr>
            <w:r>
              <w:rPr>
                <w:rFonts w:ascii="Arial" w:cs="Arial" w:eastAsia="Arial" w:hAnsi="Arial"/>
                <w:sz w:val="18"/>
                <w:szCs w:val="18"/>
                <w:color w:val="auto"/>
              </w:rPr>
              <w:t>Cash at end of period</w:t>
            </w:r>
          </w:p>
        </w:tc>
        <w:tc>
          <w:tcPr>
            <w:tcW w:w="11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0" w:type="dxa"/>
            <w:vAlign w:val="bottom"/>
            <w:gridSpan w:val="2"/>
          </w:tcPr>
          <w:p>
            <w:pPr>
              <w:spacing w:after="0"/>
              <w:rPr>
                <w:sz w:val="21"/>
                <w:szCs w:val="21"/>
                <w:color w:val="auto"/>
              </w:rPr>
            </w:pPr>
          </w:p>
        </w:tc>
        <w:tc>
          <w:tcPr>
            <w:tcW w:w="1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7280" w:type="dxa"/>
            <w:vAlign w:val="bottom"/>
            <w:gridSpan w:val="2"/>
            <w:vMerge w:val="continue"/>
          </w:tcPr>
          <w:p>
            <w:pPr>
              <w:spacing w:after="0"/>
              <w:rPr>
                <w:sz w:val="18"/>
                <w:szCs w:val="18"/>
                <w:color w:val="auto"/>
              </w:rPr>
            </w:pPr>
          </w:p>
        </w:tc>
        <w:tc>
          <w:tcPr>
            <w:tcW w:w="1160" w:type="dxa"/>
            <w:vAlign w:val="bottom"/>
            <w:tcBorders>
              <w:top w:val="single" w:sz="8" w:color="auto"/>
            </w:tcBorders>
          </w:tcPr>
          <w:p>
            <w:pPr>
              <w:jc w:val="right"/>
              <w:ind w:right="972"/>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158,855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Borders>
              <w:top w:val="single" w:sz="8" w:color="auto"/>
            </w:tcBorders>
          </w:tcPr>
          <w:p>
            <w:pPr>
              <w:jc w:val="right"/>
              <w:ind w:right="103"/>
              <w:spacing w:after="0"/>
              <w:rPr>
                <w:sz w:val="20"/>
                <w:szCs w:val="20"/>
                <w:color w:val="auto"/>
              </w:rPr>
            </w:pPr>
            <w:r>
              <w:rPr>
                <w:rFonts w:ascii="Arial" w:cs="Arial" w:eastAsia="Arial" w:hAnsi="Arial"/>
                <w:sz w:val="15"/>
                <w:szCs w:val="15"/>
                <w:color w:val="auto"/>
                <w:w w:val="71"/>
              </w:rPr>
              <w:t>$</w:t>
            </w: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174,684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4627245</wp:posOffset>
            </wp:positionH>
            <wp:positionV relativeFrom="paragraph">
              <wp:posOffset>150495</wp:posOffset>
            </wp:positionV>
            <wp:extent cx="2546985"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546985" cy="26035"/>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ectPr>
          <w:pgSz w:w="11900" w:h="16838" w:orient="portrait"/>
          <w:cols w:equalWidth="0" w:num="1">
            <w:col w:w="11420"/>
          </w:cols>
          <w:pgMar w:left="240" w:top="125" w:right="239" w:bottom="1440" w:gutter="0" w:footer="0" w:header="0"/>
        </w:sect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175260</wp:posOffset>
            </wp:positionV>
            <wp:extent cx="7267575"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OCWEN FINANCIAL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INTERIM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2009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share data)</w:t>
      </w:r>
    </w:p>
    <w:p>
      <w:pPr>
        <w:spacing w:after="0" w:line="226"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NOTE 1</w:t>
      </w:r>
      <w:r>
        <w:rPr>
          <w:sz w:val="20"/>
          <w:szCs w:val="20"/>
          <w:color w:val="auto"/>
        </w:rPr>
        <w:tab/>
      </w:r>
      <w:r>
        <w:rPr>
          <w:rFonts w:ascii="Arial" w:cs="Arial" w:eastAsia="Arial" w:hAnsi="Arial"/>
          <w:sz w:val="16"/>
          <w:szCs w:val="16"/>
          <w:b w:val="1"/>
          <w:bCs w:val="1"/>
          <w:color w:val="auto"/>
        </w:rPr>
        <w:t>SUMMARY OF SIGNIFICANT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Organization</w:t>
      </w:r>
    </w:p>
    <w:p>
      <w:pPr>
        <w:spacing w:after="0" w:line="231" w:lineRule="exact"/>
        <w:rPr>
          <w:sz w:val="20"/>
          <w:szCs w:val="20"/>
          <w:color w:val="auto"/>
        </w:rPr>
      </w:pPr>
    </w:p>
    <w:p>
      <w:pPr>
        <w:jc w:val="both"/>
        <w:ind w:firstLine="550"/>
        <w:spacing w:after="0" w:line="255" w:lineRule="auto"/>
        <w:rPr>
          <w:sz w:val="20"/>
          <w:szCs w:val="20"/>
          <w:color w:val="auto"/>
        </w:rPr>
      </w:pPr>
      <w:r>
        <w:rPr>
          <w:rFonts w:ascii="Arial" w:cs="Arial" w:eastAsia="Arial" w:hAnsi="Arial"/>
          <w:sz w:val="18"/>
          <w:szCs w:val="18"/>
          <w:color w:val="auto"/>
        </w:rPr>
        <w:t>Ocwen Financial Corporation (NYSE:OCN), through its subsidiaries, is a leading asset manager and business process solutions provider specializing in loan servicing, special servicing, mortgage loan due diligence and receivables management services. At March 31, 2009, OCN owned all of the outstanding stock of its primary subsidiaries: Ocwen Loan Servicing, LLC (OLS); Ocwen Financial Solutions, Private Limited (OFSPL); Investors Mortgage Insurance Holding Company; and NCI Holdings, Inc. (NCI). OCN owns 70% of Global Servicing Solutions, LLC (GSS) with the remaining 30% minority interest held by ML IBK Positions, Inc.</w:t>
      </w:r>
    </w:p>
    <w:p>
      <w:pPr>
        <w:spacing w:after="0" w:line="197" w:lineRule="exact"/>
        <w:rPr>
          <w:sz w:val="20"/>
          <w:szCs w:val="20"/>
          <w:color w:val="auto"/>
        </w:rPr>
      </w:pPr>
    </w:p>
    <w:p>
      <w:pPr>
        <w:jc w:val="both"/>
        <w:ind w:firstLine="476"/>
        <w:spacing w:after="0" w:line="268" w:lineRule="auto"/>
        <w:rPr>
          <w:sz w:val="20"/>
          <w:szCs w:val="20"/>
          <w:color w:val="auto"/>
        </w:rPr>
      </w:pPr>
      <w:r>
        <w:rPr>
          <w:rFonts w:ascii="Arial" w:cs="Arial" w:eastAsia="Arial" w:hAnsi="Arial"/>
          <w:sz w:val="18"/>
          <w:szCs w:val="18"/>
          <w:color w:val="auto"/>
        </w:rPr>
        <w:t>OCN also holds a 45% interest in BMS Holdings, Inc. (BMS Holdings), a 25% interest in Ocwen Structured Investments, LLC (OSI) and approximately a 25% interest in Ocwen Nonperforming Loans, LLC (ONL) and Ocwen REO, LLC (OREO).</w:t>
      </w:r>
    </w:p>
    <w:p>
      <w:pPr>
        <w:spacing w:after="0" w:line="186" w:lineRule="exact"/>
        <w:rPr>
          <w:sz w:val="20"/>
          <w:szCs w:val="20"/>
          <w:color w:val="auto"/>
        </w:rPr>
      </w:pPr>
    </w:p>
    <w:p>
      <w:pPr>
        <w:jc w:val="both"/>
        <w:ind w:firstLine="603"/>
        <w:spacing w:after="0" w:line="255" w:lineRule="auto"/>
        <w:rPr>
          <w:sz w:val="20"/>
          <w:szCs w:val="20"/>
          <w:color w:val="auto"/>
        </w:rPr>
      </w:pPr>
      <w:r>
        <w:rPr>
          <w:rFonts w:ascii="Arial" w:cs="Arial" w:eastAsia="Arial" w:hAnsi="Arial"/>
          <w:sz w:val="18"/>
          <w:szCs w:val="18"/>
          <w:color w:val="auto"/>
        </w:rPr>
        <w:t>On November 12, 2008 our Board of Directors authorized management to pursue a plan to separate, through a tax-free spin-off, into a newly formed publicly-traded company, all of our operations included within our Ocwen Solutions line of business except for BMS Holdings and GSS (the Separation). The ownership interest in this new company will be distributed to OCN’s existing shareholders in the form of a pro rata stock distribution. Each OCN shareholder will receive one share of Ocwen Solutions common stock for every three shares of OCN common stock held as of the close of business on the record date of the distribution.</w:t>
      </w:r>
    </w:p>
    <w:p>
      <w:pPr>
        <w:spacing w:after="0" w:line="197" w:lineRule="exact"/>
        <w:rPr>
          <w:sz w:val="20"/>
          <w:szCs w:val="20"/>
          <w:color w:val="auto"/>
        </w:rPr>
      </w:pPr>
    </w:p>
    <w:p>
      <w:pPr>
        <w:jc w:val="both"/>
        <w:ind w:firstLine="507"/>
        <w:spacing w:after="0" w:line="306" w:lineRule="auto"/>
        <w:rPr>
          <w:sz w:val="20"/>
          <w:szCs w:val="20"/>
          <w:color w:val="auto"/>
        </w:rPr>
      </w:pPr>
      <w:r>
        <w:rPr>
          <w:rFonts w:ascii="Arial" w:cs="Arial" w:eastAsia="Arial" w:hAnsi="Arial"/>
          <w:sz w:val="16"/>
          <w:szCs w:val="16"/>
          <w:color w:val="auto"/>
        </w:rPr>
        <w:t>We are currently moving forward with our efforts to address the legal and regulatory requirements related to the Separation with the goal of effecting the transaction in the third quarter of 2009. These efforts include filing a registration statement with the Securities and Exchange Commission for the proposed transaction in the second quarter of 2009. A vote of OCN shareholders is not required in connection with the Separation.</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31"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The accompanying unaudited interim consolidated financial statements have been prepared in conformity with the instructions of the Securities and Exchange Commission (SEC) to Form 10-Q and SEC Regulation S-X, Article 10, Rule 10-01 for interim financial statements. Accordingly, they do not include all of the information and footnotes required by accounting principles generally accepted in the United States of America (GAAP) for complete financial statements. In our opinion, the accompanying unaudited financial statements contain all adjustments, consisting only of normal recurring accruals, necessary for a fair presentation. The results of operations and other data for the three months ended March 31, 2009 are not necessarily indicative of the results that may be expected for any other interim period or for the entire year ending December 31, 2009. The unaudited interim consolidated financial statements presented herein should be read in conjunction with the audited consolidated financial statements and related notes thereto included in our Annual Report on Form 10-K for the year ended December 31, 2008.</w:t>
      </w:r>
    </w:p>
    <w:p>
      <w:pPr>
        <w:spacing w:after="0" w:line="172" w:lineRule="exact"/>
        <w:rPr>
          <w:sz w:val="20"/>
          <w:szCs w:val="20"/>
          <w:color w:val="auto"/>
        </w:rPr>
      </w:pPr>
    </w:p>
    <w:p>
      <w:pPr>
        <w:jc w:val="both"/>
        <w:ind w:firstLine="558"/>
        <w:spacing w:after="0" w:line="298" w:lineRule="auto"/>
        <w:rPr>
          <w:sz w:val="20"/>
          <w:szCs w:val="20"/>
          <w:color w:val="auto"/>
        </w:rPr>
      </w:pPr>
      <w:r>
        <w:rPr>
          <w:rFonts w:ascii="Arial" w:cs="Arial" w:eastAsia="Arial" w:hAnsi="Arial"/>
          <w:sz w:val="16"/>
          <w:szCs w:val="16"/>
          <w:color w:val="auto"/>
        </w:rPr>
        <w:t>The preparation of financial statements in conformity with GAAP requires that we make estimates and assumptions that affect the reported amounts of assets and liabilities and the disclosure of contingent assets and liabilities at the date of the financial statements and the reported amounts of revenues and expenses during the reporting period. Actual results could differ from those estimates. Material estimates that are particularly significant in the near or medium term relate to our determination of the valuation of securities, loans held for resale, mortgage servicing rights (MSRs), intangibles and the deferred tax asset.</w:t>
      </w:r>
    </w:p>
    <w:p>
      <w:pPr>
        <w:spacing w:after="0" w:line="167" w:lineRule="exact"/>
        <w:rPr>
          <w:sz w:val="20"/>
          <w:szCs w:val="20"/>
          <w:color w:val="auto"/>
        </w:rPr>
      </w:pPr>
    </w:p>
    <w:p>
      <w:pPr>
        <w:jc w:val="both"/>
        <w:ind w:firstLine="467"/>
        <w:spacing w:after="0" w:line="298" w:lineRule="auto"/>
        <w:rPr>
          <w:sz w:val="20"/>
          <w:szCs w:val="20"/>
          <w:color w:val="auto"/>
        </w:rPr>
      </w:pPr>
      <w:r>
        <w:rPr>
          <w:rFonts w:ascii="Arial" w:cs="Arial" w:eastAsia="Arial" w:hAnsi="Arial"/>
          <w:sz w:val="16"/>
          <w:szCs w:val="16"/>
          <w:color w:val="auto"/>
        </w:rPr>
        <w:t>Certain amounts included in our 2008 consolidated financial statements have been reclassified to conform to the 2009 presentation, including retrospective application of new accounting pronouncements adopted in the period and the reclassification of charge-offs of loans held for resale. These charge-offs, totaling $3,464 for the three months ended March 31, 2008, were reclassified from other operating expenses to loss on loans held for resale, net, in the consolidated statements of operations. See Note 2 for information regarding our adoption of recent accounting pronouncements.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Principles of Consolidation</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Securitizations or Asset Backed Financing Arrangements</w:t>
      </w:r>
    </w:p>
    <w:p>
      <w:pPr>
        <w:spacing w:after="0" w:line="225" w:lineRule="exact"/>
        <w:rPr>
          <w:sz w:val="20"/>
          <w:szCs w:val="20"/>
          <w:color w:val="auto"/>
        </w:rPr>
      </w:pPr>
    </w:p>
    <w:p>
      <w:pPr>
        <w:jc w:val="both"/>
        <w:ind w:firstLine="447"/>
        <w:spacing w:after="0" w:line="298" w:lineRule="auto"/>
        <w:rPr>
          <w:sz w:val="20"/>
          <w:szCs w:val="20"/>
          <w:color w:val="auto"/>
        </w:rPr>
      </w:pPr>
      <w:r>
        <w:rPr>
          <w:rFonts w:ascii="Arial" w:cs="Arial" w:eastAsia="Arial" w:hAnsi="Arial"/>
          <w:sz w:val="16"/>
          <w:szCs w:val="16"/>
          <w:color w:val="auto"/>
        </w:rPr>
        <w:t>Ocwen or its subsidiaries have been the transferor in connection with a number of securitizations or asset-backed financing arrangements over the years. As of March 31, 2009, we have continuing involvement with the financial assets of eleven of these securitizations or asset-backed financing arrangements. We have aggregated these securitizations or asset-backed financing arrangements into two groups: (1) securitizations of residential mortgage loans that were accounted for as sales and (2) financings of advances on loans serviced for others that were accounted for as secured borrowings.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i w:val="1"/>
          <w:iCs w:val="1"/>
          <w:color w:val="auto"/>
        </w:rPr>
        <w:t>Securitizations of Residential Mortgage Loans</w:t>
      </w:r>
    </w:p>
    <w:p>
      <w:pPr>
        <w:spacing w:after="0" w:line="225" w:lineRule="exact"/>
        <w:rPr>
          <w:sz w:val="20"/>
          <w:szCs w:val="20"/>
          <w:color w:val="auto"/>
        </w:rPr>
      </w:pPr>
    </w:p>
    <w:p>
      <w:pPr>
        <w:jc w:val="both"/>
        <w:ind w:firstLine="595"/>
        <w:spacing w:after="0" w:line="294" w:lineRule="auto"/>
        <w:rPr>
          <w:sz w:val="20"/>
          <w:szCs w:val="20"/>
          <w:color w:val="auto"/>
        </w:rPr>
      </w:pPr>
      <w:r>
        <w:rPr>
          <w:rFonts w:ascii="Arial" w:cs="Arial" w:eastAsia="Arial" w:hAnsi="Arial"/>
          <w:sz w:val="16"/>
          <w:szCs w:val="16"/>
          <w:color w:val="auto"/>
        </w:rPr>
        <w:t>The following table provides information regarding seven securitization trusts where we have continuing involvement with the transferred assets. Our continuing involvement typically includes acting as servicer or sub-servicer for the mortgage loans held by the trust and holding beneficial interests in the trust. The beneficial interests held consist of both subordinate and residual securities that were either retained at the time of the securitization transaction or were acquired subsequent to the securitization. Because each of the securitization trusts is a “qualifying special purpose entity” (QSPE), we exclude the trusts from our consolidated financial statements. Summary information for these trusts is provided below.</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7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780" w:type="dxa"/>
            <w:vAlign w:val="bottom"/>
            <w:gridSpan w:val="4"/>
          </w:tcPr>
          <w:p>
            <w:pPr>
              <w:jc w:val="right"/>
              <w:ind w:right="572"/>
              <w:spacing w:after="0"/>
              <w:rPr>
                <w:sz w:val="20"/>
                <w:szCs w:val="20"/>
                <w:color w:val="auto"/>
              </w:rPr>
            </w:pPr>
            <w:r>
              <w:rPr>
                <w:rFonts w:ascii="Arial" w:cs="Arial" w:eastAsia="Arial" w:hAnsi="Arial"/>
                <w:sz w:val="18"/>
                <w:szCs w:val="18"/>
                <w:color w:val="auto"/>
              </w:rPr>
              <w:t>For the three months ended March 31,</w:t>
            </w:r>
          </w:p>
        </w:tc>
        <w:tc>
          <w:tcPr>
            <w:tcW w:w="120" w:type="dxa"/>
            <w:vAlign w:val="bottom"/>
          </w:tcPr>
          <w:p>
            <w:pPr>
              <w:spacing w:after="0"/>
              <w:rPr>
                <w:sz w:val="19"/>
                <w:szCs w:val="19"/>
                <w:color w:val="auto"/>
              </w:rPr>
            </w:pPr>
          </w:p>
        </w:tc>
      </w:tr>
      <w:tr>
        <w:trPr>
          <w:trHeight w:val="245"/>
        </w:trPr>
        <w:tc>
          <w:tcPr>
            <w:tcW w:w="72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r>
      <w:tr>
        <w:trPr>
          <w:trHeight w:val="216"/>
        </w:trPr>
        <w:tc>
          <w:tcPr>
            <w:tcW w:w="7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tcPr>
          <w:p>
            <w:pPr>
              <w:jc w:val="right"/>
              <w:ind w:right="652"/>
              <w:spacing w:after="0"/>
              <w:rPr>
                <w:sz w:val="20"/>
                <w:szCs w:val="20"/>
                <w:color w:val="auto"/>
              </w:rPr>
            </w:pPr>
            <w:r>
              <w:rPr>
                <w:rFonts w:ascii="Arial" w:cs="Arial" w:eastAsia="Arial" w:hAnsi="Arial"/>
                <w:sz w:val="18"/>
                <w:szCs w:val="18"/>
                <w:color w:val="auto"/>
              </w:rPr>
              <w:t>2009</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tcPr>
          <w:p>
            <w:pPr>
              <w:jc w:val="right"/>
              <w:ind w:right="652"/>
              <w:spacing w:after="0"/>
              <w:rPr>
                <w:sz w:val="20"/>
                <w:szCs w:val="20"/>
                <w:color w:val="auto"/>
              </w:rPr>
            </w:pPr>
            <w:r>
              <w:rPr>
                <w:rFonts w:ascii="Arial" w:cs="Arial" w:eastAsia="Arial" w:hAnsi="Arial"/>
                <w:sz w:val="18"/>
                <w:szCs w:val="18"/>
                <w:color w:val="auto"/>
              </w:rPr>
              <w:t>2008</w:t>
            </w:r>
          </w:p>
        </w:tc>
        <w:tc>
          <w:tcPr>
            <w:tcW w:w="120" w:type="dxa"/>
            <w:vAlign w:val="bottom"/>
          </w:tcPr>
          <w:p>
            <w:pPr>
              <w:spacing w:after="0"/>
              <w:rPr>
                <w:sz w:val="18"/>
                <w:szCs w:val="18"/>
                <w:color w:val="auto"/>
              </w:rPr>
            </w:pPr>
          </w:p>
        </w:tc>
      </w:tr>
      <w:tr>
        <w:trPr>
          <w:trHeight w:val="237"/>
        </w:trPr>
        <w:tc>
          <w:tcPr>
            <w:tcW w:w="72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10"/>
        </w:trPr>
        <w:tc>
          <w:tcPr>
            <w:tcW w:w="7280" w:type="dxa"/>
            <w:vAlign w:val="bottom"/>
            <w:shd w:val="clear" w:color="auto" w:fill="EAF9E8"/>
          </w:tcPr>
          <w:p>
            <w:pPr>
              <w:spacing w:after="0"/>
              <w:rPr>
                <w:sz w:val="20"/>
                <w:szCs w:val="20"/>
                <w:color w:val="auto"/>
              </w:rPr>
            </w:pPr>
            <w:r>
              <w:rPr>
                <w:rFonts w:ascii="Arial" w:cs="Arial" w:eastAsia="Arial" w:hAnsi="Arial"/>
                <w:sz w:val="18"/>
                <w:szCs w:val="18"/>
                <w:color w:val="auto"/>
              </w:rPr>
              <w:t>Total cash received on beneficial interests held</w:t>
            </w:r>
          </w:p>
        </w:tc>
        <w:tc>
          <w:tcPr>
            <w:tcW w:w="240" w:type="dxa"/>
            <w:vAlign w:val="bottom"/>
            <w:shd w:val="clear" w:color="auto" w:fill="EAF9E8"/>
          </w:tcPr>
          <w:p>
            <w:pPr>
              <w:jc w:val="right"/>
              <w:ind w:right="52"/>
              <w:spacing w:after="0"/>
              <w:rPr>
                <w:sz w:val="20"/>
                <w:szCs w:val="20"/>
                <w:color w:val="auto"/>
              </w:rPr>
            </w:pPr>
            <w:r>
              <w:rPr>
                <w:rFonts w:ascii="Arial" w:cs="Arial" w:eastAsia="Arial" w:hAnsi="Arial"/>
                <w:sz w:val="18"/>
                <w:szCs w:val="18"/>
                <w:color w:val="auto"/>
                <w:w w:val="79"/>
              </w:rPr>
              <w:t>$</w:t>
            </w:r>
          </w:p>
        </w:tc>
        <w:tc>
          <w:tcPr>
            <w:tcW w:w="16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489</w:t>
            </w:r>
          </w:p>
        </w:tc>
        <w:tc>
          <w:tcPr>
            <w:tcW w:w="340" w:type="dxa"/>
            <w:vAlign w:val="bottom"/>
            <w:shd w:val="clear" w:color="auto" w:fill="EAF9E8"/>
          </w:tcPr>
          <w:p>
            <w:pPr>
              <w:spacing w:after="0"/>
              <w:rPr>
                <w:sz w:val="18"/>
                <w:szCs w:val="18"/>
                <w:color w:val="auto"/>
              </w:rPr>
            </w:pPr>
          </w:p>
        </w:tc>
        <w:tc>
          <w:tcPr>
            <w:tcW w:w="160" w:type="dxa"/>
            <w:vAlign w:val="bottom"/>
            <w:shd w:val="clear" w:color="auto" w:fill="EAF9E8"/>
          </w:tcPr>
          <w:p>
            <w:pPr>
              <w:jc w:val="right"/>
              <w:ind w:right="3"/>
              <w:spacing w:after="0"/>
              <w:rPr>
                <w:sz w:val="20"/>
                <w:szCs w:val="20"/>
                <w:color w:val="auto"/>
              </w:rPr>
            </w:pPr>
            <w:r>
              <w:rPr>
                <w:rFonts w:ascii="Arial" w:cs="Arial" w:eastAsia="Arial" w:hAnsi="Arial"/>
                <w:sz w:val="15"/>
                <w:szCs w:val="15"/>
                <w:color w:val="auto"/>
                <w:w w:val="71"/>
              </w:rPr>
              <w:t>$</w:t>
            </w:r>
          </w:p>
        </w:tc>
        <w:tc>
          <w:tcPr>
            <w:tcW w:w="16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1,314</w:t>
            </w:r>
          </w:p>
        </w:tc>
        <w:tc>
          <w:tcPr>
            <w:tcW w:w="120" w:type="dxa"/>
            <w:vAlign w:val="bottom"/>
            <w:shd w:val="clear" w:color="auto" w:fill="EAF9E8"/>
          </w:tcPr>
          <w:p>
            <w:pPr>
              <w:spacing w:after="0"/>
              <w:rPr>
                <w:sz w:val="18"/>
                <w:szCs w:val="18"/>
                <w:color w:val="auto"/>
              </w:rPr>
            </w:pPr>
          </w:p>
        </w:tc>
      </w:tr>
      <w:tr>
        <w:trPr>
          <w:trHeight w:val="222"/>
        </w:trPr>
        <w:tc>
          <w:tcPr>
            <w:tcW w:w="7280" w:type="dxa"/>
            <w:vAlign w:val="bottom"/>
          </w:tcPr>
          <w:p>
            <w:pPr>
              <w:spacing w:after="0"/>
              <w:rPr>
                <w:sz w:val="20"/>
                <w:szCs w:val="20"/>
                <w:color w:val="auto"/>
              </w:rPr>
            </w:pPr>
            <w:r>
              <w:rPr>
                <w:rFonts w:ascii="Arial" w:cs="Arial" w:eastAsia="Arial" w:hAnsi="Arial"/>
                <w:sz w:val="18"/>
                <w:szCs w:val="18"/>
                <w:color w:val="auto"/>
              </w:rPr>
              <w:t>Total servicing and subservicing fee revenues</w:t>
            </w:r>
          </w:p>
        </w:tc>
        <w:tc>
          <w:tcPr>
            <w:tcW w:w="2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1,346</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1,447</w:t>
            </w:r>
          </w:p>
        </w:tc>
        <w:tc>
          <w:tcPr>
            <w:tcW w:w="120" w:type="dxa"/>
            <w:vAlign w:val="bottom"/>
          </w:tcPr>
          <w:p>
            <w:pPr>
              <w:spacing w:after="0"/>
              <w:rPr>
                <w:sz w:val="19"/>
                <w:szCs w:val="19"/>
                <w:color w:val="auto"/>
              </w:rPr>
            </w:pPr>
          </w:p>
        </w:tc>
      </w:tr>
      <w:tr>
        <w:trPr>
          <w:trHeight w:val="464"/>
        </w:trPr>
        <w:tc>
          <w:tcPr>
            <w:tcW w:w="7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100" w:type="dxa"/>
            <w:vAlign w:val="bottom"/>
            <w:gridSpan w:val="3"/>
          </w:tcPr>
          <w:p>
            <w:pPr>
              <w:jc w:val="right"/>
              <w:ind w:right="63"/>
              <w:spacing w:after="0"/>
              <w:rPr>
                <w:sz w:val="20"/>
                <w:szCs w:val="20"/>
                <w:color w:val="auto"/>
              </w:rPr>
            </w:pPr>
            <w:r>
              <w:rPr>
                <w:rFonts w:ascii="Arial" w:cs="Arial" w:eastAsia="Arial" w:hAnsi="Arial"/>
                <w:sz w:val="18"/>
                <w:szCs w:val="18"/>
                <w:color w:val="auto"/>
              </w:rPr>
              <w:t>As of</w:t>
            </w:r>
          </w:p>
        </w:tc>
        <w:tc>
          <w:tcPr>
            <w:tcW w:w="16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45"/>
        </w:trPr>
        <w:tc>
          <w:tcPr>
            <w:tcW w:w="72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r>
      <w:tr>
        <w:trPr>
          <w:trHeight w:val="216"/>
        </w:trPr>
        <w:tc>
          <w:tcPr>
            <w:tcW w:w="7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tcPr>
          <w:p>
            <w:pPr>
              <w:jc w:val="right"/>
              <w:ind w:right="272"/>
              <w:spacing w:after="0"/>
              <w:rPr>
                <w:sz w:val="20"/>
                <w:szCs w:val="20"/>
                <w:color w:val="auto"/>
              </w:rPr>
            </w:pPr>
            <w:r>
              <w:rPr>
                <w:rFonts w:ascii="Arial" w:cs="Arial" w:eastAsia="Arial" w:hAnsi="Arial"/>
                <w:sz w:val="18"/>
                <w:szCs w:val="18"/>
                <w:color w:val="auto"/>
                <w:w w:val="97"/>
              </w:rPr>
              <w:t>March 31, 2009</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tcPr>
          <w:p>
            <w:pPr>
              <w:jc w:val="right"/>
              <w:ind w:right="132"/>
              <w:spacing w:after="0"/>
              <w:rPr>
                <w:sz w:val="20"/>
                <w:szCs w:val="20"/>
                <w:color w:val="auto"/>
              </w:rPr>
            </w:pPr>
            <w:r>
              <w:rPr>
                <w:rFonts w:ascii="Arial" w:cs="Arial" w:eastAsia="Arial" w:hAnsi="Arial"/>
                <w:sz w:val="18"/>
                <w:szCs w:val="18"/>
                <w:color w:val="auto"/>
                <w:w w:val="91"/>
              </w:rPr>
              <w:t>December 31, 2008</w:t>
            </w:r>
          </w:p>
        </w:tc>
        <w:tc>
          <w:tcPr>
            <w:tcW w:w="120" w:type="dxa"/>
            <w:vAlign w:val="bottom"/>
          </w:tcPr>
          <w:p>
            <w:pPr>
              <w:spacing w:after="0"/>
              <w:rPr>
                <w:sz w:val="18"/>
                <w:szCs w:val="18"/>
                <w:color w:val="auto"/>
              </w:rPr>
            </w:pPr>
          </w:p>
        </w:tc>
      </w:tr>
      <w:tr>
        <w:trPr>
          <w:trHeight w:val="237"/>
        </w:trPr>
        <w:tc>
          <w:tcPr>
            <w:tcW w:w="7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500" w:type="dxa"/>
            <w:vAlign w:val="bottom"/>
            <w:gridSpan w:val="2"/>
          </w:tcPr>
          <w:p>
            <w:pPr>
              <w:spacing w:after="0"/>
              <w:rPr>
                <w:sz w:val="20"/>
                <w:szCs w:val="20"/>
                <w:color w:val="auto"/>
              </w:rPr>
            </w:pPr>
          </w:p>
        </w:tc>
        <w:tc>
          <w:tcPr>
            <w:tcW w:w="168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10"/>
        </w:trPr>
        <w:tc>
          <w:tcPr>
            <w:tcW w:w="7280" w:type="dxa"/>
            <w:vAlign w:val="bottom"/>
            <w:shd w:val="clear" w:color="auto" w:fill="EAF9E8"/>
          </w:tcPr>
          <w:p>
            <w:pPr>
              <w:spacing w:after="0"/>
              <w:rPr>
                <w:sz w:val="20"/>
                <w:szCs w:val="20"/>
                <w:color w:val="auto"/>
              </w:rPr>
            </w:pPr>
            <w:r>
              <w:rPr>
                <w:rFonts w:ascii="Arial" w:cs="Arial" w:eastAsia="Arial" w:hAnsi="Arial"/>
                <w:sz w:val="18"/>
                <w:szCs w:val="18"/>
                <w:color w:val="auto"/>
              </w:rPr>
              <w:t>Total collateral balance</w:t>
            </w:r>
          </w:p>
        </w:tc>
        <w:tc>
          <w:tcPr>
            <w:tcW w:w="240" w:type="dxa"/>
            <w:vAlign w:val="bottom"/>
            <w:tcBorders>
              <w:top w:val="single" w:sz="8" w:color="auto"/>
            </w:tcBorders>
            <w:shd w:val="clear" w:color="auto" w:fill="EAF9E8"/>
          </w:tcPr>
          <w:p>
            <w:pPr>
              <w:jc w:val="right"/>
              <w:ind w:right="52"/>
              <w:spacing w:after="0"/>
              <w:rPr>
                <w:sz w:val="20"/>
                <w:szCs w:val="20"/>
                <w:color w:val="auto"/>
              </w:rPr>
            </w:pPr>
            <w:r>
              <w:rPr>
                <w:rFonts w:ascii="Arial" w:cs="Arial" w:eastAsia="Arial" w:hAnsi="Arial"/>
                <w:sz w:val="18"/>
                <w:szCs w:val="18"/>
                <w:color w:val="auto"/>
                <w:w w:val="79"/>
              </w:rPr>
              <w:t>$</w:t>
            </w:r>
          </w:p>
        </w:tc>
        <w:tc>
          <w:tcPr>
            <w:tcW w:w="160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697,357</w:t>
            </w:r>
          </w:p>
        </w:tc>
        <w:tc>
          <w:tcPr>
            <w:tcW w:w="340" w:type="dxa"/>
            <w:vAlign w:val="bottom"/>
            <w:shd w:val="clear" w:color="auto" w:fill="EAF9E8"/>
          </w:tcPr>
          <w:p>
            <w:pPr>
              <w:spacing w:after="0"/>
              <w:rPr>
                <w:sz w:val="18"/>
                <w:szCs w:val="18"/>
                <w:color w:val="auto"/>
              </w:rPr>
            </w:pPr>
          </w:p>
        </w:tc>
        <w:tc>
          <w:tcPr>
            <w:tcW w:w="160" w:type="dxa"/>
            <w:vAlign w:val="bottom"/>
            <w:tcBorders>
              <w:top w:val="single" w:sz="8" w:color="auto"/>
            </w:tcBorders>
            <w:shd w:val="clear" w:color="auto" w:fill="EAF9E8"/>
          </w:tcPr>
          <w:p>
            <w:pPr>
              <w:jc w:val="right"/>
              <w:ind w:right="3"/>
              <w:spacing w:after="0"/>
              <w:rPr>
                <w:sz w:val="20"/>
                <w:szCs w:val="20"/>
                <w:color w:val="auto"/>
              </w:rPr>
            </w:pPr>
            <w:r>
              <w:rPr>
                <w:rFonts w:ascii="Arial" w:cs="Arial" w:eastAsia="Arial" w:hAnsi="Arial"/>
                <w:sz w:val="15"/>
                <w:szCs w:val="15"/>
                <w:color w:val="auto"/>
                <w:w w:val="71"/>
              </w:rPr>
              <w:t>$</w:t>
            </w:r>
          </w:p>
        </w:tc>
        <w:tc>
          <w:tcPr>
            <w:tcW w:w="168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740,477</w:t>
            </w:r>
          </w:p>
        </w:tc>
        <w:tc>
          <w:tcPr>
            <w:tcW w:w="120" w:type="dxa"/>
            <w:vAlign w:val="bottom"/>
            <w:shd w:val="clear" w:color="auto" w:fill="EAF9E8"/>
          </w:tcPr>
          <w:p>
            <w:pPr>
              <w:spacing w:after="0"/>
              <w:rPr>
                <w:sz w:val="18"/>
                <w:szCs w:val="18"/>
                <w:color w:val="auto"/>
              </w:rPr>
            </w:pPr>
          </w:p>
        </w:tc>
      </w:tr>
      <w:tr>
        <w:trPr>
          <w:trHeight w:val="216"/>
        </w:trPr>
        <w:tc>
          <w:tcPr>
            <w:tcW w:w="7280" w:type="dxa"/>
            <w:vAlign w:val="bottom"/>
          </w:tcPr>
          <w:p>
            <w:pPr>
              <w:spacing w:after="0"/>
              <w:rPr>
                <w:sz w:val="20"/>
                <w:szCs w:val="20"/>
                <w:color w:val="auto"/>
              </w:rPr>
            </w:pPr>
            <w:r>
              <w:rPr>
                <w:rFonts w:ascii="Arial" w:cs="Arial" w:eastAsia="Arial" w:hAnsi="Arial"/>
                <w:sz w:val="18"/>
                <w:szCs w:val="18"/>
                <w:color w:val="auto"/>
              </w:rPr>
              <w:t>Non-performing collateral (1)</w:t>
            </w: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212,944</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219,613</w:t>
            </w:r>
          </w:p>
        </w:tc>
        <w:tc>
          <w:tcPr>
            <w:tcW w:w="120" w:type="dxa"/>
            <w:vAlign w:val="bottom"/>
          </w:tcPr>
          <w:p>
            <w:pPr>
              <w:spacing w:after="0"/>
              <w:rPr>
                <w:sz w:val="18"/>
                <w:szCs w:val="18"/>
                <w:color w:val="auto"/>
              </w:rPr>
            </w:pPr>
          </w:p>
        </w:tc>
      </w:tr>
      <w:tr>
        <w:trPr>
          <w:trHeight w:val="216"/>
        </w:trPr>
        <w:tc>
          <w:tcPr>
            <w:tcW w:w="7280" w:type="dxa"/>
            <w:vAlign w:val="bottom"/>
            <w:shd w:val="clear" w:color="auto" w:fill="EAF9E8"/>
          </w:tcPr>
          <w:p>
            <w:pPr>
              <w:spacing w:after="0"/>
              <w:rPr>
                <w:sz w:val="20"/>
                <w:szCs w:val="20"/>
                <w:color w:val="auto"/>
              </w:rPr>
            </w:pPr>
            <w:r>
              <w:rPr>
                <w:rFonts w:ascii="Arial" w:cs="Arial" w:eastAsia="Arial" w:hAnsi="Arial"/>
                <w:sz w:val="18"/>
                <w:szCs w:val="18"/>
                <w:color w:val="auto"/>
              </w:rPr>
              <w:t>Total certificate balance</w:t>
            </w:r>
          </w:p>
        </w:tc>
        <w:tc>
          <w:tcPr>
            <w:tcW w:w="240" w:type="dxa"/>
            <w:vAlign w:val="bottom"/>
            <w:shd w:val="clear" w:color="auto" w:fill="EAF9E8"/>
          </w:tcPr>
          <w:p>
            <w:pPr>
              <w:spacing w:after="0"/>
              <w:rPr>
                <w:sz w:val="18"/>
                <w:szCs w:val="18"/>
                <w:color w:val="auto"/>
              </w:rPr>
            </w:pPr>
          </w:p>
        </w:tc>
        <w:tc>
          <w:tcPr>
            <w:tcW w:w="16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696,723</w:t>
            </w:r>
          </w:p>
        </w:tc>
        <w:tc>
          <w:tcPr>
            <w:tcW w:w="34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6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740,121</w:t>
            </w:r>
          </w:p>
        </w:tc>
        <w:tc>
          <w:tcPr>
            <w:tcW w:w="120" w:type="dxa"/>
            <w:vAlign w:val="bottom"/>
            <w:shd w:val="clear" w:color="auto" w:fill="EAF9E8"/>
          </w:tcPr>
          <w:p>
            <w:pPr>
              <w:spacing w:after="0"/>
              <w:rPr>
                <w:sz w:val="18"/>
                <w:szCs w:val="18"/>
                <w:color w:val="auto"/>
              </w:rPr>
            </w:pPr>
          </w:p>
        </w:tc>
      </w:tr>
      <w:tr>
        <w:trPr>
          <w:trHeight w:val="216"/>
        </w:trPr>
        <w:tc>
          <w:tcPr>
            <w:tcW w:w="7280" w:type="dxa"/>
            <w:vAlign w:val="bottom"/>
          </w:tcPr>
          <w:p>
            <w:pPr>
              <w:spacing w:after="0"/>
              <w:rPr>
                <w:sz w:val="20"/>
                <w:szCs w:val="20"/>
                <w:color w:val="auto"/>
              </w:rPr>
            </w:pPr>
            <w:r>
              <w:rPr>
                <w:rFonts w:ascii="Arial" w:cs="Arial" w:eastAsia="Arial" w:hAnsi="Arial"/>
                <w:sz w:val="18"/>
                <w:szCs w:val="18"/>
                <w:color w:val="auto"/>
              </w:rPr>
              <w:t>Total servicing advances</w:t>
            </w: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23,605</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30,683</w:t>
            </w:r>
          </w:p>
        </w:tc>
        <w:tc>
          <w:tcPr>
            <w:tcW w:w="120" w:type="dxa"/>
            <w:vAlign w:val="bottom"/>
          </w:tcPr>
          <w:p>
            <w:pPr>
              <w:spacing w:after="0"/>
              <w:rPr>
                <w:sz w:val="18"/>
                <w:szCs w:val="18"/>
                <w:color w:val="auto"/>
              </w:rPr>
            </w:pPr>
          </w:p>
        </w:tc>
      </w:tr>
      <w:tr>
        <w:trPr>
          <w:trHeight w:val="216"/>
        </w:trPr>
        <w:tc>
          <w:tcPr>
            <w:tcW w:w="7280" w:type="dxa"/>
            <w:vAlign w:val="bottom"/>
            <w:shd w:val="clear" w:color="auto" w:fill="EAF9E8"/>
          </w:tcPr>
          <w:p>
            <w:pPr>
              <w:spacing w:after="0"/>
              <w:rPr>
                <w:sz w:val="20"/>
                <w:szCs w:val="20"/>
                <w:color w:val="auto"/>
              </w:rPr>
            </w:pPr>
            <w:r>
              <w:rPr>
                <w:rFonts w:ascii="Arial" w:cs="Arial" w:eastAsia="Arial" w:hAnsi="Arial"/>
                <w:sz w:val="18"/>
                <w:szCs w:val="18"/>
                <w:color w:val="auto"/>
              </w:rPr>
              <w:t>Total beneficial interests held at fair market value</w:t>
            </w:r>
          </w:p>
        </w:tc>
        <w:tc>
          <w:tcPr>
            <w:tcW w:w="240" w:type="dxa"/>
            <w:vAlign w:val="bottom"/>
            <w:shd w:val="clear" w:color="auto" w:fill="EAF9E8"/>
          </w:tcPr>
          <w:p>
            <w:pPr>
              <w:spacing w:after="0"/>
              <w:rPr>
                <w:sz w:val="18"/>
                <w:szCs w:val="18"/>
                <w:color w:val="auto"/>
              </w:rPr>
            </w:pPr>
          </w:p>
        </w:tc>
        <w:tc>
          <w:tcPr>
            <w:tcW w:w="16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1,861</w:t>
            </w:r>
          </w:p>
        </w:tc>
        <w:tc>
          <w:tcPr>
            <w:tcW w:w="34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6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2,216</w:t>
            </w:r>
          </w:p>
        </w:tc>
        <w:tc>
          <w:tcPr>
            <w:tcW w:w="120" w:type="dxa"/>
            <w:vAlign w:val="bottom"/>
            <w:shd w:val="clear" w:color="auto" w:fill="EAF9E8"/>
          </w:tcPr>
          <w:p>
            <w:pPr>
              <w:spacing w:after="0"/>
              <w:rPr>
                <w:sz w:val="18"/>
                <w:szCs w:val="18"/>
                <w:color w:val="auto"/>
              </w:rPr>
            </w:pPr>
          </w:p>
        </w:tc>
      </w:tr>
      <w:tr>
        <w:trPr>
          <w:trHeight w:val="222"/>
        </w:trPr>
        <w:tc>
          <w:tcPr>
            <w:tcW w:w="7280" w:type="dxa"/>
            <w:vAlign w:val="bottom"/>
          </w:tcPr>
          <w:p>
            <w:pPr>
              <w:spacing w:after="0"/>
              <w:rPr>
                <w:sz w:val="20"/>
                <w:szCs w:val="20"/>
                <w:color w:val="auto"/>
              </w:rPr>
            </w:pPr>
            <w:r>
              <w:rPr>
                <w:rFonts w:ascii="Arial" w:cs="Arial" w:eastAsia="Arial" w:hAnsi="Arial"/>
                <w:sz w:val="18"/>
                <w:szCs w:val="18"/>
                <w:color w:val="auto"/>
              </w:rPr>
              <w:t>Total mortgage servicing rights at amortized cost</w:t>
            </w:r>
          </w:p>
        </w:tc>
        <w:tc>
          <w:tcPr>
            <w:tcW w:w="2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1,984</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2,066</w:t>
            </w:r>
          </w:p>
        </w:tc>
        <w:tc>
          <w:tcPr>
            <w:tcW w:w="120" w:type="dxa"/>
            <w:vAlign w:val="bottom"/>
          </w:tcPr>
          <w:p>
            <w:pPr>
              <w:spacing w:after="0"/>
              <w:rPr>
                <w:sz w:val="19"/>
                <w:szCs w:val="19"/>
                <w:color w:val="auto"/>
              </w:rPr>
            </w:pPr>
          </w:p>
        </w:tc>
      </w:tr>
    </w:tbl>
    <w:p>
      <w:pPr>
        <w:spacing w:after="0" w:line="242" w:lineRule="exact"/>
        <w:rPr>
          <w:sz w:val="20"/>
          <w:szCs w:val="20"/>
          <w:color w:val="auto"/>
        </w:rPr>
      </w:pPr>
    </w:p>
    <w:p>
      <w:pPr>
        <w:ind w:left="580" w:hanging="572"/>
        <w:spacing w:after="0"/>
        <w:tabs>
          <w:tab w:leader="none" w:pos="580" w:val="left"/>
        </w:tabs>
        <w:numPr>
          <w:ilvl w:val="0"/>
          <w:numId w:val="6"/>
        </w:numPr>
        <w:rPr>
          <w:rFonts w:ascii="Arial" w:cs="Arial" w:eastAsia="Arial" w:hAnsi="Arial"/>
          <w:sz w:val="18"/>
          <w:szCs w:val="18"/>
          <w:color w:val="auto"/>
        </w:rPr>
      </w:pPr>
      <w:r>
        <w:rPr>
          <w:rFonts w:ascii="Arial" w:cs="Arial" w:eastAsia="Arial" w:hAnsi="Arial"/>
          <w:sz w:val="18"/>
          <w:szCs w:val="18"/>
          <w:color w:val="auto"/>
        </w:rPr>
        <w:t>Non-performing collateral includes loans past due 90 days or more, loans in foreclosure, loans in bankruptcy and foreclosed real estate.</w:t>
      </w:r>
    </w:p>
    <w:p>
      <w:pPr>
        <w:spacing w:after="0" w:line="225" w:lineRule="exact"/>
        <w:rPr>
          <w:sz w:val="20"/>
          <w:szCs w:val="20"/>
          <w:color w:val="auto"/>
        </w:rPr>
      </w:pPr>
    </w:p>
    <w:p>
      <w:pPr>
        <w:jc w:val="both"/>
        <w:ind w:firstLine="575"/>
        <w:spacing w:after="0" w:line="255" w:lineRule="auto"/>
        <w:rPr>
          <w:sz w:val="20"/>
          <w:szCs w:val="20"/>
          <w:color w:val="auto"/>
        </w:rPr>
      </w:pPr>
      <w:r>
        <w:rPr>
          <w:rFonts w:ascii="Arial" w:cs="Arial" w:eastAsia="Arial" w:hAnsi="Arial"/>
          <w:sz w:val="18"/>
          <w:szCs w:val="18"/>
          <w:color w:val="auto"/>
        </w:rPr>
        <w:t>We have no obligation to provide financial support to the trusts and have provided no such support. Our exposure to loss as a result of our continuing involvement in the trusts is limited to the carrying values of our investments in the residual and subordinate securities of the trusts, our mortgage servicing rights that are related to the trusts and our advances to the trusts. We consider the probability of loss arising from our advances to be remote because of their position ahead of most of the other liabilities of the trusts. See Notes 5, 6, 7 and 8 for additional information regarding trading securities, advances, match funded advances and mortgage servicing rights.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Match Funded Advances on Loans Serviced for Others</w:t>
      </w:r>
    </w:p>
    <w:p>
      <w:pPr>
        <w:spacing w:after="0" w:line="225" w:lineRule="exact"/>
        <w:rPr>
          <w:sz w:val="20"/>
          <w:szCs w:val="20"/>
          <w:color w:val="auto"/>
        </w:rPr>
      </w:pPr>
    </w:p>
    <w:p>
      <w:pPr>
        <w:jc w:val="both"/>
        <w:ind w:firstLine="536"/>
        <w:spacing w:after="0" w:line="287" w:lineRule="auto"/>
        <w:rPr>
          <w:sz w:val="20"/>
          <w:szCs w:val="20"/>
          <w:color w:val="auto"/>
        </w:rPr>
      </w:pPr>
      <w:r>
        <w:rPr>
          <w:rFonts w:ascii="Arial" w:cs="Arial" w:eastAsia="Arial" w:hAnsi="Arial"/>
          <w:sz w:val="16"/>
          <w:szCs w:val="16"/>
          <w:color w:val="auto"/>
        </w:rPr>
        <w:t>Match funded advances on loans serviced for others result from our transfers of residential loan servicing advances to special purpose entities (SPEs) in exchange for cash. These four SPEs issue debt supported by collections on the transferred advances. We made these transfers under the terms of four advance facility agreements. These transfers do not qualify for sales accounting because we retain control over the transferred assets. As a result, we account for these transfers as financings and classify the transferred advances on our balance sheet as match funded advances and the related liabilities as match funded liabilities. Collections on the advances pledged to the special purpose entities are used to repay principal and interest and to pay the expenses of the entity. Generally, holders of the debt issued by these entities can look only to the assets of the entities themselves for satisfaction of the debt and have no recourse against OCN. However, OLS has guaranteed the payment by one of the entities, Ocwen Servicer Advance Funding (Wachovia), LLC (OSAFW), of its obligations under the securitization documents. The maximum amount payable under the guarantee is limited to 10% of the notes outstanding at the end of the facility’s revolving period in April 2009. As of March 31, 2009, OSAFW had notes outstanding of $198,516. The following table summarizes the assets and liabilities of the four special purpose entities formed in connection with our match funded advance facilities: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7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0" w:type="dxa"/>
            <w:vAlign w:val="bottom"/>
          </w:tcPr>
          <w:p>
            <w:pPr>
              <w:jc w:val="right"/>
              <w:ind w:right="272"/>
              <w:spacing w:after="0"/>
              <w:rPr>
                <w:sz w:val="20"/>
                <w:szCs w:val="20"/>
                <w:color w:val="auto"/>
              </w:rPr>
            </w:pPr>
            <w:r>
              <w:rPr>
                <w:rFonts w:ascii="Arial" w:cs="Arial" w:eastAsia="Arial" w:hAnsi="Arial"/>
                <w:sz w:val="18"/>
                <w:szCs w:val="18"/>
                <w:color w:val="auto"/>
                <w:w w:val="97"/>
              </w:rPr>
              <w:t>March 31, 2009</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80" w:type="dxa"/>
            <w:vAlign w:val="bottom"/>
          </w:tcPr>
          <w:p>
            <w:pPr>
              <w:jc w:val="right"/>
              <w:ind w:right="132"/>
              <w:spacing w:after="0"/>
              <w:rPr>
                <w:sz w:val="20"/>
                <w:szCs w:val="20"/>
                <w:color w:val="auto"/>
              </w:rPr>
            </w:pPr>
            <w:r>
              <w:rPr>
                <w:rFonts w:ascii="Arial" w:cs="Arial" w:eastAsia="Arial" w:hAnsi="Arial"/>
                <w:sz w:val="18"/>
                <w:szCs w:val="18"/>
                <w:color w:val="auto"/>
                <w:w w:val="91"/>
              </w:rPr>
              <w:t>December 31, 2008</w:t>
            </w:r>
          </w:p>
        </w:tc>
        <w:tc>
          <w:tcPr>
            <w:tcW w:w="120" w:type="dxa"/>
            <w:vAlign w:val="bottom"/>
          </w:tcPr>
          <w:p>
            <w:pPr>
              <w:spacing w:after="0"/>
              <w:rPr>
                <w:sz w:val="19"/>
                <w:szCs w:val="19"/>
                <w:color w:val="auto"/>
              </w:rPr>
            </w:pPr>
          </w:p>
        </w:tc>
      </w:tr>
      <w:tr>
        <w:trPr>
          <w:trHeight w:val="245"/>
        </w:trPr>
        <w:tc>
          <w:tcPr>
            <w:tcW w:w="72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spacing w:after="0"/>
              <w:rPr>
                <w:sz w:val="21"/>
                <w:szCs w:val="21"/>
                <w:color w:val="auto"/>
              </w:rPr>
            </w:pPr>
          </w:p>
        </w:tc>
        <w:tc>
          <w:tcPr>
            <w:tcW w:w="3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r>
      <w:tr>
        <w:trPr>
          <w:trHeight w:val="210"/>
        </w:trPr>
        <w:tc>
          <w:tcPr>
            <w:tcW w:w="7280" w:type="dxa"/>
            <w:vAlign w:val="bottom"/>
            <w:shd w:val="clear" w:color="auto" w:fill="EAF9E8"/>
          </w:tcPr>
          <w:p>
            <w:pPr>
              <w:spacing w:after="0"/>
              <w:rPr>
                <w:sz w:val="20"/>
                <w:szCs w:val="20"/>
                <w:color w:val="auto"/>
              </w:rPr>
            </w:pPr>
            <w:r>
              <w:rPr>
                <w:rFonts w:ascii="Arial" w:cs="Arial" w:eastAsia="Arial" w:hAnsi="Arial"/>
                <w:sz w:val="18"/>
                <w:szCs w:val="18"/>
                <w:color w:val="auto"/>
              </w:rPr>
              <w:t>Total assets</w:t>
            </w:r>
          </w:p>
        </w:tc>
        <w:tc>
          <w:tcPr>
            <w:tcW w:w="240" w:type="dxa"/>
            <w:vAlign w:val="bottom"/>
            <w:shd w:val="clear" w:color="auto" w:fill="EAF9E8"/>
          </w:tcPr>
          <w:p>
            <w:pPr>
              <w:jc w:val="right"/>
              <w:ind w:right="52"/>
              <w:spacing w:after="0"/>
              <w:rPr>
                <w:sz w:val="20"/>
                <w:szCs w:val="20"/>
                <w:color w:val="auto"/>
              </w:rPr>
            </w:pPr>
            <w:r>
              <w:rPr>
                <w:rFonts w:ascii="Arial" w:cs="Arial" w:eastAsia="Arial" w:hAnsi="Arial"/>
                <w:sz w:val="18"/>
                <w:szCs w:val="18"/>
                <w:color w:val="auto"/>
                <w:w w:val="79"/>
              </w:rPr>
              <w:t>$</w:t>
            </w:r>
          </w:p>
        </w:tc>
        <w:tc>
          <w:tcPr>
            <w:tcW w:w="16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909,642</w:t>
            </w:r>
          </w:p>
        </w:tc>
        <w:tc>
          <w:tcPr>
            <w:tcW w:w="340" w:type="dxa"/>
            <w:vAlign w:val="bottom"/>
            <w:shd w:val="clear" w:color="auto" w:fill="EAF9E8"/>
          </w:tcPr>
          <w:p>
            <w:pPr>
              <w:spacing w:after="0"/>
              <w:rPr>
                <w:sz w:val="18"/>
                <w:szCs w:val="18"/>
                <w:color w:val="auto"/>
              </w:rPr>
            </w:pPr>
          </w:p>
        </w:tc>
        <w:tc>
          <w:tcPr>
            <w:tcW w:w="160" w:type="dxa"/>
            <w:vAlign w:val="bottom"/>
            <w:shd w:val="clear" w:color="auto" w:fill="EAF9E8"/>
          </w:tcPr>
          <w:p>
            <w:pPr>
              <w:jc w:val="right"/>
              <w:ind w:right="3"/>
              <w:spacing w:after="0"/>
              <w:rPr>
                <w:sz w:val="20"/>
                <w:szCs w:val="20"/>
                <w:color w:val="auto"/>
              </w:rPr>
            </w:pPr>
            <w:r>
              <w:rPr>
                <w:rFonts w:ascii="Arial" w:cs="Arial" w:eastAsia="Arial" w:hAnsi="Arial"/>
                <w:sz w:val="15"/>
                <w:szCs w:val="15"/>
                <w:color w:val="auto"/>
                <w:w w:val="71"/>
              </w:rPr>
              <w:t>$</w:t>
            </w:r>
          </w:p>
        </w:tc>
        <w:tc>
          <w:tcPr>
            <w:tcW w:w="16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1,122,404</w:t>
            </w:r>
          </w:p>
        </w:tc>
        <w:tc>
          <w:tcPr>
            <w:tcW w:w="120" w:type="dxa"/>
            <w:vAlign w:val="bottom"/>
            <w:shd w:val="clear" w:color="auto" w:fill="EAF9E8"/>
          </w:tcPr>
          <w:p>
            <w:pPr>
              <w:spacing w:after="0"/>
              <w:rPr>
                <w:sz w:val="18"/>
                <w:szCs w:val="18"/>
                <w:color w:val="auto"/>
              </w:rPr>
            </w:pPr>
          </w:p>
        </w:tc>
      </w:tr>
      <w:tr>
        <w:trPr>
          <w:trHeight w:val="216"/>
        </w:trPr>
        <w:tc>
          <w:tcPr>
            <w:tcW w:w="7280" w:type="dxa"/>
            <w:vAlign w:val="bottom"/>
          </w:tcPr>
          <w:p>
            <w:pPr>
              <w:spacing w:after="0"/>
              <w:rPr>
                <w:sz w:val="20"/>
                <w:szCs w:val="20"/>
                <w:color w:val="auto"/>
              </w:rPr>
            </w:pPr>
            <w:r>
              <w:rPr>
                <w:rFonts w:ascii="Arial" w:cs="Arial" w:eastAsia="Arial" w:hAnsi="Arial"/>
                <w:sz w:val="18"/>
                <w:szCs w:val="18"/>
                <w:color w:val="auto"/>
              </w:rPr>
              <w:t>Match funded advances</w:t>
            </w: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881,244</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1,100,555</w:t>
            </w:r>
          </w:p>
        </w:tc>
        <w:tc>
          <w:tcPr>
            <w:tcW w:w="120" w:type="dxa"/>
            <w:vAlign w:val="bottom"/>
          </w:tcPr>
          <w:p>
            <w:pPr>
              <w:spacing w:after="0"/>
              <w:rPr>
                <w:sz w:val="18"/>
                <w:szCs w:val="18"/>
                <w:color w:val="auto"/>
              </w:rPr>
            </w:pPr>
          </w:p>
        </w:tc>
      </w:tr>
      <w:tr>
        <w:trPr>
          <w:trHeight w:val="216"/>
        </w:trPr>
        <w:tc>
          <w:tcPr>
            <w:tcW w:w="7280" w:type="dxa"/>
            <w:vAlign w:val="bottom"/>
            <w:shd w:val="clear" w:color="auto" w:fill="EAF9E8"/>
          </w:tcPr>
          <w:p>
            <w:pPr>
              <w:spacing w:after="0"/>
              <w:rPr>
                <w:sz w:val="20"/>
                <w:szCs w:val="20"/>
                <w:color w:val="auto"/>
              </w:rPr>
            </w:pPr>
            <w:r>
              <w:rPr>
                <w:rFonts w:ascii="Arial" w:cs="Arial" w:eastAsia="Arial" w:hAnsi="Arial"/>
                <w:sz w:val="18"/>
                <w:szCs w:val="18"/>
                <w:color w:val="auto"/>
              </w:rPr>
              <w:t>Total liabilities</w:t>
            </w:r>
          </w:p>
        </w:tc>
        <w:tc>
          <w:tcPr>
            <w:tcW w:w="240" w:type="dxa"/>
            <w:vAlign w:val="bottom"/>
            <w:shd w:val="clear" w:color="auto" w:fill="EAF9E8"/>
          </w:tcPr>
          <w:p>
            <w:pPr>
              <w:spacing w:after="0"/>
              <w:rPr>
                <w:sz w:val="18"/>
                <w:szCs w:val="18"/>
                <w:color w:val="auto"/>
              </w:rPr>
            </w:pPr>
          </w:p>
        </w:tc>
        <w:tc>
          <w:tcPr>
            <w:tcW w:w="16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834,440</w:t>
            </w:r>
          </w:p>
        </w:tc>
        <w:tc>
          <w:tcPr>
            <w:tcW w:w="34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6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994,244</w:t>
            </w:r>
          </w:p>
        </w:tc>
        <w:tc>
          <w:tcPr>
            <w:tcW w:w="120" w:type="dxa"/>
            <w:vAlign w:val="bottom"/>
            <w:shd w:val="clear" w:color="auto" w:fill="EAF9E8"/>
          </w:tcPr>
          <w:p>
            <w:pPr>
              <w:spacing w:after="0"/>
              <w:rPr>
                <w:sz w:val="18"/>
                <w:szCs w:val="18"/>
                <w:color w:val="auto"/>
              </w:rPr>
            </w:pPr>
          </w:p>
        </w:tc>
      </w:tr>
      <w:tr>
        <w:trPr>
          <w:trHeight w:val="222"/>
        </w:trPr>
        <w:tc>
          <w:tcPr>
            <w:tcW w:w="7280" w:type="dxa"/>
            <w:vAlign w:val="bottom"/>
          </w:tcPr>
          <w:p>
            <w:pPr>
              <w:spacing w:after="0"/>
              <w:rPr>
                <w:sz w:val="20"/>
                <w:szCs w:val="20"/>
                <w:color w:val="auto"/>
              </w:rPr>
            </w:pPr>
            <w:r>
              <w:rPr>
                <w:rFonts w:ascii="Arial" w:cs="Arial" w:eastAsia="Arial" w:hAnsi="Arial"/>
                <w:sz w:val="18"/>
                <w:szCs w:val="18"/>
                <w:color w:val="auto"/>
              </w:rPr>
              <w:t>Match funded liabilities</w:t>
            </w:r>
          </w:p>
        </w:tc>
        <w:tc>
          <w:tcPr>
            <w:tcW w:w="2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790,300</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961,939</w:t>
            </w:r>
          </w:p>
        </w:tc>
        <w:tc>
          <w:tcPr>
            <w:tcW w:w="120" w:type="dxa"/>
            <w:vAlign w:val="bottom"/>
          </w:tcPr>
          <w:p>
            <w:pPr>
              <w:spacing w:after="0"/>
              <w:rPr>
                <w:sz w:val="19"/>
                <w:szCs w:val="19"/>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Variable Interest Entities</w:t>
      </w:r>
    </w:p>
    <w:p>
      <w:pPr>
        <w:spacing w:after="0" w:line="225" w:lineRule="exact"/>
        <w:rPr>
          <w:sz w:val="20"/>
          <w:szCs w:val="20"/>
          <w:color w:val="auto"/>
        </w:rPr>
      </w:pPr>
    </w:p>
    <w:p>
      <w:pPr>
        <w:jc w:val="both"/>
        <w:ind w:firstLine="567"/>
        <w:spacing w:after="0" w:line="259" w:lineRule="auto"/>
        <w:rPr>
          <w:sz w:val="20"/>
          <w:szCs w:val="20"/>
          <w:color w:val="auto"/>
        </w:rPr>
      </w:pPr>
      <w:r>
        <w:rPr>
          <w:rFonts w:ascii="Arial" w:cs="Arial" w:eastAsia="Arial" w:hAnsi="Arial"/>
          <w:sz w:val="18"/>
          <w:szCs w:val="18"/>
          <w:color w:val="auto"/>
        </w:rPr>
        <w:t>We evaluate each SPE for classification as a QSPE. We do not consolidate QSPEs in our financial statements. Where we determine that an SPE is not classified as a QSPE, we further evaluate it for classification as a variable interest entity (VIE). When an SPE meets the definition of a VIE, and we determine that OCN is the primary beneficiary, we include the SPE in our consolidated financial statements.</w:t>
      </w:r>
    </w:p>
    <w:p>
      <w:pPr>
        <w:spacing w:after="0" w:line="194" w:lineRule="exact"/>
        <w:rPr>
          <w:sz w:val="20"/>
          <w:szCs w:val="20"/>
          <w:color w:val="auto"/>
        </w:rPr>
      </w:pPr>
    </w:p>
    <w:p>
      <w:pPr>
        <w:jc w:val="both"/>
        <w:ind w:right="20" w:firstLine="452"/>
        <w:spacing w:after="0" w:line="332" w:lineRule="auto"/>
        <w:rPr>
          <w:sz w:val="20"/>
          <w:szCs w:val="20"/>
          <w:color w:val="auto"/>
        </w:rPr>
      </w:pPr>
      <w:r>
        <w:rPr>
          <w:rFonts w:ascii="Arial" w:cs="Arial" w:eastAsia="Arial" w:hAnsi="Arial"/>
          <w:sz w:val="16"/>
          <w:szCs w:val="16"/>
          <w:color w:val="auto"/>
        </w:rPr>
        <w:t>We have determined that the special purpose entities created in connection with the match funded financing facilities that are discussed above are VIEs and that we are the primary beneficiary of those VIEs. The accounts of those special purpose entities are included in our consolidated financial statements.</w:t>
      </w:r>
    </w:p>
    <w:p>
      <w:pPr>
        <w:sectPr>
          <w:pgSz w:w="11900" w:h="16838" w:orient="portrait"/>
          <w:cols w:equalWidth="0" w:num="1">
            <w:col w:w="11420"/>
          </w:cols>
          <w:pgMar w:left="240" w:top="131" w:right="239" w:bottom="1440" w:gutter="0" w:footer="0" w:header="0"/>
        </w:sectPr>
      </w:pP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175260</wp:posOffset>
            </wp:positionV>
            <wp:extent cx="7267575"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11" w:name="page12"/>
    <w:bookmarkEnd w:id="11"/>
    <w:p>
      <w:pPr>
        <w:jc w:val="both"/>
        <w:ind w:firstLine="507"/>
        <w:spacing w:after="0" w:line="332" w:lineRule="auto"/>
        <w:rPr>
          <w:sz w:val="20"/>
          <w:szCs w:val="20"/>
          <w:color w:val="auto"/>
        </w:rPr>
      </w:pPr>
      <w:r>
        <w:rPr>
          <w:rFonts w:ascii="Arial" w:cs="Arial" w:eastAsia="Arial" w:hAnsi="Arial"/>
          <w:sz w:val="16"/>
          <w:szCs w:val="16"/>
          <w:color w:val="auto"/>
        </w:rPr>
        <w:t>We apply the equity method of accounting to investments in which we have less than 50% of the voting securities, yet we are able to exercise significant influence over the policies and procedures of the entity. We have eliminated all material intercompany accounts and transactions in consolidation.</w:t>
      </w:r>
    </w:p>
    <w:p>
      <w:pPr>
        <w:spacing w:after="0" w:line="147"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NOTE 2</w:t>
      </w:r>
      <w:r>
        <w:rPr>
          <w:sz w:val="20"/>
          <w:szCs w:val="20"/>
          <w:color w:val="auto"/>
        </w:rPr>
        <w:tab/>
      </w:r>
      <w:r>
        <w:rPr>
          <w:rFonts w:ascii="Arial" w:cs="Arial" w:eastAsia="Arial" w:hAnsi="Arial"/>
          <w:sz w:val="16"/>
          <w:szCs w:val="16"/>
          <w:b w:val="1"/>
          <w:bCs w:val="1"/>
          <w:color w:val="auto"/>
        </w:rPr>
        <w:t>RECENT ACCOUNTING PRONOUNCEMENTS</w:t>
      </w:r>
    </w:p>
    <w:p>
      <w:pPr>
        <w:spacing w:after="0" w:line="231" w:lineRule="exact"/>
        <w:rPr>
          <w:sz w:val="20"/>
          <w:szCs w:val="20"/>
          <w:color w:val="auto"/>
        </w:rPr>
      </w:pPr>
    </w:p>
    <w:p>
      <w:pPr>
        <w:jc w:val="both"/>
        <w:ind w:firstLine="513"/>
        <w:spacing w:after="0" w:line="318" w:lineRule="auto"/>
        <w:rPr>
          <w:sz w:val="20"/>
          <w:szCs w:val="20"/>
          <w:color w:val="auto"/>
        </w:rPr>
      </w:pPr>
      <w:r>
        <w:rPr>
          <w:rFonts w:ascii="Arial" w:cs="Arial" w:eastAsia="Arial" w:hAnsi="Arial"/>
          <w:sz w:val="15"/>
          <w:szCs w:val="15"/>
          <w:color w:val="auto"/>
        </w:rPr>
        <w:t xml:space="preserve">In February 2008, the FASB issued FASB Staff Position (FSP) FAS 157-2, </w:t>
      </w:r>
      <w:r>
        <w:rPr>
          <w:rFonts w:ascii="Arial" w:cs="Arial" w:eastAsia="Arial" w:hAnsi="Arial"/>
          <w:sz w:val="15"/>
          <w:szCs w:val="15"/>
          <w:i w:val="1"/>
          <w:iCs w:val="1"/>
          <w:color w:val="auto"/>
        </w:rPr>
        <w:t>“Effective Date of FASB Statement No. 157.”</w:t>
      </w:r>
      <w:r>
        <w:rPr>
          <w:rFonts w:ascii="Arial" w:cs="Arial" w:eastAsia="Arial" w:hAnsi="Arial"/>
          <w:sz w:val="15"/>
          <w:szCs w:val="15"/>
          <w:color w:val="auto"/>
        </w:rPr>
        <w:t xml:space="preserve"> This FSP deferred the effective date of SFAS No. 157 to fiscal years beginning after November 15, 2008, and interim periods within those fiscal years for all nonfinancial assets and nonfinancial liabilities, except for items that are recognized or disclosed at fair value in an entity’s financial statements on a recurring basis (at least annually). The adoption of FSP FAS 157-2 on January 1, 2009 did not have an impact on our consolidated financial statements. Fair value measurements of non-financial assets will require the tabular disclosure prescribed by SFAS No. 157 as well as disclosures with respect to the methodologies and assumptions utilized to determine fair value.</w:t>
      </w:r>
    </w:p>
    <w:p>
      <w:pPr>
        <w:spacing w:after="0" w:line="154" w:lineRule="exact"/>
        <w:rPr>
          <w:sz w:val="20"/>
          <w:szCs w:val="20"/>
          <w:color w:val="auto"/>
        </w:rPr>
      </w:pPr>
    </w:p>
    <w:p>
      <w:pPr>
        <w:jc w:val="both"/>
        <w:ind w:firstLine="567"/>
        <w:spacing w:after="0" w:line="294" w:lineRule="auto"/>
        <w:rPr>
          <w:sz w:val="20"/>
          <w:szCs w:val="20"/>
          <w:color w:val="auto"/>
        </w:rPr>
      </w:pPr>
      <w:r>
        <w:rPr>
          <w:rFonts w:ascii="Arial" w:cs="Arial" w:eastAsia="Arial" w:hAnsi="Arial"/>
          <w:sz w:val="16"/>
          <w:szCs w:val="16"/>
          <w:color w:val="auto"/>
        </w:rPr>
        <w:t xml:space="preserve">In April 2009, the FASB issued FASB FSP FAS 157-4, </w:t>
      </w:r>
      <w:r>
        <w:rPr>
          <w:rFonts w:ascii="Arial" w:cs="Arial" w:eastAsia="Arial" w:hAnsi="Arial"/>
          <w:sz w:val="16"/>
          <w:szCs w:val="16"/>
          <w:i w:val="1"/>
          <w:iCs w:val="1"/>
          <w:color w:val="auto"/>
        </w:rPr>
        <w:t>Determining Fair Value When the Volume and Level of Activity for the Asset or Liability Have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Significantly Decreased and Identifying Transactions That Are Not Orderly.” </w:t>
      </w:r>
      <w:r>
        <w:rPr>
          <w:rFonts w:ascii="Arial" w:cs="Arial" w:eastAsia="Arial" w:hAnsi="Arial"/>
          <w:sz w:val="16"/>
          <w:szCs w:val="16"/>
          <w:color w:val="auto"/>
        </w:rPr>
        <w:t>This FSP provides additional guidance for estimating fair value when the level of</w:t>
      </w:r>
      <w:r>
        <w:rPr>
          <w:rFonts w:ascii="Arial" w:cs="Arial" w:eastAsia="Arial" w:hAnsi="Arial"/>
          <w:sz w:val="16"/>
          <w:szCs w:val="16"/>
          <w:i w:val="1"/>
          <w:iCs w:val="1"/>
          <w:color w:val="auto"/>
        </w:rPr>
        <w:t xml:space="preserve"> </w:t>
      </w:r>
      <w:r>
        <w:rPr>
          <w:rFonts w:ascii="Arial" w:cs="Arial" w:eastAsia="Arial" w:hAnsi="Arial"/>
          <w:sz w:val="16"/>
          <w:szCs w:val="16"/>
          <w:color w:val="auto"/>
        </w:rPr>
        <w:t>activity for the asset or liability has significantly decreased. The FSP is effective for interim and annual reporting periods ending after June 15, 2009 with early adoption permitted for periods ending after March 15, 2009. We plan to adopt the FSP during the second quarter of 2009 and do not anticipate that the initial adoption of this FSP will have a significant impact on our consolidated financial statements.</w:t>
      </w:r>
    </w:p>
    <w:p>
      <w:pPr>
        <w:spacing w:after="0" w:line="170" w:lineRule="exact"/>
        <w:rPr>
          <w:sz w:val="20"/>
          <w:szCs w:val="20"/>
          <w:color w:val="auto"/>
        </w:rPr>
      </w:pPr>
    </w:p>
    <w:p>
      <w:pPr>
        <w:jc w:val="both"/>
        <w:ind w:firstLine="527"/>
        <w:spacing w:after="0" w:line="312" w:lineRule="auto"/>
        <w:rPr>
          <w:sz w:val="20"/>
          <w:szCs w:val="20"/>
          <w:color w:val="auto"/>
        </w:rPr>
      </w:pPr>
      <w:r>
        <w:rPr>
          <w:rFonts w:ascii="Arial" w:cs="Arial" w:eastAsia="Arial" w:hAnsi="Arial"/>
          <w:sz w:val="15"/>
          <w:szCs w:val="15"/>
          <w:i w:val="1"/>
          <w:iCs w:val="1"/>
          <w:color w:val="auto"/>
        </w:rPr>
        <w:t>SFAS No. 141 (R), “Business Combination — a replacement of FASB Statement No. 141.”</w:t>
      </w:r>
      <w:r>
        <w:rPr>
          <w:rFonts w:ascii="Arial" w:cs="Arial" w:eastAsia="Arial" w:hAnsi="Arial"/>
          <w:sz w:val="15"/>
          <w:szCs w:val="15"/>
          <w:color w:val="auto"/>
        </w:rPr>
        <w:t>SFAS No. 141(R) modifies certain elements of the acquisition</w:t>
      </w:r>
      <w:r>
        <w:rPr>
          <w:rFonts w:ascii="Arial" w:cs="Arial" w:eastAsia="Arial" w:hAnsi="Arial"/>
          <w:sz w:val="15"/>
          <w:szCs w:val="15"/>
          <w:i w:val="1"/>
          <w:iCs w:val="1"/>
          <w:color w:val="auto"/>
        </w:rPr>
        <w:t xml:space="preserve"> </w:t>
      </w:r>
      <w:r>
        <w:rPr>
          <w:rFonts w:ascii="Arial" w:cs="Arial" w:eastAsia="Arial" w:hAnsi="Arial"/>
          <w:sz w:val="15"/>
          <w:szCs w:val="15"/>
          <w:color w:val="auto"/>
        </w:rPr>
        <w:t>method of accounting used for all business combinations. The statement requires an acquirer to recognize the assets acquired, the liabilities assumed, and any noncontrolling interest in the acquiree at the acquisition date, measured at the full amounts of their fair values, with limited exceptions specified in the statement. If the business combination is achieved in stages (a step acquisition), an acquirer is also required to recognize the identifiable assets and liabilities, as well as the noncontrolling interest in the acquiree, at the full amounts of their fair values. The statement requires the acquirer to recognize restructuring and acquisition costs separately from the business combination. The statement also requires the disclosure of information necessary to understand the nature and effect of the business combination. The adoption of SFAS No. 141 (R) on January 1, 2009 did not have an impact on our consolidated balance sheets or statements of operations.</w:t>
      </w:r>
    </w:p>
    <w:p>
      <w:pPr>
        <w:spacing w:after="0" w:line="159" w:lineRule="exact"/>
        <w:rPr>
          <w:sz w:val="20"/>
          <w:szCs w:val="20"/>
          <w:color w:val="auto"/>
        </w:rPr>
      </w:pPr>
    </w:p>
    <w:p>
      <w:pPr>
        <w:jc w:val="both"/>
        <w:ind w:firstLine="615"/>
        <w:spacing w:after="0" w:line="287" w:lineRule="auto"/>
        <w:rPr>
          <w:sz w:val="20"/>
          <w:szCs w:val="20"/>
          <w:color w:val="auto"/>
        </w:rPr>
      </w:pPr>
      <w:r>
        <w:rPr>
          <w:rFonts w:ascii="Arial" w:cs="Arial" w:eastAsia="Arial" w:hAnsi="Arial"/>
          <w:sz w:val="16"/>
          <w:szCs w:val="16"/>
          <w:i w:val="1"/>
          <w:iCs w:val="1"/>
          <w:color w:val="auto"/>
        </w:rPr>
        <w:t>SFAS No. 160, “Non-controlling Interests in Consolidated Financial Statements-an Amendment of ARB No. 51</w:t>
      </w:r>
      <w:r>
        <w:rPr>
          <w:rFonts w:ascii="Arial" w:cs="Arial" w:eastAsia="Arial" w:hAnsi="Arial"/>
          <w:sz w:val="16"/>
          <w:szCs w:val="16"/>
          <w:color w:val="auto"/>
        </w:rPr>
        <w:t>.” The FASB issued SFAS No. 160 on</w:t>
      </w:r>
      <w:r>
        <w:rPr>
          <w:rFonts w:ascii="Arial" w:cs="Arial" w:eastAsia="Arial" w:hAnsi="Arial"/>
          <w:sz w:val="16"/>
          <w:szCs w:val="16"/>
          <w:i w:val="1"/>
          <w:iCs w:val="1"/>
          <w:color w:val="auto"/>
        </w:rPr>
        <w:t xml:space="preserve"> </w:t>
      </w:r>
      <w:r>
        <w:rPr>
          <w:rFonts w:ascii="Arial" w:cs="Arial" w:eastAsia="Arial" w:hAnsi="Arial"/>
          <w:sz w:val="16"/>
          <w:szCs w:val="16"/>
          <w:color w:val="auto"/>
        </w:rPr>
        <w:t>December 4, 2007. The statement establishes new accounting and reporting standards for a non-controlling interest in a subsidiary and for the deconsolidation of a subsidiary. Specifically, this statement requires the recognition of a non-controlling interest (minority interest) as equity in the consolidated financial statements separate from the parent’s equity. The amount of net income attributable to the non-controlling interest is included in consolidated net income on the face of the income statement. The statement clarifies that changes in a parent’s ownership interest in a subsidiary that do not result in deconsolidation are equity transactions if the parent retains its controlling financial interest. In addition, when a subsidiary is deconsolidated, this statement requires that a parent recognize a gain or loss in net income based on the fair value of the entire entity, irrespective of any retained ownership, on the deconsolidation date. Such a gain or loss will be measured using the fair value of the non-controlling equity investment on the deconsolidation date. We adopted SFAS No. 160 on January 1, 2009. Because the outstanding non-controlling interests in consolidated subsidiaries are not significant, the implementation of SFAS No. 160 did not have a material impact on our consolidated balance sheets or statements of operations.</w:t>
      </w:r>
    </w:p>
    <w:p>
      <w:pPr>
        <w:spacing w:after="0" w:line="177" w:lineRule="exact"/>
        <w:rPr>
          <w:sz w:val="20"/>
          <w:szCs w:val="20"/>
          <w:color w:val="auto"/>
        </w:rPr>
      </w:pPr>
    </w:p>
    <w:p>
      <w:pPr>
        <w:jc w:val="both"/>
        <w:ind w:firstLine="455"/>
        <w:spacing w:after="0" w:line="294" w:lineRule="auto"/>
        <w:rPr>
          <w:sz w:val="20"/>
          <w:szCs w:val="20"/>
          <w:color w:val="auto"/>
        </w:rPr>
      </w:pPr>
      <w:r>
        <w:rPr>
          <w:rFonts w:ascii="Arial" w:cs="Arial" w:eastAsia="Arial" w:hAnsi="Arial"/>
          <w:sz w:val="16"/>
          <w:szCs w:val="16"/>
          <w:i w:val="1"/>
          <w:iCs w:val="1"/>
          <w:color w:val="auto"/>
        </w:rPr>
        <w:t>SFAS No. 161, “Disclosures about Derivative Instruments and Hedging Activities-an amendment of FASB Statement No. 133</w:t>
      </w:r>
      <w:r>
        <w:rPr>
          <w:rFonts w:ascii="Arial" w:cs="Arial" w:eastAsia="Arial" w:hAnsi="Arial"/>
          <w:sz w:val="16"/>
          <w:szCs w:val="16"/>
          <w:color w:val="auto"/>
        </w:rPr>
        <w:t>.” The FASB issued SFAS No.</w:t>
      </w:r>
      <w:r>
        <w:rPr>
          <w:rFonts w:ascii="Arial" w:cs="Arial" w:eastAsia="Arial" w:hAnsi="Arial"/>
          <w:sz w:val="16"/>
          <w:szCs w:val="16"/>
          <w:i w:val="1"/>
          <w:iCs w:val="1"/>
          <w:color w:val="auto"/>
        </w:rPr>
        <w:t xml:space="preserve"> </w:t>
      </w:r>
      <w:r>
        <w:rPr>
          <w:rFonts w:ascii="Arial" w:cs="Arial" w:eastAsia="Arial" w:hAnsi="Arial"/>
          <w:sz w:val="16"/>
          <w:szCs w:val="16"/>
          <w:color w:val="auto"/>
        </w:rPr>
        <w:t>161 in March 2008. This statement requires enhanced disclosures about an entity’s derivative and hedging activities. Under this statement, entities are required to provide enhanced disclosures relating to: (1) how and why an entity uses derivative instruments; (2) how derivative instruments and related hedge items are accounted for; and (3) how derivative instruments and related hedged items affect an entity’s financial position, financial performance, and cash flows. The adoption of SFAS No. 161 on January 1, 2009 did not have a material effect on our consolidated balance sheets or statements of operations.</w:t>
      </w:r>
    </w:p>
    <w:p>
      <w:pPr>
        <w:spacing w:after="0" w:line="170" w:lineRule="exact"/>
        <w:rPr>
          <w:sz w:val="20"/>
          <w:szCs w:val="20"/>
          <w:color w:val="auto"/>
        </w:rPr>
      </w:pPr>
    </w:p>
    <w:p>
      <w:pPr>
        <w:jc w:val="both"/>
        <w:ind w:firstLine="444"/>
        <w:spacing w:after="0" w:line="323" w:lineRule="auto"/>
        <w:rPr>
          <w:sz w:val="20"/>
          <w:szCs w:val="20"/>
          <w:color w:val="auto"/>
        </w:rPr>
      </w:pPr>
      <w:r>
        <w:rPr>
          <w:rFonts w:ascii="Arial" w:cs="Arial" w:eastAsia="Arial" w:hAnsi="Arial"/>
          <w:sz w:val="15"/>
          <w:szCs w:val="15"/>
          <w:i w:val="1"/>
          <w:iCs w:val="1"/>
          <w:color w:val="auto"/>
        </w:rPr>
        <w:t xml:space="preserve">Proposed amendment of SFAS No. 140 and FIN 46(R) and issuance of FSP No. FAS 140-4 and FIN 46(R)-8. </w:t>
      </w:r>
      <w:r>
        <w:rPr>
          <w:rFonts w:ascii="Arial" w:cs="Arial" w:eastAsia="Arial" w:hAnsi="Arial"/>
          <w:sz w:val="15"/>
          <w:szCs w:val="15"/>
          <w:color w:val="auto"/>
        </w:rPr>
        <w:t>In April 2008, the FASB voted to eliminate the</w:t>
      </w:r>
      <w:r>
        <w:rPr>
          <w:rFonts w:ascii="Arial" w:cs="Arial" w:eastAsia="Arial" w:hAnsi="Arial"/>
          <w:sz w:val="15"/>
          <w:szCs w:val="15"/>
          <w:i w:val="1"/>
          <w:iCs w:val="1"/>
          <w:color w:val="auto"/>
        </w:rPr>
        <w:t xml:space="preserve"> </w:t>
      </w:r>
      <w:r>
        <w:rPr>
          <w:rFonts w:ascii="Arial" w:cs="Arial" w:eastAsia="Arial" w:hAnsi="Arial"/>
          <w:sz w:val="15"/>
          <w:szCs w:val="15"/>
          <w:color w:val="auto"/>
        </w:rPr>
        <w:t>QSPE concept from SFAS No. 140 and to remove the scope exception for QSPEs from FIN 46(R). During September 2008, the FASB issued three separate but related exposure drafts for public comment. The proposed FASB Statements address amendments to SFAS No. 140 and to FIN 46(R). The proposed changes will require an analysis of all QSPEs which are currently exempt from the consolidation provisions of FIN 46(R), to determine if consolidation as VIEs is required.</w:t>
      </w:r>
    </w:p>
    <w:p>
      <w:pPr>
        <w:spacing w:after="0" w:line="152" w:lineRule="exact"/>
        <w:rPr>
          <w:sz w:val="20"/>
          <w:szCs w:val="20"/>
          <w:color w:val="auto"/>
        </w:rPr>
      </w:pPr>
    </w:p>
    <w:p>
      <w:pPr>
        <w:jc w:val="both"/>
        <w:ind w:firstLine="439"/>
        <w:spacing w:after="0" w:line="294" w:lineRule="auto"/>
        <w:rPr>
          <w:sz w:val="20"/>
          <w:szCs w:val="20"/>
          <w:color w:val="auto"/>
        </w:rPr>
      </w:pPr>
      <w:r>
        <w:rPr>
          <w:rFonts w:ascii="Arial" w:cs="Arial" w:eastAsia="Arial" w:hAnsi="Arial"/>
          <w:sz w:val="16"/>
          <w:szCs w:val="16"/>
          <w:color w:val="auto"/>
        </w:rPr>
        <w:t>FSP FAS 140-4 and FIN 46(R)-8 was issued in December 2008 and requires improved disclosures by public entities until the pending amendments to SFAS No. 140 and FIN No. 46(R) are effective. This FSP amends SFAS No. 140 and FIN 46(R) to require enhanced disclosures by public entities about transfers of financial assets and interests in VIEs. Additionally, the FSP requires certain disclosures by a public entity that is (a) a sponsor that has a variable interest in a VIE (irrespective of the significance of the variable interest) and (b) an enterprise that holds a significant variable interest in a QSPE but was not the transferor of financial assets to the QSPE. The additional disclosures required by FSP FAS 140-4 and FIN 46(R)-8 are included in Note 1.</w:t>
      </w:r>
    </w:p>
    <w:p>
      <w:pPr>
        <w:spacing w:after="0" w:line="170" w:lineRule="exact"/>
        <w:rPr>
          <w:sz w:val="20"/>
          <w:szCs w:val="20"/>
          <w:color w:val="auto"/>
        </w:rPr>
      </w:pPr>
    </w:p>
    <w:p>
      <w:pPr>
        <w:jc w:val="both"/>
        <w:ind w:firstLine="566"/>
        <w:spacing w:after="0" w:line="332" w:lineRule="auto"/>
        <w:rPr>
          <w:sz w:val="20"/>
          <w:szCs w:val="20"/>
          <w:color w:val="auto"/>
        </w:rPr>
      </w:pPr>
      <w:r>
        <w:rPr>
          <w:rFonts w:ascii="Arial" w:cs="Arial" w:eastAsia="Arial" w:hAnsi="Arial"/>
          <w:sz w:val="16"/>
          <w:szCs w:val="16"/>
          <w:color w:val="auto"/>
        </w:rPr>
        <w:t>We have retained investments in certain subordinate and residual securities in connection with loan securitization transactions completed in prior years (primarily 2006). Our subordinate and residual securities at March 31, 2009 include retained interests with a fair value of $107.</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 w:name="page13"/>
    <w:bookmarkEnd w:id="12"/>
    <w:p>
      <w:pPr>
        <w:jc w:val="both"/>
        <w:ind w:firstLine="526"/>
        <w:spacing w:after="0" w:line="286" w:lineRule="auto"/>
        <w:rPr>
          <w:sz w:val="20"/>
          <w:szCs w:val="20"/>
          <w:color w:val="auto"/>
        </w:rPr>
      </w:pPr>
      <w:r>
        <w:rPr>
          <w:rFonts w:ascii="Arial" w:cs="Arial" w:eastAsia="Arial" w:hAnsi="Arial"/>
          <w:sz w:val="16"/>
          <w:szCs w:val="16"/>
          <w:i w:val="1"/>
          <w:iCs w:val="1"/>
          <w:color w:val="auto"/>
        </w:rPr>
        <w:t xml:space="preserve">FSP No. APB 14-1, “Accounting for Convertible Debt Instruments That May Be Settled in Cash upon Conversion (Including Partial Cash Settlement).” </w:t>
      </w:r>
      <w:r>
        <w:rPr>
          <w:rFonts w:ascii="Arial" w:cs="Arial" w:eastAsia="Arial" w:hAnsi="Arial"/>
          <w:sz w:val="16"/>
          <w:szCs w:val="16"/>
          <w:color w:val="auto"/>
        </w:rPr>
        <w:t>This FSP clarifies that convertible debt instruments that may be settled in cash upon conversion (including partial cash settlement) are not addressed by paragraph 12 of APB Opinion No. 14, “</w:t>
      </w:r>
      <w:r>
        <w:rPr>
          <w:rFonts w:ascii="Arial" w:cs="Arial" w:eastAsia="Arial" w:hAnsi="Arial"/>
          <w:sz w:val="16"/>
          <w:szCs w:val="16"/>
          <w:i w:val="1"/>
          <w:iCs w:val="1"/>
          <w:color w:val="auto"/>
        </w:rPr>
        <w:t>Accounting for Convertible Debt andDebt Issued with Stock Purchase Warrants</w:t>
      </w:r>
      <w:r>
        <w:rPr>
          <w:rFonts w:ascii="Arial" w:cs="Arial" w:eastAsia="Arial" w:hAnsi="Arial"/>
          <w:sz w:val="16"/>
          <w:szCs w:val="16"/>
          <w:color w:val="auto"/>
        </w:rPr>
        <w:t>.” Additionally, this FSP specifies that issuers of such instruments should separately account for the liability and equity components in a manner that will reflect the entity’s nonconvertible debt borrowing rate when interest cost is recognized in subsequent periods. Upon adoption of this FSP on January 1, 2009, we recognized a discount to reduce the carrying value of the 3.25% Convertible Notes and an offsetting increase to stockholders’ equity. The cumulative effect of adoption resulted in: (1) a reduction of retained earnings of $21,202 due to the retrospective accretion of the resulting debt discount to interest expense over the expected life of the notes; (2) adjustments to debt issue cost amortization and gains or losses recognized on previous redemptions; and (3) an increase in additional paid-in capital of $22,657. The adjustment to additional paid-in capital includes the recognized debt discount, adjusted for note redemptions, and the effect of deferred taxes. Interest expense for the quarter ended March 31, 2008 has been restated to include non-cash interest of $1,071. Prospectively, the consolidated statement of operations will recognize non-cash interest expense over the remaining estimated life of the notes.</w:t>
      </w:r>
    </w:p>
    <w:p>
      <w:pPr>
        <w:spacing w:after="0" w:line="181" w:lineRule="exact"/>
        <w:rPr>
          <w:sz w:val="20"/>
          <w:szCs w:val="20"/>
          <w:color w:val="auto"/>
        </w:rPr>
      </w:pPr>
    </w:p>
    <w:p>
      <w:pPr>
        <w:jc w:val="both"/>
        <w:ind w:firstLine="465"/>
        <w:spacing w:after="0" w:line="290" w:lineRule="auto"/>
        <w:rPr>
          <w:sz w:val="20"/>
          <w:szCs w:val="20"/>
          <w:color w:val="auto"/>
        </w:rPr>
      </w:pPr>
      <w:r>
        <w:rPr>
          <w:rFonts w:ascii="Arial" w:cs="Arial" w:eastAsia="Arial" w:hAnsi="Arial"/>
          <w:sz w:val="16"/>
          <w:szCs w:val="16"/>
          <w:i w:val="1"/>
          <w:iCs w:val="1"/>
          <w:color w:val="auto"/>
        </w:rPr>
        <w:t>FSP No. FAS 142-3, “Determination of the Useful Life of Intangible Assets</w:t>
      </w:r>
      <w:r>
        <w:rPr>
          <w:rFonts w:ascii="Arial" w:cs="Arial" w:eastAsia="Arial" w:hAnsi="Arial"/>
          <w:sz w:val="16"/>
          <w:szCs w:val="16"/>
          <w:color w:val="auto"/>
        </w:rPr>
        <w:t>.” This FSP amends the factors that should be considered in developing renewal</w:t>
      </w:r>
      <w:r>
        <w:rPr>
          <w:rFonts w:ascii="Arial" w:cs="Arial" w:eastAsia="Arial" w:hAnsi="Arial"/>
          <w:sz w:val="16"/>
          <w:szCs w:val="16"/>
          <w:i w:val="1"/>
          <w:iCs w:val="1"/>
          <w:color w:val="auto"/>
        </w:rPr>
        <w:t xml:space="preserve"> </w:t>
      </w:r>
      <w:r>
        <w:rPr>
          <w:rFonts w:ascii="Arial" w:cs="Arial" w:eastAsia="Arial" w:hAnsi="Arial"/>
          <w:sz w:val="16"/>
          <w:szCs w:val="16"/>
          <w:color w:val="auto"/>
        </w:rPr>
        <w:t>or extension assumptions used to determine the useful life of a recognized intangible asset under SFAS No. 142, “</w:t>
      </w:r>
      <w:r>
        <w:rPr>
          <w:rFonts w:ascii="Arial" w:cs="Arial" w:eastAsia="Arial" w:hAnsi="Arial"/>
          <w:sz w:val="16"/>
          <w:szCs w:val="16"/>
          <w:i w:val="1"/>
          <w:iCs w:val="1"/>
          <w:color w:val="auto"/>
        </w:rPr>
        <w:t>Goodwill and Other Intangible Assets</w:t>
      </w:r>
      <w:r>
        <w:rPr>
          <w:rFonts w:ascii="Arial" w:cs="Arial" w:eastAsia="Arial" w:hAnsi="Arial"/>
          <w:sz w:val="16"/>
          <w:szCs w:val="16"/>
          <w:color w:val="auto"/>
        </w:rPr>
        <w:t>.” The intent of this FSP is to improve the consistency between the useful life of a recognized intangible asset under Statement 142 and the period of expected cash flows used to measure the fair value of the asset under SFAS No. 141(R), “</w:t>
      </w:r>
      <w:r>
        <w:rPr>
          <w:rFonts w:ascii="Arial" w:cs="Arial" w:eastAsia="Arial" w:hAnsi="Arial"/>
          <w:sz w:val="16"/>
          <w:szCs w:val="16"/>
          <w:i w:val="1"/>
          <w:iCs w:val="1"/>
          <w:color w:val="auto"/>
        </w:rPr>
        <w:t>Business Combinations</w:t>
      </w:r>
      <w:r>
        <w:rPr>
          <w:rFonts w:ascii="Arial" w:cs="Arial" w:eastAsia="Arial" w:hAnsi="Arial"/>
          <w:sz w:val="16"/>
          <w:szCs w:val="16"/>
          <w:color w:val="auto"/>
        </w:rPr>
        <w:t>.” The FSP eliminates the previous useful-life assessment criterion that precluded an entity from using its own assumptions where there is likely to be substantial cost or modification and replaces it with a requirement that an entity shall consider its own experience in renewing similar arrangements. If the entity has no relevant experience, it would consider market participant assumptions regarding renewal. We adopted FSP FAS 142-3 on January 1, 2009 without material effect on our consolidated financial statements.</w:t>
      </w:r>
    </w:p>
    <w:p>
      <w:pPr>
        <w:spacing w:after="0" w:line="172" w:lineRule="exact"/>
        <w:rPr>
          <w:sz w:val="20"/>
          <w:szCs w:val="20"/>
          <w:color w:val="auto"/>
        </w:rPr>
      </w:pPr>
    </w:p>
    <w:p>
      <w:pPr>
        <w:jc w:val="both"/>
        <w:ind w:firstLine="501"/>
        <w:spacing w:after="0" w:line="288" w:lineRule="auto"/>
        <w:rPr>
          <w:sz w:val="20"/>
          <w:szCs w:val="20"/>
          <w:color w:val="auto"/>
        </w:rPr>
      </w:pPr>
      <w:r>
        <w:rPr>
          <w:rFonts w:ascii="Arial" w:cs="Arial" w:eastAsia="Arial" w:hAnsi="Arial"/>
          <w:sz w:val="16"/>
          <w:szCs w:val="16"/>
          <w:i w:val="1"/>
          <w:iCs w:val="1"/>
          <w:color w:val="auto"/>
        </w:rPr>
        <w:t>Emerging Issues Task Force (EITF) Issue No. 08-6, “Equity Method Investment Accounting Considerations” (EITF 08-6)</w:t>
      </w:r>
      <w:r>
        <w:rPr>
          <w:rFonts w:ascii="Arial" w:cs="Arial" w:eastAsia="Arial" w:hAnsi="Arial"/>
          <w:sz w:val="16"/>
          <w:szCs w:val="16"/>
          <w:color w:val="auto"/>
        </w:rPr>
        <w:t>. The Task Force considered the</w:t>
      </w:r>
      <w:r>
        <w:rPr>
          <w:rFonts w:ascii="Arial" w:cs="Arial" w:eastAsia="Arial" w:hAnsi="Arial"/>
          <w:sz w:val="16"/>
          <w:szCs w:val="16"/>
          <w:i w:val="1"/>
          <w:iCs w:val="1"/>
          <w:color w:val="auto"/>
        </w:rPr>
        <w:t xml:space="preserve"> </w:t>
      </w:r>
      <w:r>
        <w:rPr>
          <w:rFonts w:ascii="Arial" w:cs="Arial" w:eastAsia="Arial" w:hAnsi="Arial"/>
          <w:sz w:val="16"/>
          <w:szCs w:val="16"/>
          <w:color w:val="auto"/>
        </w:rPr>
        <w:t>effects of the issuances of SFAS Nos. 141(R) and 160 on an entity’s application of the equity method under APB Opinion No. 18. The Task Force reached a consensus that (1) an entity should determine the initial carrying value of an equity method investment by applying the cost accumulation model described in SFAS No. 141(R); (2) an entity should use the other-than-temporary impairment model of APB Opinion No. 18 when testing equity method investments for impairment; (3) share issuances by the investee should be accounted for as if the equity method investor had sold a proportionate share of its investment (i.e., any gain or loss is recognized in earnings); and (4) when an investment is no longer within the scope of equity method accounting the investor should prospectively apply the provisions of APB Opinion No. 18 or SFAS No. 115, “</w:t>
      </w:r>
      <w:r>
        <w:rPr>
          <w:rFonts w:ascii="Arial" w:cs="Arial" w:eastAsia="Arial" w:hAnsi="Arial"/>
          <w:sz w:val="16"/>
          <w:szCs w:val="16"/>
          <w:i w:val="1"/>
          <w:iCs w:val="1"/>
          <w:color w:val="auto"/>
        </w:rPr>
        <w:t>Accounting for Certain Investments in Debt and Equity Securities,”</w:t>
      </w:r>
      <w:r>
        <w:rPr>
          <w:rFonts w:ascii="Arial" w:cs="Arial" w:eastAsia="Arial" w:hAnsi="Arial"/>
          <w:sz w:val="16"/>
          <w:szCs w:val="16"/>
          <w:color w:val="auto"/>
        </w:rPr>
        <w:t xml:space="preserve"> and use the current carrying amount of the investment as its initial cost. The adoption of EITF Issue No. 08-6 on January 1, 2009 did not have a material impact on our consolidated balance sheets or statements of operations.</w:t>
      </w:r>
    </w:p>
    <w:p>
      <w:pPr>
        <w:spacing w:after="0" w:line="174" w:lineRule="exact"/>
        <w:rPr>
          <w:sz w:val="20"/>
          <w:szCs w:val="20"/>
          <w:color w:val="auto"/>
        </w:rPr>
      </w:pPr>
    </w:p>
    <w:p>
      <w:pPr>
        <w:jc w:val="both"/>
        <w:ind w:firstLine="695"/>
        <w:spacing w:after="0" w:line="294" w:lineRule="auto"/>
        <w:rPr>
          <w:sz w:val="20"/>
          <w:szCs w:val="20"/>
          <w:color w:val="auto"/>
        </w:rPr>
      </w:pPr>
      <w:r>
        <w:rPr>
          <w:rFonts w:ascii="Arial" w:cs="Arial" w:eastAsia="Arial" w:hAnsi="Arial"/>
          <w:sz w:val="16"/>
          <w:szCs w:val="16"/>
          <w:i w:val="1"/>
          <w:iCs w:val="1"/>
          <w:color w:val="auto"/>
        </w:rPr>
        <w:t xml:space="preserve">FSP No. FAS 115-2 and FAS 124-2 “Recognition of Other-Than-Temporary-Impairments”. </w:t>
      </w:r>
      <w:r>
        <w:rPr>
          <w:rFonts w:ascii="Arial" w:cs="Arial" w:eastAsia="Arial" w:hAnsi="Arial"/>
          <w:sz w:val="16"/>
          <w:szCs w:val="16"/>
          <w:color w:val="auto"/>
        </w:rPr>
        <w:t>This FSP amends the other-than-temporary impairment</w:t>
      </w:r>
      <w:r>
        <w:rPr>
          <w:rFonts w:ascii="Arial" w:cs="Arial" w:eastAsia="Arial" w:hAnsi="Arial"/>
          <w:sz w:val="16"/>
          <w:szCs w:val="16"/>
          <w:i w:val="1"/>
          <w:iCs w:val="1"/>
          <w:color w:val="auto"/>
        </w:rPr>
        <w:t xml:space="preserve"> </w:t>
      </w:r>
      <w:r>
        <w:rPr>
          <w:rFonts w:ascii="Arial" w:cs="Arial" w:eastAsia="Arial" w:hAnsi="Arial"/>
          <w:sz w:val="16"/>
          <w:szCs w:val="16"/>
          <w:color w:val="auto"/>
        </w:rPr>
        <w:t>guidance for debt securities and improves the presentation and disclosure of other-than-temporary impairments on debt and equity securities in the financial statements. This FSP does not amend existing recognition and measurement guidance related to other-than-temporary impairments of equity securities. Because our current investments in debt securities are classified as trading securities and therefore measured at fair value on a recurring basis, we do not anticipate that this FSP will have a significant impact on our consolidated financial statements upon adoption during the second quarter 2009.</w:t>
      </w:r>
    </w:p>
    <w:p>
      <w:pPr>
        <w:spacing w:after="0" w:line="170" w:lineRule="exact"/>
        <w:rPr>
          <w:sz w:val="20"/>
          <w:szCs w:val="20"/>
          <w:color w:val="auto"/>
        </w:rPr>
      </w:pPr>
    </w:p>
    <w:p>
      <w:pPr>
        <w:jc w:val="both"/>
        <w:ind w:firstLine="477"/>
        <w:spacing w:after="0" w:line="294" w:lineRule="auto"/>
        <w:rPr>
          <w:sz w:val="20"/>
          <w:szCs w:val="20"/>
          <w:color w:val="auto"/>
        </w:rPr>
      </w:pPr>
      <w:r>
        <w:rPr>
          <w:rFonts w:ascii="Arial" w:cs="Arial" w:eastAsia="Arial" w:hAnsi="Arial"/>
          <w:sz w:val="16"/>
          <w:szCs w:val="16"/>
          <w:i w:val="1"/>
          <w:iCs w:val="1"/>
          <w:color w:val="auto"/>
        </w:rPr>
        <w:t xml:space="preserve">FSP FAS No. 107-1 and APB 28-1 Interim Disclosures about Fair Value of Financial Instruments. </w:t>
      </w:r>
      <w:r>
        <w:rPr>
          <w:rFonts w:ascii="Arial" w:cs="Arial" w:eastAsia="Arial" w:hAnsi="Arial"/>
          <w:sz w:val="16"/>
          <w:szCs w:val="16"/>
          <w:color w:val="auto"/>
        </w:rPr>
        <w:t>This FSP extends the annual disclosure requirements of</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SFAS No. 107 </w:t>
      </w:r>
      <w:r>
        <w:rPr>
          <w:rFonts w:ascii="Arial" w:cs="Arial" w:eastAsia="Arial" w:hAnsi="Arial"/>
          <w:sz w:val="16"/>
          <w:szCs w:val="16"/>
          <w:i w:val="1"/>
          <w:iCs w:val="1"/>
          <w:color w:val="auto"/>
        </w:rPr>
        <w:t>Disclosure about Fair Value of Financial Instruments</w:t>
      </w:r>
      <w:r>
        <w:rPr>
          <w:rFonts w:ascii="Arial" w:cs="Arial" w:eastAsia="Arial" w:hAnsi="Arial"/>
          <w:sz w:val="16"/>
          <w:szCs w:val="16"/>
          <w:color w:val="auto"/>
        </w:rPr>
        <w:t xml:space="preserve"> to interim periods for all publicly traded companies. Interim disclosures are required to include the estimated fair value and carrying value of financial instruments, a description of the methods and inputs to estimate fair value as well as any changes in the methods and significant assumptions, if any, during the period. Consequently, our consolidated financial statements for the quarter ended June 30, 2009, will reflect the additional disclosures as required by this FSP.</w:t>
      </w:r>
    </w:p>
    <w:p>
      <w:pPr>
        <w:spacing w:after="0" w:line="177"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NOTE 3</w:t>
      </w:r>
      <w:r>
        <w:rPr>
          <w:sz w:val="20"/>
          <w:szCs w:val="20"/>
          <w:color w:val="auto"/>
        </w:rPr>
        <w:tab/>
      </w:r>
      <w:r>
        <w:rPr>
          <w:rFonts w:ascii="Arial" w:cs="Arial" w:eastAsia="Arial" w:hAnsi="Arial"/>
          <w:sz w:val="16"/>
          <w:szCs w:val="16"/>
          <w:b w:val="1"/>
          <w:bCs w:val="1"/>
          <w:color w:val="auto"/>
        </w:rPr>
        <w:t>FAIR VALUE OF FINANCIAL INSTRUMENTS</w:t>
      </w:r>
    </w:p>
    <w:p>
      <w:pPr>
        <w:spacing w:after="0" w:line="231" w:lineRule="exact"/>
        <w:rPr>
          <w:sz w:val="20"/>
          <w:szCs w:val="20"/>
          <w:color w:val="auto"/>
        </w:rPr>
      </w:pPr>
    </w:p>
    <w:p>
      <w:pPr>
        <w:jc w:val="both"/>
        <w:ind w:firstLine="549"/>
        <w:spacing w:after="0" w:line="254" w:lineRule="auto"/>
        <w:rPr>
          <w:sz w:val="20"/>
          <w:szCs w:val="20"/>
          <w:color w:val="auto"/>
        </w:rPr>
      </w:pPr>
      <w:r>
        <w:rPr>
          <w:rFonts w:ascii="Arial" w:cs="Arial" w:eastAsia="Arial" w:hAnsi="Arial"/>
          <w:sz w:val="18"/>
          <w:szCs w:val="18"/>
          <w:color w:val="auto"/>
        </w:rPr>
        <w:t>SFAS No. 157 establishes a fair value hierarchy that maximizes the use of observable inputs and minimizes the use of unobservable inputs. Observable inputs are inputs that reflect the assumptions market participants would use in pricing the asset or liability developed based on market data obtained from sources independent of the reporting entity. Unobservable inputs are inputs that reflect the reporting entity’s own assumptions about the assumptions market participants would use in pricing the asset or liability developed based on the best information available in the circumstances. The fair value hierarchy prioritizes the inputs to valuation techniques into three broad levels whereby the highest priority is given to Level 1 inputs and the lowest to Level 3 inputs. The three broad categories are:</w:t>
      </w:r>
    </w:p>
    <w:p>
      <w:pPr>
        <w:spacing w:after="0" w:line="212" w:lineRule="exact"/>
        <w:rPr>
          <w:sz w:val="20"/>
          <w:szCs w:val="20"/>
          <w:color w:val="auto"/>
        </w:rPr>
      </w:pPr>
    </w:p>
    <w:p>
      <w:pPr>
        <w:ind w:left="580"/>
        <w:spacing w:after="0"/>
        <w:tabs>
          <w:tab w:leader="none" w:pos="170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6"/>
          <w:szCs w:val="16"/>
          <w:color w:val="auto"/>
        </w:rPr>
        <w:t>Quoted prices in active markets for identical assets or liabilities.</w:t>
      </w:r>
    </w:p>
    <w:p>
      <w:pPr>
        <w:spacing w:after="0" w:line="158" w:lineRule="exact"/>
        <w:rPr>
          <w:sz w:val="20"/>
          <w:szCs w:val="20"/>
          <w:color w:val="auto"/>
        </w:rPr>
      </w:pPr>
    </w:p>
    <w:p>
      <w:pPr>
        <w:ind w:left="1720" w:hanging="1133"/>
        <w:spacing w:after="0" w:line="268" w:lineRule="auto"/>
        <w:tabs>
          <w:tab w:leader="none" w:pos="170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8"/>
          <w:szCs w:val="18"/>
          <w:color w:val="auto"/>
        </w:rPr>
        <w:t>Inputs other than quoted prices that are observable for the asset or liability, either directly or indirectly for substantially the full term of the financial instrument.</w:t>
      </w:r>
    </w:p>
    <w:p>
      <w:pPr>
        <w:spacing w:after="0" w:line="118" w:lineRule="exact"/>
        <w:rPr>
          <w:sz w:val="20"/>
          <w:szCs w:val="20"/>
          <w:color w:val="auto"/>
        </w:rPr>
      </w:pPr>
    </w:p>
    <w:p>
      <w:pPr>
        <w:ind w:left="580"/>
        <w:spacing w:after="0"/>
        <w:tabs>
          <w:tab w:leader="none" w:pos="170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6"/>
          <w:szCs w:val="16"/>
          <w:color w:val="auto"/>
        </w:rPr>
        <w:t>Unobservable inputs for the asset or liability.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 w:name="page14"/>
    <w:bookmarkEnd w:id="13"/>
    <w:p>
      <w:pPr>
        <w:jc w:val="both"/>
        <w:ind w:firstLine="524"/>
        <w:spacing w:after="0" w:line="259" w:lineRule="auto"/>
        <w:rPr>
          <w:sz w:val="20"/>
          <w:szCs w:val="20"/>
          <w:color w:val="auto"/>
        </w:rPr>
      </w:pPr>
      <w:r>
        <w:rPr>
          <w:rFonts w:ascii="Arial" w:cs="Arial" w:eastAsia="Arial" w:hAnsi="Arial"/>
          <w:sz w:val="18"/>
          <w:szCs w:val="18"/>
          <w:color w:val="auto"/>
        </w:rPr>
        <w:t>Where available, we utilize quoted market prices or observable inputs rather than unobservable inputs to determine fair value. We classify assets in their entirety based on the lowest level of input that is significant to the fair value measurement. The following table sets forth assets and liabilities measured at fair value at March 31, 2009, categorized by input level within the fair value hierarchy:</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gridSpan w:val="2"/>
          </w:tcPr>
          <w:p>
            <w:pPr>
              <w:jc w:val="right"/>
              <w:ind w:right="440"/>
              <w:spacing w:after="0"/>
              <w:rPr>
                <w:sz w:val="20"/>
                <w:szCs w:val="20"/>
                <w:color w:val="auto"/>
              </w:rPr>
            </w:pPr>
            <w:r>
              <w:rPr>
                <w:rFonts w:ascii="Arial" w:cs="Arial" w:eastAsia="Arial" w:hAnsi="Arial"/>
                <w:sz w:val="18"/>
                <w:szCs w:val="18"/>
                <w:color w:val="auto"/>
                <w:w w:val="89"/>
              </w:rPr>
              <w:t>Carrying value</w:t>
            </w:r>
          </w:p>
        </w:tc>
        <w:tc>
          <w:tcPr>
            <w:tcW w:w="220" w:type="dxa"/>
            <w:vAlign w:val="bottom"/>
          </w:tcPr>
          <w:p>
            <w:pPr>
              <w:spacing w:after="0"/>
              <w:rPr>
                <w:sz w:val="19"/>
                <w:szCs w:val="19"/>
                <w:color w:val="auto"/>
              </w:rPr>
            </w:pPr>
          </w:p>
        </w:tc>
        <w:tc>
          <w:tcPr>
            <w:tcW w:w="1240" w:type="dxa"/>
            <w:vAlign w:val="bottom"/>
            <w:gridSpan w:val="2"/>
          </w:tcPr>
          <w:p>
            <w:pPr>
              <w:jc w:val="right"/>
              <w:ind w:right="560"/>
              <w:spacing w:after="0"/>
              <w:rPr>
                <w:sz w:val="20"/>
                <w:szCs w:val="20"/>
                <w:color w:val="auto"/>
              </w:rPr>
            </w:pPr>
            <w:r>
              <w:rPr>
                <w:rFonts w:ascii="Arial" w:cs="Arial" w:eastAsia="Arial" w:hAnsi="Arial"/>
                <w:sz w:val="18"/>
                <w:szCs w:val="18"/>
                <w:color w:val="auto"/>
              </w:rPr>
              <w:t>Level 1</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gridSpan w:val="2"/>
          </w:tcPr>
          <w:p>
            <w:pPr>
              <w:ind w:left="140"/>
              <w:spacing w:after="0"/>
              <w:rPr>
                <w:sz w:val="20"/>
                <w:szCs w:val="20"/>
                <w:color w:val="auto"/>
              </w:rPr>
            </w:pPr>
            <w:r>
              <w:rPr>
                <w:rFonts w:ascii="Arial" w:cs="Arial" w:eastAsia="Arial" w:hAnsi="Arial"/>
                <w:sz w:val="18"/>
                <w:szCs w:val="18"/>
                <w:color w:val="auto"/>
              </w:rPr>
              <w:t>Level 2</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ind w:right="292"/>
              <w:spacing w:after="0"/>
              <w:rPr>
                <w:sz w:val="20"/>
                <w:szCs w:val="20"/>
                <w:color w:val="auto"/>
              </w:rPr>
            </w:pPr>
            <w:r>
              <w:rPr>
                <w:rFonts w:ascii="Arial" w:cs="Arial" w:eastAsia="Arial" w:hAnsi="Arial"/>
                <w:sz w:val="18"/>
                <w:szCs w:val="18"/>
                <w:color w:val="auto"/>
              </w:rPr>
              <w:t>Level 3</w:t>
            </w:r>
          </w:p>
        </w:tc>
        <w:tc>
          <w:tcPr>
            <w:tcW w:w="120" w:type="dxa"/>
            <w:vAlign w:val="bottom"/>
          </w:tcPr>
          <w:p>
            <w:pPr>
              <w:spacing w:after="0"/>
              <w:rPr>
                <w:sz w:val="19"/>
                <w:szCs w:val="19"/>
                <w:color w:val="auto"/>
              </w:rPr>
            </w:pPr>
          </w:p>
        </w:tc>
      </w:tr>
      <w:tr>
        <w:trPr>
          <w:trHeight w:val="245"/>
        </w:trPr>
        <w:tc>
          <w:tcPr>
            <w:tcW w:w="520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spacing w:after="0"/>
              <w:rPr>
                <w:sz w:val="21"/>
                <w:szCs w:val="21"/>
                <w:color w:val="auto"/>
              </w:rPr>
            </w:pPr>
          </w:p>
        </w:tc>
        <w:tc>
          <w:tcPr>
            <w:tcW w:w="34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r>
      <w:tr>
        <w:trPr>
          <w:trHeight w:val="210"/>
        </w:trPr>
        <w:tc>
          <w:tcPr>
            <w:tcW w:w="5200" w:type="dxa"/>
            <w:vAlign w:val="bottom"/>
            <w:shd w:val="clear" w:color="auto" w:fill="EAF9E8"/>
          </w:tcPr>
          <w:p>
            <w:pPr>
              <w:spacing w:after="0"/>
              <w:rPr>
                <w:sz w:val="20"/>
                <w:szCs w:val="20"/>
                <w:color w:val="auto"/>
              </w:rPr>
            </w:pPr>
            <w:r>
              <w:rPr>
                <w:rFonts w:ascii="Arial" w:cs="Arial" w:eastAsia="Arial" w:hAnsi="Arial"/>
                <w:sz w:val="18"/>
                <w:szCs w:val="18"/>
                <w:i w:val="1"/>
                <w:iCs w:val="1"/>
                <w:color w:val="auto"/>
              </w:rPr>
              <w:t>Measured at fair value on a recurring basis:</w:t>
            </w:r>
          </w:p>
        </w:tc>
        <w:tc>
          <w:tcPr>
            <w:tcW w:w="100" w:type="dxa"/>
            <w:vAlign w:val="bottom"/>
            <w:shd w:val="clear" w:color="auto" w:fill="EAF9E8"/>
          </w:tcPr>
          <w:p>
            <w:pPr>
              <w:spacing w:after="0"/>
              <w:rPr>
                <w:sz w:val="18"/>
                <w:szCs w:val="18"/>
                <w:color w:val="auto"/>
              </w:rPr>
            </w:pPr>
          </w:p>
        </w:tc>
        <w:tc>
          <w:tcPr>
            <w:tcW w:w="116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06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104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06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r>
      <w:tr>
        <w:trPr>
          <w:trHeight w:val="216"/>
        </w:trPr>
        <w:tc>
          <w:tcPr>
            <w:tcW w:w="5200" w:type="dxa"/>
            <w:vAlign w:val="bottom"/>
          </w:tcPr>
          <w:p>
            <w:pPr>
              <w:ind w:left="160"/>
              <w:spacing w:after="0"/>
              <w:rPr>
                <w:sz w:val="20"/>
                <w:szCs w:val="20"/>
                <w:color w:val="auto"/>
              </w:rPr>
            </w:pPr>
            <w:r>
              <w:rPr>
                <w:rFonts w:ascii="Arial" w:cs="Arial" w:eastAsia="Arial" w:hAnsi="Arial"/>
                <w:sz w:val="18"/>
                <w:szCs w:val="18"/>
                <w:color w:val="auto"/>
              </w:rPr>
              <w:t>Trading securities (1):</w:t>
            </w: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200" w:type="dxa"/>
            <w:vAlign w:val="bottom"/>
            <w:shd w:val="clear" w:color="auto" w:fill="EAF9E8"/>
          </w:tcPr>
          <w:p>
            <w:pPr>
              <w:ind w:left="320"/>
              <w:spacing w:after="0"/>
              <w:rPr>
                <w:sz w:val="20"/>
                <w:szCs w:val="20"/>
                <w:color w:val="auto"/>
              </w:rPr>
            </w:pPr>
            <w:r>
              <w:rPr>
                <w:rFonts w:ascii="Arial" w:cs="Arial" w:eastAsia="Arial" w:hAnsi="Arial"/>
                <w:sz w:val="18"/>
                <w:szCs w:val="18"/>
                <w:color w:val="auto"/>
              </w:rPr>
              <w:t>Investment grade auction rate</w:t>
            </w:r>
          </w:p>
        </w:tc>
        <w:tc>
          <w:tcPr>
            <w:tcW w:w="100" w:type="dxa"/>
            <w:vAlign w:val="bottom"/>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gridSpan w:val="2"/>
            <w:shd w:val="clear" w:color="auto" w:fill="EAF9E8"/>
          </w:tcPr>
          <w:p>
            <w:pPr>
              <w:jc w:val="right"/>
              <w:ind w:right="340"/>
              <w:spacing w:after="0"/>
              <w:rPr>
                <w:sz w:val="20"/>
                <w:szCs w:val="20"/>
                <w:color w:val="auto"/>
              </w:rPr>
            </w:pPr>
            <w:r>
              <w:rPr>
                <w:rFonts w:ascii="Arial" w:cs="Arial" w:eastAsia="Arial" w:hAnsi="Arial"/>
                <w:sz w:val="18"/>
                <w:szCs w:val="18"/>
                <w:color w:val="auto"/>
              </w:rPr>
              <w:t>238,161</w:t>
            </w:r>
          </w:p>
        </w:tc>
        <w:tc>
          <w:tcPr>
            <w:tcW w:w="220" w:type="dxa"/>
            <w:vAlign w:val="bottom"/>
            <w:shd w:val="clear" w:color="auto" w:fill="EAF9E8"/>
          </w:tcPr>
          <w:p>
            <w:pPr>
              <w:jc w:val="right"/>
              <w:ind w:right="63"/>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EAF9E8"/>
          </w:tcPr>
          <w:p>
            <w:pPr>
              <w:ind w:left="86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w:t>
            </w:r>
          </w:p>
        </w:tc>
        <w:tc>
          <w:tcPr>
            <w:tcW w:w="10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238,161</w:t>
            </w:r>
          </w:p>
        </w:tc>
        <w:tc>
          <w:tcPr>
            <w:tcW w:w="120" w:type="dxa"/>
            <w:vAlign w:val="bottom"/>
            <w:shd w:val="clear" w:color="auto" w:fill="EAF9E8"/>
          </w:tcPr>
          <w:p>
            <w:pPr>
              <w:spacing w:after="0"/>
              <w:rPr>
                <w:sz w:val="18"/>
                <w:szCs w:val="18"/>
                <w:color w:val="auto"/>
              </w:rPr>
            </w:pPr>
          </w:p>
        </w:tc>
      </w:tr>
      <w:tr>
        <w:trPr>
          <w:trHeight w:val="216"/>
        </w:trPr>
        <w:tc>
          <w:tcPr>
            <w:tcW w:w="5200" w:type="dxa"/>
            <w:vAlign w:val="bottom"/>
          </w:tcPr>
          <w:p>
            <w:pPr>
              <w:ind w:left="320"/>
              <w:spacing w:after="0"/>
              <w:rPr>
                <w:sz w:val="20"/>
                <w:szCs w:val="20"/>
                <w:color w:val="auto"/>
              </w:rPr>
            </w:pPr>
            <w:r>
              <w:rPr>
                <w:rFonts w:ascii="Arial" w:cs="Arial" w:eastAsia="Arial" w:hAnsi="Arial"/>
                <w:sz w:val="18"/>
                <w:szCs w:val="18"/>
                <w:color w:val="auto"/>
              </w:rPr>
              <w:t>Subordinates and residuals</w:t>
            </w:r>
          </w:p>
        </w:tc>
        <w:tc>
          <w:tcPr>
            <w:tcW w:w="100" w:type="dxa"/>
            <w:vAlign w:val="bottom"/>
          </w:tcPr>
          <w:p>
            <w:pPr>
              <w:spacing w:after="0"/>
              <w:rPr>
                <w:sz w:val="18"/>
                <w:szCs w:val="18"/>
                <w:color w:val="auto"/>
              </w:rPr>
            </w:pPr>
          </w:p>
        </w:tc>
        <w:tc>
          <w:tcPr>
            <w:tcW w:w="1500" w:type="dxa"/>
            <w:vAlign w:val="bottom"/>
            <w:gridSpan w:val="2"/>
          </w:tcPr>
          <w:p>
            <w:pPr>
              <w:jc w:val="right"/>
              <w:ind w:right="340"/>
              <w:spacing w:after="0"/>
              <w:rPr>
                <w:sz w:val="20"/>
                <w:szCs w:val="20"/>
                <w:color w:val="auto"/>
              </w:rPr>
            </w:pPr>
            <w:r>
              <w:rPr>
                <w:rFonts w:ascii="Arial" w:cs="Arial" w:eastAsia="Arial" w:hAnsi="Arial"/>
                <w:sz w:val="18"/>
                <w:szCs w:val="18"/>
                <w:color w:val="auto"/>
              </w:rPr>
              <w:t>4,028</w:t>
            </w:r>
          </w:p>
        </w:tc>
        <w:tc>
          <w:tcPr>
            <w:tcW w:w="22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4,028</w:t>
            </w:r>
          </w:p>
        </w:tc>
        <w:tc>
          <w:tcPr>
            <w:tcW w:w="120" w:type="dxa"/>
            <w:vAlign w:val="bottom"/>
          </w:tcPr>
          <w:p>
            <w:pPr>
              <w:spacing w:after="0"/>
              <w:rPr>
                <w:sz w:val="18"/>
                <w:szCs w:val="18"/>
                <w:color w:val="auto"/>
              </w:rPr>
            </w:pPr>
          </w:p>
        </w:tc>
      </w:tr>
      <w:tr>
        <w:trPr>
          <w:trHeight w:val="216"/>
        </w:trPr>
        <w:tc>
          <w:tcPr>
            <w:tcW w:w="5200" w:type="dxa"/>
            <w:vAlign w:val="bottom"/>
            <w:shd w:val="clear" w:color="auto" w:fill="EAF9E8"/>
          </w:tcPr>
          <w:p>
            <w:pPr>
              <w:ind w:left="160"/>
              <w:spacing w:after="0"/>
              <w:rPr>
                <w:sz w:val="20"/>
                <w:szCs w:val="20"/>
                <w:color w:val="auto"/>
              </w:rPr>
            </w:pPr>
            <w:r>
              <w:rPr>
                <w:rFonts w:ascii="Arial" w:cs="Arial" w:eastAsia="Arial" w:hAnsi="Arial"/>
                <w:sz w:val="18"/>
                <w:szCs w:val="18"/>
                <w:color w:val="auto"/>
              </w:rPr>
              <w:t>Derivative financial instruments, net (2)</w:t>
            </w:r>
          </w:p>
        </w:tc>
        <w:tc>
          <w:tcPr>
            <w:tcW w:w="100" w:type="dxa"/>
            <w:vAlign w:val="bottom"/>
            <w:shd w:val="clear" w:color="auto" w:fill="EAF9E8"/>
          </w:tcPr>
          <w:p>
            <w:pPr>
              <w:spacing w:after="0"/>
              <w:rPr>
                <w:sz w:val="18"/>
                <w:szCs w:val="18"/>
                <w:color w:val="auto"/>
              </w:rPr>
            </w:pPr>
          </w:p>
        </w:tc>
        <w:tc>
          <w:tcPr>
            <w:tcW w:w="1500" w:type="dxa"/>
            <w:vAlign w:val="bottom"/>
            <w:gridSpan w:val="2"/>
            <w:shd w:val="clear" w:color="auto" w:fill="EAF9E8"/>
          </w:tcPr>
          <w:p>
            <w:pPr>
              <w:jc w:val="right"/>
              <w:ind w:right="340"/>
              <w:spacing w:after="0"/>
              <w:rPr>
                <w:sz w:val="20"/>
                <w:szCs w:val="20"/>
                <w:color w:val="auto"/>
              </w:rPr>
            </w:pPr>
            <w:r>
              <w:rPr>
                <w:rFonts w:ascii="Arial" w:cs="Arial" w:eastAsia="Arial" w:hAnsi="Arial"/>
                <w:sz w:val="18"/>
                <w:szCs w:val="18"/>
                <w:color w:val="auto"/>
              </w:rPr>
              <w:t>8</w:t>
            </w:r>
          </w:p>
        </w:tc>
        <w:tc>
          <w:tcPr>
            <w:tcW w:w="220" w:type="dxa"/>
            <w:vAlign w:val="bottom"/>
            <w:shd w:val="clear" w:color="auto" w:fill="EAF9E8"/>
          </w:tcPr>
          <w:p>
            <w:pPr>
              <w:spacing w:after="0"/>
              <w:rPr>
                <w:sz w:val="18"/>
                <w:szCs w:val="18"/>
                <w:color w:val="auto"/>
              </w:rPr>
            </w:pPr>
          </w:p>
        </w:tc>
        <w:tc>
          <w:tcPr>
            <w:tcW w:w="124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(347)</w:t>
            </w:r>
          </w:p>
        </w:tc>
        <w:tc>
          <w:tcPr>
            <w:tcW w:w="14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1200" w:type="dxa"/>
            <w:vAlign w:val="bottom"/>
            <w:gridSpan w:val="2"/>
            <w:shd w:val="clear" w:color="auto" w:fill="EAF9E8"/>
          </w:tcPr>
          <w:p>
            <w:pPr>
              <w:ind w:left="860"/>
              <w:spacing w:after="0"/>
              <w:rPr>
                <w:sz w:val="20"/>
                <w:szCs w:val="20"/>
                <w:color w:val="auto"/>
              </w:rPr>
            </w:pPr>
            <w:r>
              <w:rPr>
                <w:rFonts w:ascii="Arial" w:cs="Arial" w:eastAsia="Arial" w:hAnsi="Arial"/>
                <w:sz w:val="18"/>
                <w:szCs w:val="18"/>
                <w:color w:val="auto"/>
              </w:rPr>
              <w:t>—</w:t>
            </w:r>
          </w:p>
        </w:tc>
        <w:tc>
          <w:tcPr>
            <w:tcW w:w="18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0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355</w:t>
            </w:r>
          </w:p>
        </w:tc>
        <w:tc>
          <w:tcPr>
            <w:tcW w:w="120" w:type="dxa"/>
            <w:vAlign w:val="bottom"/>
            <w:shd w:val="clear" w:color="auto" w:fill="EAF9E8"/>
          </w:tcPr>
          <w:p>
            <w:pPr>
              <w:spacing w:after="0"/>
              <w:rPr>
                <w:sz w:val="18"/>
                <w:szCs w:val="18"/>
                <w:color w:val="auto"/>
              </w:rPr>
            </w:pPr>
          </w:p>
        </w:tc>
      </w:tr>
      <w:tr>
        <w:trPr>
          <w:trHeight w:val="216"/>
        </w:trPr>
        <w:tc>
          <w:tcPr>
            <w:tcW w:w="5200" w:type="dxa"/>
            <w:vAlign w:val="bottom"/>
          </w:tcPr>
          <w:p>
            <w:pPr>
              <w:spacing w:after="0"/>
              <w:rPr>
                <w:sz w:val="20"/>
                <w:szCs w:val="20"/>
                <w:color w:val="auto"/>
              </w:rPr>
            </w:pPr>
            <w:r>
              <w:rPr>
                <w:rFonts w:ascii="Arial" w:cs="Arial" w:eastAsia="Arial" w:hAnsi="Arial"/>
                <w:sz w:val="18"/>
                <w:szCs w:val="18"/>
                <w:i w:val="1"/>
                <w:iCs w:val="1"/>
                <w:color w:val="auto"/>
              </w:rPr>
              <w:t>Measured at fair value on a non-recurring basis:</w:t>
            </w: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200" w:type="dxa"/>
            <w:vAlign w:val="bottom"/>
            <w:shd w:val="clear" w:color="auto" w:fill="EAF9E8"/>
          </w:tcPr>
          <w:p>
            <w:pPr>
              <w:ind w:left="160"/>
              <w:spacing w:after="0"/>
              <w:rPr>
                <w:sz w:val="20"/>
                <w:szCs w:val="20"/>
                <w:color w:val="auto"/>
              </w:rPr>
            </w:pPr>
            <w:r>
              <w:rPr>
                <w:rFonts w:ascii="Arial" w:cs="Arial" w:eastAsia="Arial" w:hAnsi="Arial"/>
                <w:sz w:val="18"/>
                <w:szCs w:val="18"/>
                <w:color w:val="auto"/>
              </w:rPr>
              <w:t>Loans held for resale (3)</w:t>
            </w:r>
          </w:p>
        </w:tc>
        <w:tc>
          <w:tcPr>
            <w:tcW w:w="100" w:type="dxa"/>
            <w:vAlign w:val="bottom"/>
            <w:shd w:val="clear" w:color="auto" w:fill="EAF9E8"/>
          </w:tcPr>
          <w:p>
            <w:pPr>
              <w:spacing w:after="0"/>
              <w:rPr>
                <w:sz w:val="18"/>
                <w:szCs w:val="18"/>
                <w:color w:val="auto"/>
              </w:rPr>
            </w:pPr>
          </w:p>
        </w:tc>
        <w:tc>
          <w:tcPr>
            <w:tcW w:w="1500" w:type="dxa"/>
            <w:vAlign w:val="bottom"/>
            <w:gridSpan w:val="2"/>
            <w:shd w:val="clear" w:color="auto" w:fill="EAF9E8"/>
          </w:tcPr>
          <w:p>
            <w:pPr>
              <w:jc w:val="right"/>
              <w:ind w:right="340"/>
              <w:spacing w:after="0"/>
              <w:rPr>
                <w:sz w:val="20"/>
                <w:szCs w:val="20"/>
                <w:color w:val="auto"/>
              </w:rPr>
            </w:pPr>
            <w:r>
              <w:rPr>
                <w:rFonts w:ascii="Arial" w:cs="Arial" w:eastAsia="Arial" w:hAnsi="Arial"/>
                <w:sz w:val="18"/>
                <w:szCs w:val="18"/>
                <w:color w:val="auto"/>
              </w:rPr>
              <w:t>44,670</w:t>
            </w:r>
          </w:p>
        </w:tc>
        <w:tc>
          <w:tcPr>
            <w:tcW w:w="220" w:type="dxa"/>
            <w:vAlign w:val="bottom"/>
            <w:shd w:val="clear" w:color="auto" w:fill="EAF9E8"/>
          </w:tcPr>
          <w:p>
            <w:pPr>
              <w:spacing w:after="0"/>
              <w:rPr>
                <w:sz w:val="18"/>
                <w:szCs w:val="18"/>
                <w:color w:val="auto"/>
              </w:rPr>
            </w:pPr>
          </w:p>
        </w:tc>
        <w:tc>
          <w:tcPr>
            <w:tcW w:w="124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1200" w:type="dxa"/>
            <w:vAlign w:val="bottom"/>
            <w:gridSpan w:val="2"/>
            <w:shd w:val="clear" w:color="auto" w:fill="EAF9E8"/>
          </w:tcPr>
          <w:p>
            <w:pPr>
              <w:ind w:left="860"/>
              <w:spacing w:after="0"/>
              <w:rPr>
                <w:sz w:val="20"/>
                <w:szCs w:val="20"/>
                <w:color w:val="auto"/>
              </w:rPr>
            </w:pPr>
            <w:r>
              <w:rPr>
                <w:rFonts w:ascii="Arial" w:cs="Arial" w:eastAsia="Arial" w:hAnsi="Arial"/>
                <w:sz w:val="18"/>
                <w:szCs w:val="18"/>
                <w:color w:val="auto"/>
              </w:rPr>
              <w:t>—</w:t>
            </w:r>
          </w:p>
        </w:tc>
        <w:tc>
          <w:tcPr>
            <w:tcW w:w="18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0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44,670</w:t>
            </w:r>
          </w:p>
        </w:tc>
        <w:tc>
          <w:tcPr>
            <w:tcW w:w="120" w:type="dxa"/>
            <w:vAlign w:val="bottom"/>
            <w:shd w:val="clear" w:color="auto" w:fill="EAF9E8"/>
          </w:tcPr>
          <w:p>
            <w:pPr>
              <w:spacing w:after="0"/>
              <w:rPr>
                <w:sz w:val="18"/>
                <w:szCs w:val="18"/>
                <w:color w:val="auto"/>
              </w:rPr>
            </w:pPr>
          </w:p>
        </w:tc>
      </w:tr>
      <w:tr>
        <w:trPr>
          <w:trHeight w:val="216"/>
        </w:trPr>
        <w:tc>
          <w:tcPr>
            <w:tcW w:w="5200" w:type="dxa"/>
            <w:vAlign w:val="bottom"/>
          </w:tcPr>
          <w:p>
            <w:pPr>
              <w:ind w:left="160"/>
              <w:spacing w:after="0"/>
              <w:rPr>
                <w:sz w:val="20"/>
                <w:szCs w:val="20"/>
                <w:color w:val="auto"/>
              </w:rPr>
            </w:pPr>
            <w:r>
              <w:rPr>
                <w:rFonts w:ascii="Arial" w:cs="Arial" w:eastAsia="Arial" w:hAnsi="Arial"/>
                <w:sz w:val="18"/>
                <w:szCs w:val="18"/>
                <w:color w:val="auto"/>
              </w:rPr>
              <w:t>Mortgage servicing rights (4)</w:t>
            </w:r>
          </w:p>
        </w:tc>
        <w:tc>
          <w:tcPr>
            <w:tcW w:w="100" w:type="dxa"/>
            <w:vAlign w:val="bottom"/>
          </w:tcPr>
          <w:p>
            <w:pPr>
              <w:spacing w:after="0"/>
              <w:rPr>
                <w:sz w:val="18"/>
                <w:szCs w:val="18"/>
                <w:color w:val="auto"/>
              </w:rPr>
            </w:pPr>
          </w:p>
        </w:tc>
        <w:tc>
          <w:tcPr>
            <w:tcW w:w="15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r>
      <w:tr>
        <w:trPr>
          <w:trHeight w:val="216"/>
        </w:trPr>
        <w:tc>
          <w:tcPr>
            <w:tcW w:w="5200" w:type="dxa"/>
            <w:vAlign w:val="bottom"/>
            <w:shd w:val="clear" w:color="auto" w:fill="EAF9E8"/>
          </w:tcPr>
          <w:p>
            <w:pPr>
              <w:ind w:left="160"/>
              <w:spacing w:after="0"/>
              <w:rPr>
                <w:sz w:val="20"/>
                <w:szCs w:val="20"/>
                <w:color w:val="auto"/>
              </w:rPr>
            </w:pPr>
            <w:r>
              <w:rPr>
                <w:rFonts w:ascii="Arial" w:cs="Arial" w:eastAsia="Arial" w:hAnsi="Arial"/>
                <w:sz w:val="18"/>
                <w:szCs w:val="18"/>
                <w:color w:val="auto"/>
              </w:rPr>
              <w:t>Lines of credit and other secured borrowings (5)</w:t>
            </w:r>
          </w:p>
        </w:tc>
        <w:tc>
          <w:tcPr>
            <w:tcW w:w="100" w:type="dxa"/>
            <w:vAlign w:val="bottom"/>
            <w:shd w:val="clear" w:color="auto" w:fill="EAF9E8"/>
          </w:tcPr>
          <w:p>
            <w:pPr>
              <w:spacing w:after="0"/>
              <w:rPr>
                <w:sz w:val="18"/>
                <w:szCs w:val="18"/>
                <w:color w:val="auto"/>
              </w:rPr>
            </w:pPr>
          </w:p>
        </w:tc>
        <w:tc>
          <w:tcPr>
            <w:tcW w:w="1500" w:type="dxa"/>
            <w:vAlign w:val="bottom"/>
            <w:gridSpan w:val="2"/>
            <w:shd w:val="clear" w:color="auto" w:fill="EAF9E8"/>
          </w:tcPr>
          <w:p>
            <w:pPr>
              <w:jc w:val="right"/>
              <w:ind w:right="340"/>
              <w:spacing w:after="0"/>
              <w:rPr>
                <w:sz w:val="20"/>
                <w:szCs w:val="20"/>
                <w:color w:val="auto"/>
              </w:rPr>
            </w:pPr>
            <w:r>
              <w:rPr>
                <w:rFonts w:ascii="Arial" w:cs="Arial" w:eastAsia="Arial" w:hAnsi="Arial"/>
                <w:sz w:val="18"/>
                <w:szCs w:val="18"/>
                <w:color w:val="auto"/>
              </w:rPr>
              <w:t>45,373</w:t>
            </w:r>
          </w:p>
        </w:tc>
        <w:tc>
          <w:tcPr>
            <w:tcW w:w="220" w:type="dxa"/>
            <w:vAlign w:val="bottom"/>
            <w:shd w:val="clear" w:color="auto" w:fill="EAF9E8"/>
          </w:tcPr>
          <w:p>
            <w:pPr>
              <w:spacing w:after="0"/>
              <w:rPr>
                <w:sz w:val="18"/>
                <w:szCs w:val="18"/>
                <w:color w:val="auto"/>
              </w:rPr>
            </w:pPr>
          </w:p>
        </w:tc>
        <w:tc>
          <w:tcPr>
            <w:tcW w:w="124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1200" w:type="dxa"/>
            <w:vAlign w:val="bottom"/>
            <w:gridSpan w:val="2"/>
            <w:shd w:val="clear" w:color="auto" w:fill="EAF9E8"/>
          </w:tcPr>
          <w:p>
            <w:pPr>
              <w:ind w:left="860"/>
              <w:spacing w:after="0"/>
              <w:rPr>
                <w:sz w:val="20"/>
                <w:szCs w:val="20"/>
                <w:color w:val="auto"/>
              </w:rPr>
            </w:pPr>
            <w:r>
              <w:rPr>
                <w:rFonts w:ascii="Arial" w:cs="Arial" w:eastAsia="Arial" w:hAnsi="Arial"/>
                <w:sz w:val="18"/>
                <w:szCs w:val="18"/>
                <w:color w:val="auto"/>
              </w:rPr>
              <w:t>—</w:t>
            </w:r>
          </w:p>
        </w:tc>
        <w:tc>
          <w:tcPr>
            <w:tcW w:w="18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0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45,373</w:t>
            </w:r>
          </w:p>
        </w:tc>
        <w:tc>
          <w:tcPr>
            <w:tcW w:w="120" w:type="dxa"/>
            <w:vAlign w:val="bottom"/>
            <w:shd w:val="clear" w:color="auto" w:fill="EAF9E8"/>
          </w:tcPr>
          <w:p>
            <w:pPr>
              <w:spacing w:after="0"/>
              <w:rPr>
                <w:sz w:val="18"/>
                <w:szCs w:val="18"/>
                <w:color w:val="auto"/>
              </w:rPr>
            </w:pPr>
          </w:p>
        </w:tc>
      </w:tr>
    </w:tbl>
    <w:p>
      <w:pPr>
        <w:spacing w:after="0" w:line="248" w:lineRule="exact"/>
        <w:rPr>
          <w:sz w:val="20"/>
          <w:szCs w:val="20"/>
          <w:color w:val="auto"/>
        </w:rPr>
      </w:pPr>
    </w:p>
    <w:p>
      <w:pPr>
        <w:ind w:left="580" w:hanging="572"/>
        <w:spacing w:after="0" w:line="254" w:lineRule="auto"/>
        <w:tabs>
          <w:tab w:leader="none" w:pos="580" w:val="left"/>
        </w:tabs>
        <w:numPr>
          <w:ilvl w:val="0"/>
          <w:numId w:val="7"/>
        </w:numPr>
        <w:rPr>
          <w:rFonts w:ascii="Arial" w:cs="Arial" w:eastAsia="Arial" w:hAnsi="Arial"/>
          <w:sz w:val="18"/>
          <w:szCs w:val="18"/>
          <w:color w:val="auto"/>
        </w:rPr>
      </w:pPr>
      <w:r>
        <w:rPr>
          <w:rFonts w:ascii="Arial" w:cs="Arial" w:eastAsia="Arial" w:hAnsi="Arial"/>
          <w:sz w:val="18"/>
          <w:szCs w:val="18"/>
          <w:color w:val="auto"/>
        </w:rPr>
        <w:t>Because our internal valuation model requires significant use of unobservable inputs, we classified these securities within Level 3 of the fair value hierarchy.</w:t>
      </w:r>
    </w:p>
    <w:p>
      <w:pPr>
        <w:jc w:val="both"/>
        <w:ind w:left="580" w:hanging="572"/>
        <w:spacing w:after="0" w:line="250" w:lineRule="auto"/>
        <w:tabs>
          <w:tab w:leader="none" w:pos="58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Derivative financial instruments consist of interest rate caps that we use to protect against our exposure to rising interest rates on two of our match funded variable funding notes and foreign currency futures contracts that we use to hedge our net investment in Bankhaus Oswald Kruber GmbH &amp; Co. KG (BOK), our wholly-owned German banking subsidiary, against adverse changes in the value of the Euro versus the U.S. Dollar. We classified the interest rate caps within Level 3 of the fair value hierarchy and the futures contracts within Level 1. See Note 18 for additional information on our derivative financial instruments.</w:t>
      </w:r>
    </w:p>
    <w:p>
      <w:pPr>
        <w:spacing w:after="0" w:line="2" w:lineRule="exact"/>
        <w:rPr>
          <w:rFonts w:ascii="Arial" w:cs="Arial" w:eastAsia="Arial" w:hAnsi="Arial"/>
          <w:sz w:val="18"/>
          <w:szCs w:val="18"/>
          <w:color w:val="auto"/>
        </w:rPr>
      </w:pPr>
    </w:p>
    <w:p>
      <w:pPr>
        <w:jc w:val="both"/>
        <w:ind w:left="580" w:hanging="572"/>
        <w:spacing w:after="0" w:line="250" w:lineRule="auto"/>
        <w:tabs>
          <w:tab w:leader="none" w:pos="580" w:val="left"/>
        </w:tabs>
        <w:numPr>
          <w:ilvl w:val="0"/>
          <w:numId w:val="7"/>
        </w:numPr>
        <w:rPr>
          <w:rFonts w:ascii="Arial" w:cs="Arial" w:eastAsia="Arial" w:hAnsi="Arial"/>
          <w:sz w:val="18"/>
          <w:szCs w:val="18"/>
          <w:color w:val="auto"/>
        </w:rPr>
      </w:pPr>
      <w:r>
        <w:rPr>
          <w:rFonts w:ascii="Arial" w:cs="Arial" w:eastAsia="Arial" w:hAnsi="Arial"/>
          <w:sz w:val="18"/>
          <w:szCs w:val="18"/>
          <w:color w:val="auto"/>
        </w:rPr>
        <w:t>Loans held for resale are measured at fair value on a non-recurring basis. At March 31, 2009, the carrying value of loans held for resale is net of a valuation allowance of $18,166. Current market illiquidity has reduced the availability of observable pricing data. Consequently, we classify these loans within level 3 of the fair value hierarchy.</w:t>
      </w:r>
    </w:p>
    <w:p>
      <w:pPr>
        <w:spacing w:after="0" w:line="1" w:lineRule="exact"/>
        <w:rPr>
          <w:rFonts w:ascii="Arial" w:cs="Arial" w:eastAsia="Arial" w:hAnsi="Arial"/>
          <w:sz w:val="18"/>
          <w:szCs w:val="18"/>
          <w:color w:val="auto"/>
        </w:rPr>
      </w:pPr>
    </w:p>
    <w:p>
      <w:pPr>
        <w:jc w:val="both"/>
        <w:ind w:left="580" w:hanging="572"/>
        <w:spacing w:after="0" w:line="281" w:lineRule="auto"/>
        <w:tabs>
          <w:tab w:leader="none" w:pos="58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carrying value of MSRs at March 31, 2009 is net of a valuation allowance for impairment of $3,624 established during the third and fourth quarters of 2008. The valuation allowance, which relates exclusively to the high-loan-to-value stratum of our residential MSRs, reduced the carrying value of the stratum to zero. The estimated fair value exceeded amortized cost for all other strata. See Note 8 for additional information on MSRs.</w:t>
      </w:r>
    </w:p>
    <w:p>
      <w:pPr>
        <w:spacing w:after="0" w:line="2" w:lineRule="exact"/>
        <w:rPr>
          <w:rFonts w:ascii="Arial" w:cs="Arial" w:eastAsia="Arial" w:hAnsi="Arial"/>
          <w:sz w:val="16"/>
          <w:szCs w:val="16"/>
          <w:color w:val="auto"/>
        </w:rPr>
      </w:pPr>
    </w:p>
    <w:p>
      <w:pPr>
        <w:ind w:left="580" w:hanging="572"/>
        <w:spacing w:after="0" w:line="261" w:lineRule="auto"/>
        <w:tabs>
          <w:tab w:leader="none" w:pos="580" w:val="left"/>
        </w:tabs>
        <w:numPr>
          <w:ilvl w:val="0"/>
          <w:numId w:val="7"/>
        </w:numPr>
        <w:rPr>
          <w:rFonts w:ascii="Arial" w:cs="Arial" w:eastAsia="Arial" w:hAnsi="Arial"/>
          <w:sz w:val="18"/>
          <w:szCs w:val="18"/>
          <w:color w:val="auto"/>
        </w:rPr>
      </w:pPr>
      <w:r>
        <w:rPr>
          <w:rFonts w:ascii="Arial" w:cs="Arial" w:eastAsia="Arial" w:hAnsi="Arial"/>
          <w:sz w:val="18"/>
          <w:szCs w:val="18"/>
          <w:color w:val="auto"/>
        </w:rPr>
        <w:t>Lines of credit and other secured borrowings measured at fair value on a nonrecurring basis consist of a fixed-rate term note outstanding under the advance fee reimbursement facility. See Note 13 for more information on the facility.</w:t>
      </w:r>
    </w:p>
    <w:p>
      <w:pPr>
        <w:spacing w:after="0" w:line="192"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following table sets forth a reconciliation of the changes in fair value of our Level 3 assets that we measure at fair value on a recurring basis: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8"/>
                <w:szCs w:val="18"/>
                <w:color w:val="auto"/>
                <w:w w:val="89"/>
              </w:rPr>
              <w:t>Total</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center"/>
              <w:ind w:right="300"/>
              <w:spacing w:after="0"/>
              <w:rPr>
                <w:sz w:val="20"/>
                <w:szCs w:val="20"/>
                <w:color w:val="auto"/>
              </w:rPr>
            </w:pPr>
            <w:r>
              <w:rPr>
                <w:rFonts w:ascii="Arial" w:cs="Arial" w:eastAsia="Arial" w:hAnsi="Arial"/>
                <w:sz w:val="18"/>
                <w:szCs w:val="18"/>
                <w:color w:val="auto"/>
                <w:w w:val="82"/>
              </w:rPr>
              <w:t>Purchases,</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8"/>
                <w:szCs w:val="18"/>
                <w:color w:val="auto"/>
                <w:w w:val="85"/>
              </w:rPr>
              <w:t>realized and</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center"/>
              <w:ind w:right="300"/>
              <w:spacing w:after="0"/>
              <w:rPr>
                <w:sz w:val="20"/>
                <w:szCs w:val="20"/>
                <w:color w:val="auto"/>
              </w:rPr>
            </w:pPr>
            <w:r>
              <w:rPr>
                <w:rFonts w:ascii="Arial" w:cs="Arial" w:eastAsia="Arial" w:hAnsi="Arial"/>
                <w:sz w:val="18"/>
                <w:szCs w:val="18"/>
                <w:color w:val="auto"/>
                <w:w w:val="88"/>
              </w:rPr>
              <w:t>collections and</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8"/>
                <w:szCs w:val="18"/>
                <w:color w:val="auto"/>
                <w:w w:val="86"/>
              </w:rPr>
              <w:t>unrealized</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Transfers in</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ind w:right="92"/>
              <w:spacing w:after="0"/>
              <w:rPr>
                <w:sz w:val="20"/>
                <w:szCs w:val="20"/>
                <w:color w:val="auto"/>
              </w:rPr>
            </w:pPr>
            <w:r>
              <w:rPr>
                <w:rFonts w:ascii="Arial" w:cs="Arial" w:eastAsia="Arial" w:hAnsi="Arial"/>
                <w:sz w:val="18"/>
                <w:szCs w:val="18"/>
                <w:color w:val="auto"/>
                <w:w w:val="92"/>
              </w:rPr>
              <w:t>Fair value at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500"/>
              <w:spacing w:after="0"/>
              <w:rPr>
                <w:sz w:val="20"/>
                <w:szCs w:val="20"/>
                <w:color w:val="auto"/>
              </w:rPr>
            </w:pPr>
            <w:r>
              <w:rPr>
                <w:rFonts w:ascii="Arial" w:cs="Arial" w:eastAsia="Arial" w:hAnsi="Arial"/>
                <w:sz w:val="18"/>
                <w:szCs w:val="18"/>
                <w:color w:val="auto"/>
                <w:w w:val="98"/>
              </w:rPr>
              <w:t>settlements,</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8"/>
                <w:szCs w:val="18"/>
                <w:color w:val="auto"/>
                <w:w w:val="87"/>
              </w:rPr>
              <w:t>gains and</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8"/>
                <w:szCs w:val="18"/>
                <w:color w:val="auto"/>
                <w:w w:val="88"/>
              </w:rPr>
              <w:t>and/or out of</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8"/>
                <w:szCs w:val="18"/>
                <w:color w:val="auto"/>
                <w:w w:val="86"/>
              </w:rPr>
              <w:t>Fair value at</w:t>
            </w:r>
          </w:p>
        </w:tc>
        <w:tc>
          <w:tcPr>
            <w:tcW w:w="0" w:type="dxa"/>
            <w:vAlign w:val="bottom"/>
          </w:tcPr>
          <w:p>
            <w:pPr>
              <w:spacing w:after="0"/>
              <w:rPr>
                <w:sz w:val="1"/>
                <w:szCs w:val="1"/>
                <w:color w:val="auto"/>
              </w:rPr>
            </w:pPr>
          </w:p>
        </w:tc>
      </w:tr>
      <w:tr>
        <w:trPr>
          <w:trHeight w:val="222"/>
        </w:trPr>
        <w:tc>
          <w:tcPr>
            <w:tcW w:w="3660" w:type="dxa"/>
            <w:vAlign w:val="bottom"/>
            <w:gridSpan w:val="2"/>
          </w:tcPr>
          <w:p>
            <w:pPr>
              <w:spacing w:after="0"/>
              <w:rPr>
                <w:sz w:val="20"/>
                <w:szCs w:val="20"/>
                <w:color w:val="auto"/>
              </w:rPr>
            </w:pPr>
            <w:r>
              <w:rPr>
                <w:rFonts w:ascii="Arial" w:cs="Arial" w:eastAsia="Arial" w:hAnsi="Arial"/>
                <w:sz w:val="18"/>
                <w:szCs w:val="18"/>
                <w:color w:val="auto"/>
              </w:rPr>
              <w:t>For the three months ended March 31, 2009:</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ind w:right="192"/>
              <w:spacing w:after="0"/>
              <w:rPr>
                <w:sz w:val="20"/>
                <w:szCs w:val="20"/>
                <w:color w:val="auto"/>
              </w:rPr>
            </w:pPr>
            <w:r>
              <w:rPr>
                <w:rFonts w:ascii="Arial" w:cs="Arial" w:eastAsia="Arial" w:hAnsi="Arial"/>
                <w:sz w:val="18"/>
                <w:szCs w:val="18"/>
                <w:color w:val="auto"/>
              </w:rPr>
              <w:t>January 1</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gridSpan w:val="2"/>
          </w:tcPr>
          <w:p>
            <w:pPr>
              <w:jc w:val="center"/>
              <w:ind w:right="300"/>
              <w:spacing w:after="0"/>
              <w:rPr>
                <w:sz w:val="20"/>
                <w:szCs w:val="20"/>
                <w:color w:val="auto"/>
              </w:rPr>
            </w:pPr>
            <w:r>
              <w:rPr>
                <w:rFonts w:ascii="Arial" w:cs="Arial" w:eastAsia="Arial" w:hAnsi="Arial"/>
                <w:sz w:val="18"/>
                <w:szCs w:val="18"/>
                <w:color w:val="auto"/>
                <w:w w:val="88"/>
              </w:rPr>
              <w:t>net (1)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8"/>
                <w:szCs w:val="18"/>
                <w:color w:val="auto"/>
                <w:w w:val="88"/>
              </w:rPr>
              <w:t>(losses) (2)</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8"/>
                <w:szCs w:val="18"/>
                <w:color w:val="auto"/>
                <w:w w:val="92"/>
              </w:rPr>
              <w:t>Level 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8"/>
                <w:szCs w:val="18"/>
                <w:color w:val="auto"/>
                <w:w w:val="87"/>
              </w:rPr>
              <w:t>March 31</w:t>
            </w:r>
          </w:p>
        </w:tc>
        <w:tc>
          <w:tcPr>
            <w:tcW w:w="0" w:type="dxa"/>
            <w:vAlign w:val="bottom"/>
          </w:tcPr>
          <w:p>
            <w:pPr>
              <w:spacing w:after="0"/>
              <w:rPr>
                <w:sz w:val="1"/>
                <w:szCs w:val="1"/>
                <w:color w:val="auto"/>
              </w:rPr>
            </w:pPr>
          </w:p>
        </w:tc>
      </w:tr>
      <w:tr>
        <w:trPr>
          <w:trHeight w:val="245"/>
        </w:trPr>
        <w:tc>
          <w:tcPr>
            <w:tcW w:w="20" w:type="dxa"/>
            <w:vAlign w:val="bottom"/>
            <w:tcBorders>
              <w:bottom w:val="single" w:sz="8" w:color="auto"/>
            </w:tcBorders>
          </w:tcPr>
          <w:p>
            <w:pPr>
              <w:spacing w:after="0"/>
              <w:rPr>
                <w:sz w:val="21"/>
                <w:szCs w:val="21"/>
                <w:color w:val="auto"/>
              </w:rPr>
            </w:pPr>
          </w:p>
        </w:tc>
        <w:tc>
          <w:tcPr>
            <w:tcW w:w="3640" w:type="dxa"/>
            <w:vAlign w:val="bottom"/>
            <w:tcBorders>
              <w:bottom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3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40" w:type="dxa"/>
            <w:vAlign w:val="bottom"/>
            <w:shd w:val="clear" w:color="auto" w:fill="EAF9E8"/>
          </w:tcPr>
          <w:p>
            <w:pPr>
              <w:spacing w:after="0"/>
              <w:rPr>
                <w:sz w:val="20"/>
                <w:szCs w:val="20"/>
                <w:color w:val="auto"/>
              </w:rPr>
            </w:pPr>
            <w:r>
              <w:rPr>
                <w:rFonts w:ascii="Arial" w:cs="Arial" w:eastAsia="Arial" w:hAnsi="Arial"/>
                <w:sz w:val="18"/>
                <w:szCs w:val="18"/>
                <w:color w:val="auto"/>
              </w:rPr>
              <w:t>Trading securities:</w:t>
            </w:r>
          </w:p>
        </w:tc>
        <w:tc>
          <w:tcPr>
            <w:tcW w:w="24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12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34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12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1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1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ind w:left="140"/>
              <w:spacing w:after="0"/>
              <w:rPr>
                <w:sz w:val="20"/>
                <w:szCs w:val="20"/>
                <w:color w:val="auto"/>
              </w:rPr>
            </w:pPr>
            <w:r>
              <w:rPr>
                <w:rFonts w:ascii="Arial" w:cs="Arial" w:eastAsia="Arial" w:hAnsi="Arial"/>
                <w:sz w:val="18"/>
                <w:szCs w:val="18"/>
                <w:color w:val="auto"/>
              </w:rPr>
              <w:t>Investment grade auction rate</w:t>
            </w: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239,301</w:t>
            </w:r>
          </w:p>
        </w:tc>
        <w:tc>
          <w:tcPr>
            <w:tcW w:w="4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80"/>
              <w:spacing w:after="0"/>
              <w:rPr>
                <w:sz w:val="20"/>
                <w:szCs w:val="20"/>
                <w:color w:val="auto"/>
              </w:rPr>
            </w:pPr>
            <w:r>
              <w:rPr>
                <w:rFonts w:ascii="Arial" w:cs="Arial" w:eastAsia="Arial" w:hAnsi="Arial"/>
                <w:sz w:val="18"/>
                <w:szCs w:val="18"/>
                <w:color w:val="auto"/>
              </w:rPr>
              <w:t>(1,100)</w:t>
            </w: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(40)</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238,161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EAF9E8"/>
          </w:tcPr>
          <w:p>
            <w:pPr>
              <w:ind w:left="140"/>
              <w:spacing w:after="0"/>
              <w:rPr>
                <w:sz w:val="20"/>
                <w:szCs w:val="20"/>
                <w:color w:val="auto"/>
              </w:rPr>
            </w:pPr>
            <w:r>
              <w:rPr>
                <w:rFonts w:ascii="Arial" w:cs="Arial" w:eastAsia="Arial" w:hAnsi="Arial"/>
                <w:sz w:val="18"/>
                <w:szCs w:val="18"/>
                <w:color w:val="auto"/>
              </w:rPr>
              <w:t>Subordinates and residuals</w:t>
            </w:r>
          </w:p>
        </w:tc>
        <w:tc>
          <w:tcPr>
            <w:tcW w:w="24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1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4,369</w:t>
            </w:r>
          </w:p>
        </w:tc>
        <w:tc>
          <w:tcPr>
            <w:tcW w:w="24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480" w:type="dxa"/>
            <w:vAlign w:val="bottom"/>
            <w:gridSpan w:val="2"/>
            <w:shd w:val="clear" w:color="auto" w:fill="EAF9E8"/>
          </w:tcPr>
          <w:p>
            <w:pPr>
              <w:jc w:val="right"/>
              <w:ind w:right="80"/>
              <w:spacing w:after="0"/>
              <w:rPr>
                <w:sz w:val="20"/>
                <w:szCs w:val="20"/>
                <w:color w:val="auto"/>
              </w:rPr>
            </w:pPr>
            <w:r>
              <w:rPr>
                <w:rFonts w:ascii="Arial" w:cs="Arial" w:eastAsia="Arial" w:hAnsi="Arial"/>
                <w:sz w:val="18"/>
                <w:szCs w:val="18"/>
                <w:color w:val="auto"/>
              </w:rPr>
              <w:t>(1)</w:t>
            </w:r>
          </w:p>
        </w:tc>
        <w:tc>
          <w:tcPr>
            <w:tcW w:w="8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260" w:type="dxa"/>
            <w:vAlign w:val="bottom"/>
            <w:gridSpan w:val="2"/>
            <w:shd w:val="clear" w:color="auto" w:fill="EAF9E8"/>
          </w:tcPr>
          <w:p>
            <w:pPr>
              <w:jc w:val="right"/>
              <w:ind w:right="80"/>
              <w:spacing w:after="0"/>
              <w:rPr>
                <w:sz w:val="20"/>
                <w:szCs w:val="20"/>
                <w:color w:val="auto"/>
              </w:rPr>
            </w:pPr>
            <w:r>
              <w:rPr>
                <w:rFonts w:ascii="Arial" w:cs="Arial" w:eastAsia="Arial" w:hAnsi="Arial"/>
                <w:sz w:val="18"/>
                <w:szCs w:val="18"/>
                <w:color w:val="auto"/>
              </w:rPr>
              <w:t>(340)</w:t>
            </w:r>
          </w:p>
        </w:tc>
        <w:tc>
          <w:tcPr>
            <w:tcW w:w="8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220" w:type="dxa"/>
            <w:vAlign w:val="bottom"/>
            <w:gridSpan w:val="2"/>
            <w:shd w:val="clear" w:color="auto" w:fill="EAF9E8"/>
          </w:tcPr>
          <w:p>
            <w:pPr>
              <w:ind w:left="940"/>
              <w:spacing w:after="0"/>
              <w:rPr>
                <w:sz w:val="20"/>
                <w:szCs w:val="20"/>
                <w:color w:val="auto"/>
              </w:rPr>
            </w:pPr>
            <w:r>
              <w:rPr>
                <w:rFonts w:ascii="Arial" w:cs="Arial" w:eastAsia="Arial" w:hAnsi="Arial"/>
                <w:sz w:val="18"/>
                <w:szCs w:val="18"/>
                <w:color w:val="auto"/>
              </w:rPr>
              <w:t>—</w:t>
            </w:r>
          </w:p>
        </w:tc>
        <w:tc>
          <w:tcPr>
            <w:tcW w:w="1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2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4,028</w:t>
            </w:r>
          </w:p>
        </w:tc>
        <w:tc>
          <w:tcPr>
            <w:tcW w:w="0" w:type="dxa"/>
            <w:vAlign w:val="bottom"/>
          </w:tcPr>
          <w:p>
            <w:pPr>
              <w:spacing w:after="0"/>
              <w:rPr>
                <w:sz w:val="1"/>
                <w:szCs w:val="1"/>
                <w:color w:val="auto"/>
              </w:rPr>
            </w:pPr>
          </w:p>
        </w:tc>
      </w:tr>
      <w:tr>
        <w:trPr>
          <w:trHeight w:val="363"/>
        </w:trPr>
        <w:tc>
          <w:tcPr>
            <w:tcW w:w="3660" w:type="dxa"/>
            <w:vAlign w:val="bottom"/>
            <w:gridSpan w:val="2"/>
          </w:tcPr>
          <w:p>
            <w:pPr>
              <w:spacing w:after="0"/>
              <w:rPr>
                <w:sz w:val="20"/>
                <w:szCs w:val="20"/>
                <w:color w:val="auto"/>
              </w:rPr>
            </w:pPr>
            <w:r>
              <w:rPr>
                <w:rFonts w:ascii="Arial" w:cs="Arial" w:eastAsia="Arial" w:hAnsi="Arial"/>
                <w:sz w:val="18"/>
                <w:szCs w:val="18"/>
                <w:color w:val="auto"/>
              </w:rPr>
              <w:t>Derivative financial instruments</w:t>
            </w: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193</w:t>
            </w: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162</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355</w:t>
            </w:r>
          </w:p>
        </w:tc>
        <w:tc>
          <w:tcPr>
            <w:tcW w:w="0" w:type="dxa"/>
            <w:vAlign w:val="bottom"/>
          </w:tcPr>
          <w:p>
            <w:pPr>
              <w:spacing w:after="0"/>
              <w:rPr>
                <w:sz w:val="1"/>
                <w:szCs w:val="1"/>
                <w:color w:val="auto"/>
              </w:rPr>
            </w:pPr>
          </w:p>
        </w:tc>
      </w:tr>
      <w:tr>
        <w:trPr>
          <w:trHeight w:val="621"/>
        </w:trPr>
        <w:tc>
          <w:tcPr>
            <w:tcW w:w="3660" w:type="dxa"/>
            <w:vAlign w:val="bottom"/>
            <w:gridSpan w:val="2"/>
          </w:tcPr>
          <w:p>
            <w:pPr>
              <w:spacing w:after="0"/>
              <w:rPr>
                <w:sz w:val="20"/>
                <w:szCs w:val="20"/>
                <w:color w:val="auto"/>
              </w:rPr>
            </w:pPr>
            <w:r>
              <w:rPr>
                <w:rFonts w:ascii="Arial" w:cs="Arial" w:eastAsia="Arial" w:hAnsi="Arial"/>
                <w:sz w:val="18"/>
                <w:szCs w:val="18"/>
                <w:color w:val="auto"/>
              </w:rPr>
              <w:t>For the three months ended March 31, 2008:</w:t>
            </w: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3640" w:type="dxa"/>
            <w:vAlign w:val="bottom"/>
            <w:tcBorders>
              <w:bottom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EAF9E8"/>
          </w:tcPr>
          <w:p>
            <w:pPr>
              <w:ind w:left="140"/>
              <w:spacing w:after="0"/>
              <w:rPr>
                <w:sz w:val="20"/>
                <w:szCs w:val="20"/>
                <w:color w:val="auto"/>
              </w:rPr>
            </w:pPr>
            <w:r>
              <w:rPr>
                <w:rFonts w:ascii="Arial" w:cs="Arial" w:eastAsia="Arial" w:hAnsi="Arial"/>
                <w:sz w:val="18"/>
                <w:szCs w:val="18"/>
                <w:color w:val="auto"/>
              </w:rPr>
              <w:t>Trading securities:</w:t>
            </w:r>
          </w:p>
        </w:tc>
        <w:tc>
          <w:tcPr>
            <w:tcW w:w="24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12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34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12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1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1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ind w:left="140"/>
              <w:spacing w:after="0"/>
              <w:rPr>
                <w:sz w:val="20"/>
                <w:szCs w:val="20"/>
                <w:color w:val="auto"/>
              </w:rPr>
            </w:pPr>
            <w:r>
              <w:rPr>
                <w:rFonts w:ascii="Arial" w:cs="Arial" w:eastAsia="Arial" w:hAnsi="Arial"/>
                <w:sz w:val="18"/>
                <w:szCs w:val="18"/>
                <w:color w:val="auto"/>
              </w:rPr>
              <w:t>Investment grade auction rate</w:t>
            </w: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297,983</w:t>
            </w: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(8,939)</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289,044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EAF9E8"/>
          </w:tcPr>
          <w:p>
            <w:pPr>
              <w:ind w:left="140"/>
              <w:spacing w:after="0"/>
              <w:rPr>
                <w:sz w:val="20"/>
                <w:szCs w:val="20"/>
                <w:color w:val="auto"/>
              </w:rPr>
            </w:pPr>
            <w:r>
              <w:rPr>
                <w:rFonts w:ascii="Arial" w:cs="Arial" w:eastAsia="Arial" w:hAnsi="Arial"/>
                <w:sz w:val="18"/>
                <w:szCs w:val="18"/>
                <w:color w:val="auto"/>
              </w:rPr>
              <w:t>Subordinates and residuals</w:t>
            </w:r>
          </w:p>
        </w:tc>
        <w:tc>
          <w:tcPr>
            <w:tcW w:w="24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1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7,362</w:t>
            </w:r>
          </w:p>
        </w:tc>
        <w:tc>
          <w:tcPr>
            <w:tcW w:w="24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480" w:type="dxa"/>
            <w:vAlign w:val="bottom"/>
            <w:gridSpan w:val="2"/>
            <w:shd w:val="clear" w:color="auto" w:fill="EAF9E8"/>
          </w:tcPr>
          <w:p>
            <w:pPr>
              <w:jc w:val="right"/>
              <w:ind w:right="80"/>
              <w:spacing w:after="0"/>
              <w:rPr>
                <w:sz w:val="20"/>
                <w:szCs w:val="20"/>
                <w:color w:val="auto"/>
              </w:rPr>
            </w:pPr>
            <w:r>
              <w:rPr>
                <w:rFonts w:ascii="Arial" w:cs="Arial" w:eastAsia="Arial" w:hAnsi="Arial"/>
                <w:sz w:val="18"/>
                <w:szCs w:val="18"/>
                <w:color w:val="auto"/>
              </w:rPr>
              <w:t>(18)</w:t>
            </w:r>
          </w:p>
        </w:tc>
        <w:tc>
          <w:tcPr>
            <w:tcW w:w="8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260" w:type="dxa"/>
            <w:vAlign w:val="bottom"/>
            <w:gridSpan w:val="2"/>
            <w:shd w:val="clear" w:color="auto" w:fill="EAF9E8"/>
          </w:tcPr>
          <w:p>
            <w:pPr>
              <w:jc w:val="right"/>
              <w:ind w:right="80"/>
              <w:spacing w:after="0"/>
              <w:rPr>
                <w:sz w:val="20"/>
                <w:szCs w:val="20"/>
                <w:color w:val="auto"/>
              </w:rPr>
            </w:pPr>
            <w:r>
              <w:rPr>
                <w:rFonts w:ascii="Arial" w:cs="Arial" w:eastAsia="Arial" w:hAnsi="Arial"/>
                <w:sz w:val="18"/>
                <w:szCs w:val="18"/>
                <w:color w:val="auto"/>
              </w:rPr>
              <w:t>(1,154)</w:t>
            </w:r>
          </w:p>
        </w:tc>
        <w:tc>
          <w:tcPr>
            <w:tcW w:w="8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220" w:type="dxa"/>
            <w:vAlign w:val="bottom"/>
            <w:gridSpan w:val="2"/>
            <w:shd w:val="clear" w:color="auto" w:fill="EAF9E8"/>
          </w:tcPr>
          <w:p>
            <w:pPr>
              <w:ind w:left="940"/>
              <w:spacing w:after="0"/>
              <w:rPr>
                <w:sz w:val="20"/>
                <w:szCs w:val="20"/>
                <w:color w:val="auto"/>
              </w:rPr>
            </w:pPr>
            <w:r>
              <w:rPr>
                <w:rFonts w:ascii="Arial" w:cs="Arial" w:eastAsia="Arial" w:hAnsi="Arial"/>
                <w:sz w:val="18"/>
                <w:szCs w:val="18"/>
                <w:color w:val="auto"/>
              </w:rPr>
              <w:t>—</w:t>
            </w:r>
          </w:p>
        </w:tc>
        <w:tc>
          <w:tcPr>
            <w:tcW w:w="1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2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6,190</w:t>
            </w:r>
          </w:p>
        </w:tc>
        <w:tc>
          <w:tcPr>
            <w:tcW w:w="0" w:type="dxa"/>
            <w:vAlign w:val="bottom"/>
          </w:tcPr>
          <w:p>
            <w:pPr>
              <w:spacing w:after="0"/>
              <w:rPr>
                <w:sz w:val="1"/>
                <w:szCs w:val="1"/>
                <w:color w:val="auto"/>
              </w:rPr>
            </w:pPr>
          </w:p>
        </w:tc>
      </w:tr>
      <w:tr>
        <w:trPr>
          <w:trHeight w:val="363"/>
        </w:trPr>
        <w:tc>
          <w:tcPr>
            <w:tcW w:w="3660" w:type="dxa"/>
            <w:vAlign w:val="bottom"/>
            <w:gridSpan w:val="2"/>
          </w:tcPr>
          <w:p>
            <w:pPr>
              <w:spacing w:after="0"/>
              <w:rPr>
                <w:sz w:val="20"/>
                <w:szCs w:val="20"/>
                <w:color w:val="auto"/>
              </w:rPr>
            </w:pPr>
            <w:r>
              <w:rPr>
                <w:rFonts w:ascii="Arial" w:cs="Arial" w:eastAsia="Arial" w:hAnsi="Arial"/>
                <w:sz w:val="18"/>
                <w:szCs w:val="18"/>
                <w:color w:val="auto"/>
              </w:rPr>
              <w:t>Derivative financial instruments</w:t>
            </w: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4,867</w:t>
            </w: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gridSpan w:val="2"/>
          </w:tcPr>
          <w:p>
            <w:pPr>
              <w:jc w:val="right"/>
              <w:ind w:right="80"/>
              <w:spacing w:after="0"/>
              <w:rPr>
                <w:sz w:val="20"/>
                <w:szCs w:val="20"/>
                <w:color w:val="auto"/>
              </w:rPr>
            </w:pPr>
            <w:r>
              <w:rPr>
                <w:rFonts w:ascii="Arial" w:cs="Arial" w:eastAsia="Arial" w:hAnsi="Arial"/>
                <w:sz w:val="18"/>
                <w:szCs w:val="18"/>
                <w:color w:val="auto"/>
              </w:rPr>
              <w:t>(7,150)</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2,861</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578</w:t>
            </w:r>
          </w:p>
        </w:tc>
        <w:tc>
          <w:tcPr>
            <w:tcW w:w="0" w:type="dxa"/>
            <w:vAlign w:val="bottom"/>
          </w:tcPr>
          <w:p>
            <w:pPr>
              <w:spacing w:after="0"/>
              <w:rPr>
                <w:sz w:val="1"/>
                <w:szCs w:val="1"/>
                <w:color w:val="auto"/>
              </w:rPr>
            </w:pPr>
          </w:p>
        </w:tc>
      </w:tr>
    </w:tbl>
    <w:p>
      <w:pPr>
        <w:spacing w:after="0" w:line="250" w:lineRule="exact"/>
        <w:rPr>
          <w:sz w:val="20"/>
          <w:szCs w:val="20"/>
          <w:color w:val="auto"/>
        </w:rPr>
      </w:pPr>
    </w:p>
    <w:p>
      <w:pPr>
        <w:ind w:left="580" w:hanging="572"/>
        <w:spacing w:after="0"/>
        <w:tabs>
          <w:tab w:leader="none" w:pos="580" w:val="left"/>
        </w:tabs>
        <w:numPr>
          <w:ilvl w:val="0"/>
          <w:numId w:val="8"/>
        </w:numPr>
        <w:rPr>
          <w:rFonts w:ascii="Arial" w:cs="Arial" w:eastAsia="Arial" w:hAnsi="Arial"/>
          <w:sz w:val="18"/>
          <w:szCs w:val="18"/>
          <w:color w:val="auto"/>
        </w:rPr>
      </w:pPr>
      <w:r>
        <w:rPr>
          <w:rFonts w:ascii="Arial" w:cs="Arial" w:eastAsia="Arial" w:hAnsi="Arial"/>
          <w:sz w:val="18"/>
          <w:szCs w:val="18"/>
          <w:color w:val="auto"/>
        </w:rPr>
        <w:t>Purchases, collections and settlements, net, related to trading securities exclude interest received.</w:t>
      </w:r>
    </w:p>
    <w:p>
      <w:pPr>
        <w:spacing w:after="0" w:line="157" w:lineRule="exact"/>
        <w:rPr>
          <w:rFonts w:ascii="Arial" w:cs="Arial" w:eastAsia="Arial" w:hAnsi="Arial"/>
          <w:sz w:val="18"/>
          <w:szCs w:val="18"/>
          <w:color w:val="auto"/>
        </w:rPr>
      </w:pPr>
    </w:p>
    <w:p>
      <w:pPr>
        <w:jc w:val="both"/>
        <w:ind w:left="580" w:hanging="572"/>
        <w:spacing w:after="0" w:line="259" w:lineRule="auto"/>
        <w:tabs>
          <w:tab w:leader="none" w:pos="5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Total losses on investment grade auction rate securities include unrealized losses of $40 and $8,939 on auction rate securities held at March 31, 2009 and 2008, respectively. The total losses attributable to subordinates and residuals and derivative financial instruments were comprised exclusively of unrealized losses on assets held at March 31, 2009 and 2008.</w:t>
      </w:r>
    </w:p>
    <w:p>
      <w:pPr>
        <w:sectPr>
          <w:pgSz w:w="11900" w:h="16838" w:orient="portrait"/>
          <w:cols w:equalWidth="0" w:num="1">
            <w:col w:w="11420"/>
          </w:cols>
          <w:pgMar w:left="240" w:top="131" w:right="239" w:bottom="1440" w:gutter="0" w:footer="0" w:header="0"/>
        </w:sectPr>
      </w:pP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67575"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14" w:name="page15"/>
    <w:bookmarkEnd w:id="14"/>
    <w:p>
      <w:pPr>
        <w:jc w:val="both"/>
        <w:ind w:firstLine="488"/>
        <w:spacing w:after="0" w:line="268" w:lineRule="auto"/>
        <w:rPr>
          <w:sz w:val="20"/>
          <w:szCs w:val="20"/>
          <w:color w:val="auto"/>
        </w:rPr>
      </w:pPr>
      <w:r>
        <w:rPr>
          <w:rFonts w:ascii="Arial" w:cs="Arial" w:eastAsia="Arial" w:hAnsi="Arial"/>
          <w:sz w:val="18"/>
          <w:szCs w:val="18"/>
          <w:color w:val="auto"/>
        </w:rPr>
        <w:t>The methodologies that we use and key assumptions that we make to estimate the fair value of instruments measured at fair value on a recurring basis are described in more detail by instrument below:</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Trading Securities</w:t>
      </w:r>
    </w:p>
    <w:p>
      <w:pPr>
        <w:spacing w:after="0" w:line="231" w:lineRule="exact"/>
        <w:rPr>
          <w:sz w:val="20"/>
          <w:szCs w:val="20"/>
          <w:color w:val="auto"/>
        </w:rPr>
      </w:pPr>
    </w:p>
    <w:p>
      <w:pPr>
        <w:jc w:val="both"/>
        <w:ind w:firstLine="448"/>
        <w:spacing w:after="0" w:line="294" w:lineRule="auto"/>
        <w:rPr>
          <w:sz w:val="20"/>
          <w:szCs w:val="20"/>
          <w:color w:val="auto"/>
        </w:rPr>
      </w:pPr>
      <w:r>
        <w:rPr>
          <w:rFonts w:ascii="Arial" w:cs="Arial" w:eastAsia="Arial" w:hAnsi="Arial"/>
          <w:sz w:val="16"/>
          <w:szCs w:val="16"/>
          <w:i w:val="1"/>
          <w:iCs w:val="1"/>
          <w:color w:val="auto"/>
        </w:rPr>
        <w:t xml:space="preserve">Investment Grade Auction Rate Securities. </w:t>
      </w:r>
      <w:r>
        <w:rPr>
          <w:rFonts w:ascii="Arial" w:cs="Arial" w:eastAsia="Arial" w:hAnsi="Arial"/>
          <w:sz w:val="16"/>
          <w:szCs w:val="16"/>
          <w:color w:val="auto"/>
        </w:rPr>
        <w:t>We estimated the fair value of the auction rate securities based on a combination of actual sales and redemptions</w:t>
      </w:r>
      <w:r>
        <w:rPr>
          <w:rFonts w:ascii="Arial" w:cs="Arial" w:eastAsia="Arial" w:hAnsi="Arial"/>
          <w:sz w:val="16"/>
          <w:szCs w:val="16"/>
          <w:i w:val="1"/>
          <w:iCs w:val="1"/>
          <w:color w:val="auto"/>
        </w:rPr>
        <w:t xml:space="preserve"> </w:t>
      </w:r>
      <w:r>
        <w:rPr>
          <w:rFonts w:ascii="Arial" w:cs="Arial" w:eastAsia="Arial" w:hAnsi="Arial"/>
          <w:sz w:val="16"/>
          <w:szCs w:val="16"/>
          <w:color w:val="auto"/>
        </w:rPr>
        <w:t>of the auction rate securities that we hold and a discounted cash flow analysis. When available, we use observable market inputs provided by actual orderly sales of similar auction rate securities. We also discount expected future cash flows based on our best estimate of market participant assumptions. In periods of market illiquidity, the fair value of auction rate securities is determined after consideration of the credit quality of the securities held and the underlying collateral, market activity and general market conditions affecting auction rate securities.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discounted cash flow analysis included the following range of assumptions at March 31, 2009:</w:t>
      </w:r>
    </w:p>
    <w:p>
      <w:pPr>
        <w:spacing w:after="0" w:line="239"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200" w:type="dxa"/>
            <w:vAlign w:val="bottom"/>
          </w:tcPr>
          <w:p>
            <w:pPr>
              <w:jc w:val="right"/>
              <w:ind w:right="58"/>
              <w:spacing w:after="0"/>
              <w:rPr>
                <w:sz w:val="20"/>
                <w:szCs w:val="20"/>
                <w:color w:val="auto"/>
              </w:rPr>
            </w:pPr>
            <w:r>
              <w:rPr>
                <w:rFonts w:ascii="Arial" w:cs="Arial" w:eastAsia="Arial" w:hAnsi="Arial"/>
                <w:sz w:val="16"/>
                <w:szCs w:val="16"/>
                <w:color w:val="auto"/>
                <w:w w:val="74"/>
              </w:rPr>
              <w:t>·</w:t>
            </w:r>
          </w:p>
        </w:tc>
        <w:tc>
          <w:tcPr>
            <w:tcW w:w="4660" w:type="dxa"/>
            <w:vAlign w:val="bottom"/>
          </w:tcPr>
          <w:p>
            <w:pPr>
              <w:ind w:left="140"/>
              <w:spacing w:after="0"/>
              <w:rPr>
                <w:sz w:val="20"/>
                <w:szCs w:val="20"/>
                <w:color w:val="auto"/>
              </w:rPr>
            </w:pPr>
            <w:r>
              <w:rPr>
                <w:rFonts w:ascii="Arial" w:cs="Arial" w:eastAsia="Arial" w:hAnsi="Arial"/>
                <w:sz w:val="18"/>
                <w:szCs w:val="18"/>
                <w:color w:val="auto"/>
              </w:rPr>
              <w:t>Expected term</w:t>
            </w:r>
          </w:p>
        </w:tc>
        <w:tc>
          <w:tcPr>
            <w:tcW w:w="4260" w:type="dxa"/>
            <w:vAlign w:val="bottom"/>
          </w:tcPr>
          <w:p>
            <w:pPr>
              <w:jc w:val="center"/>
              <w:ind w:left="3032"/>
              <w:spacing w:after="0"/>
              <w:rPr>
                <w:sz w:val="20"/>
                <w:szCs w:val="20"/>
                <w:color w:val="auto"/>
              </w:rPr>
            </w:pPr>
            <w:r>
              <w:rPr>
                <w:rFonts w:ascii="Arial" w:cs="Arial" w:eastAsia="Arial" w:hAnsi="Arial"/>
                <w:sz w:val="18"/>
                <w:szCs w:val="18"/>
                <w:color w:val="auto"/>
                <w:w w:val="87"/>
              </w:rPr>
              <w:t>33 months</w:t>
            </w:r>
          </w:p>
        </w:tc>
      </w:tr>
      <w:tr>
        <w:trPr>
          <w:trHeight w:val="216"/>
        </w:trPr>
        <w:tc>
          <w:tcPr>
            <w:tcW w:w="200" w:type="dxa"/>
            <w:vAlign w:val="bottom"/>
          </w:tcPr>
          <w:p>
            <w:pPr>
              <w:jc w:val="right"/>
              <w:ind w:right="58"/>
              <w:spacing w:after="0"/>
              <w:rPr>
                <w:sz w:val="20"/>
                <w:szCs w:val="20"/>
                <w:color w:val="auto"/>
              </w:rPr>
            </w:pPr>
            <w:r>
              <w:rPr>
                <w:rFonts w:ascii="Arial" w:cs="Arial" w:eastAsia="Arial" w:hAnsi="Arial"/>
                <w:sz w:val="16"/>
                <w:szCs w:val="16"/>
                <w:color w:val="auto"/>
                <w:w w:val="74"/>
              </w:rPr>
              <w:t>·</w:t>
            </w:r>
          </w:p>
        </w:tc>
        <w:tc>
          <w:tcPr>
            <w:tcW w:w="4660" w:type="dxa"/>
            <w:vAlign w:val="bottom"/>
          </w:tcPr>
          <w:p>
            <w:pPr>
              <w:ind w:left="140"/>
              <w:spacing w:after="0"/>
              <w:rPr>
                <w:sz w:val="20"/>
                <w:szCs w:val="20"/>
                <w:color w:val="auto"/>
              </w:rPr>
            </w:pPr>
            <w:r>
              <w:rPr>
                <w:rFonts w:ascii="Arial" w:cs="Arial" w:eastAsia="Arial" w:hAnsi="Arial"/>
                <w:sz w:val="18"/>
                <w:szCs w:val="18"/>
                <w:color w:val="auto"/>
              </w:rPr>
              <w:t>Illiquidity premium</w:t>
            </w:r>
          </w:p>
        </w:tc>
        <w:tc>
          <w:tcPr>
            <w:tcW w:w="4260" w:type="dxa"/>
            <w:vAlign w:val="bottom"/>
          </w:tcPr>
          <w:p>
            <w:pPr>
              <w:jc w:val="center"/>
              <w:ind w:left="3052"/>
              <w:spacing w:after="0"/>
              <w:rPr>
                <w:sz w:val="20"/>
                <w:szCs w:val="20"/>
                <w:color w:val="auto"/>
              </w:rPr>
            </w:pPr>
            <w:r>
              <w:rPr>
                <w:rFonts w:ascii="Arial" w:cs="Arial" w:eastAsia="Arial" w:hAnsi="Arial"/>
                <w:sz w:val="18"/>
                <w:szCs w:val="18"/>
                <w:color w:val="auto"/>
                <w:w w:val="86"/>
              </w:rPr>
              <w:t>1.16%</w:t>
            </w:r>
          </w:p>
        </w:tc>
      </w:tr>
      <w:tr>
        <w:trPr>
          <w:trHeight w:val="222"/>
        </w:trPr>
        <w:tc>
          <w:tcPr>
            <w:tcW w:w="200" w:type="dxa"/>
            <w:vAlign w:val="bottom"/>
          </w:tcPr>
          <w:p>
            <w:pPr>
              <w:jc w:val="right"/>
              <w:ind w:right="58"/>
              <w:spacing w:after="0"/>
              <w:rPr>
                <w:sz w:val="20"/>
                <w:szCs w:val="20"/>
                <w:color w:val="auto"/>
              </w:rPr>
            </w:pPr>
            <w:r>
              <w:rPr>
                <w:rFonts w:ascii="Arial" w:cs="Arial" w:eastAsia="Arial" w:hAnsi="Arial"/>
                <w:sz w:val="16"/>
                <w:szCs w:val="16"/>
                <w:color w:val="auto"/>
                <w:w w:val="74"/>
              </w:rPr>
              <w:t>·</w:t>
            </w:r>
          </w:p>
        </w:tc>
        <w:tc>
          <w:tcPr>
            <w:tcW w:w="4660" w:type="dxa"/>
            <w:vAlign w:val="bottom"/>
          </w:tcPr>
          <w:p>
            <w:pPr>
              <w:ind w:left="140"/>
              <w:spacing w:after="0"/>
              <w:rPr>
                <w:sz w:val="20"/>
                <w:szCs w:val="20"/>
                <w:color w:val="auto"/>
              </w:rPr>
            </w:pPr>
            <w:r>
              <w:rPr>
                <w:rFonts w:ascii="Arial" w:cs="Arial" w:eastAsia="Arial" w:hAnsi="Arial"/>
                <w:sz w:val="18"/>
                <w:szCs w:val="18"/>
                <w:color w:val="auto"/>
              </w:rPr>
              <w:t>Discount rate</w:t>
            </w:r>
          </w:p>
        </w:tc>
        <w:tc>
          <w:tcPr>
            <w:tcW w:w="4260" w:type="dxa"/>
            <w:vAlign w:val="bottom"/>
          </w:tcPr>
          <w:p>
            <w:pPr>
              <w:jc w:val="center"/>
              <w:ind w:left="3032"/>
              <w:spacing w:after="0"/>
              <w:rPr>
                <w:sz w:val="20"/>
                <w:szCs w:val="20"/>
                <w:color w:val="auto"/>
              </w:rPr>
            </w:pPr>
            <w:r>
              <w:rPr>
                <w:rFonts w:ascii="Arial" w:cs="Arial" w:eastAsia="Arial" w:hAnsi="Arial"/>
                <w:sz w:val="18"/>
                <w:szCs w:val="18"/>
                <w:color w:val="auto"/>
                <w:w w:val="88"/>
              </w:rPr>
              <w:t>3.62% - 14.12%</w:t>
            </w:r>
          </w:p>
        </w:tc>
      </w:tr>
    </w:tbl>
    <w:p>
      <w:pPr>
        <w:spacing w:after="0" w:line="210" w:lineRule="exact"/>
        <w:rPr>
          <w:sz w:val="20"/>
          <w:szCs w:val="20"/>
          <w:color w:val="auto"/>
        </w:rPr>
      </w:pPr>
    </w:p>
    <w:p>
      <w:pPr>
        <w:jc w:val="both"/>
        <w:ind w:firstLine="545"/>
        <w:spacing w:after="0" w:line="298" w:lineRule="auto"/>
        <w:rPr>
          <w:sz w:val="20"/>
          <w:szCs w:val="20"/>
          <w:color w:val="auto"/>
        </w:rPr>
      </w:pPr>
      <w:r>
        <w:rPr>
          <w:rFonts w:ascii="Arial" w:cs="Arial" w:eastAsia="Arial" w:hAnsi="Arial"/>
          <w:sz w:val="16"/>
          <w:szCs w:val="16"/>
          <w:color w:val="auto"/>
        </w:rPr>
        <w:t>The expected term was based upon our best estimate of market participants’ expectations of future successful auctions. The discount rate and illiquidity premium are consistent with prevailing rates for similar securities. Other significant assumptions that we considered in our analysis included the credit risk profiles of the issuers, the impact on the issuers of the increased debt service costs associated with the payment of penalty interest rates and the collateralization of the securitization trusts. We do not assume defaults in our valuation due to the high credit quality of both the securities we hold and the underlying collateral.</w:t>
      </w:r>
    </w:p>
    <w:p>
      <w:pPr>
        <w:spacing w:after="0" w:line="167" w:lineRule="exact"/>
        <w:rPr>
          <w:sz w:val="20"/>
          <w:szCs w:val="20"/>
          <w:color w:val="auto"/>
        </w:rPr>
      </w:pPr>
    </w:p>
    <w:p>
      <w:pPr>
        <w:jc w:val="both"/>
        <w:ind w:firstLine="543"/>
        <w:spacing w:after="0" w:line="291" w:lineRule="auto"/>
        <w:rPr>
          <w:sz w:val="20"/>
          <w:szCs w:val="20"/>
          <w:color w:val="auto"/>
        </w:rPr>
      </w:pPr>
      <w:r>
        <w:rPr>
          <w:rFonts w:ascii="Arial" w:cs="Arial" w:eastAsia="Arial" w:hAnsi="Arial"/>
          <w:sz w:val="16"/>
          <w:szCs w:val="16"/>
          <w:i w:val="1"/>
          <w:iCs w:val="1"/>
          <w:color w:val="auto"/>
        </w:rPr>
        <w:t xml:space="preserve">Subordinates and Residuals. </w:t>
      </w:r>
      <w:r>
        <w:rPr>
          <w:rFonts w:ascii="Arial" w:cs="Arial" w:eastAsia="Arial" w:hAnsi="Arial"/>
          <w:sz w:val="16"/>
          <w:szCs w:val="16"/>
          <w:color w:val="auto"/>
        </w:rPr>
        <w:t>Our subordinate and residual securities are not actively traded, and, therefore, we estimate the fair value of these securities</w:t>
      </w:r>
      <w:r>
        <w:rPr>
          <w:rFonts w:ascii="Arial" w:cs="Arial" w:eastAsia="Arial" w:hAnsi="Arial"/>
          <w:sz w:val="16"/>
          <w:szCs w:val="16"/>
          <w:i w:val="1"/>
          <w:iCs w:val="1"/>
          <w:color w:val="auto"/>
        </w:rPr>
        <w:t xml:space="preserve"> </w:t>
      </w:r>
      <w:r>
        <w:rPr>
          <w:rFonts w:ascii="Arial" w:cs="Arial" w:eastAsia="Arial" w:hAnsi="Arial"/>
          <w:sz w:val="16"/>
          <w:szCs w:val="16"/>
          <w:color w:val="auto"/>
        </w:rPr>
        <w:t>based on the present value of expected future cash flows from the underlying mortgage pools. We use our best estimate of the key assumptions used by market participants. We calibrate our internally developed discounted cash flow models for trading activity when appropriate to do so in light of market liquidity levels. Key inputs include expected prepayment rates, delinquency and cumulative loss curves and discount rates commensurate with the risks. Where possible, we use observable inputs in the valuation of our securities. However, the subordinate and residual securities in which we invest typically trade infrequently and therefore have few or no observable inputs and little price transparency. Additionally, during periods of market dislocation the observability of inputs is further reduced.</w:t>
      </w:r>
    </w:p>
    <w:p>
      <w:pPr>
        <w:spacing w:after="0" w:line="174" w:lineRule="exact"/>
        <w:rPr>
          <w:sz w:val="20"/>
          <w:szCs w:val="20"/>
          <w:color w:val="auto"/>
        </w:rPr>
      </w:pPr>
    </w:p>
    <w:p>
      <w:pPr>
        <w:jc w:val="both"/>
        <w:ind w:firstLine="599"/>
        <w:spacing w:after="0" w:line="256" w:lineRule="auto"/>
        <w:rPr>
          <w:sz w:val="20"/>
          <w:szCs w:val="20"/>
          <w:color w:val="auto"/>
        </w:rPr>
      </w:pPr>
      <w:r>
        <w:rPr>
          <w:rFonts w:ascii="Arial" w:cs="Arial" w:eastAsia="Arial" w:hAnsi="Arial"/>
          <w:sz w:val="18"/>
          <w:szCs w:val="18"/>
          <w:color w:val="auto"/>
        </w:rPr>
        <w:t>Discount rates for the subordinate and residual securities range from 21% to 30% and are determined based upon an assessment of prevailing market conditions and prices for similar assets. We project the delinquency, loss and prepayment assumptions based on a comparison to actual historical performance curves, adjusted for prevailing market conditions. Peak delinquency assumptions range from 15% to 40%, and loss assumptions range from 14% to 28%. Average prepayment assumptions range from 5% to 9%.</w:t>
      </w:r>
    </w:p>
    <w:p>
      <w:pPr>
        <w:spacing w:after="0" w:line="197" w:lineRule="exact"/>
        <w:rPr>
          <w:sz w:val="20"/>
          <w:szCs w:val="20"/>
          <w:color w:val="auto"/>
        </w:rPr>
      </w:pPr>
    </w:p>
    <w:p>
      <w:pPr>
        <w:jc w:val="both"/>
        <w:ind w:firstLine="577"/>
        <w:spacing w:after="0" w:line="268" w:lineRule="auto"/>
        <w:rPr>
          <w:sz w:val="20"/>
          <w:szCs w:val="20"/>
          <w:color w:val="auto"/>
        </w:rPr>
      </w:pPr>
      <w:r>
        <w:rPr>
          <w:rFonts w:ascii="Arial" w:cs="Arial" w:eastAsia="Arial" w:hAnsi="Arial"/>
          <w:sz w:val="18"/>
          <w:szCs w:val="18"/>
          <w:color w:val="auto"/>
        </w:rPr>
        <w:t>At March 31, 2009, securities amounting to $242,189 were carried at their fair value as determined by using valuations based on internally developed discounted cash flow models. These models are calibrated for observable liquid market trading activity.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 Financial Instruments</w:t>
      </w:r>
    </w:p>
    <w:p>
      <w:pPr>
        <w:spacing w:after="0" w:line="231" w:lineRule="exact"/>
        <w:rPr>
          <w:sz w:val="20"/>
          <w:szCs w:val="20"/>
          <w:color w:val="auto"/>
        </w:rPr>
      </w:pPr>
    </w:p>
    <w:p>
      <w:pPr>
        <w:jc w:val="both"/>
        <w:ind w:firstLine="588"/>
        <w:spacing w:after="0" w:line="268" w:lineRule="auto"/>
        <w:rPr>
          <w:sz w:val="20"/>
          <w:szCs w:val="20"/>
          <w:color w:val="auto"/>
        </w:rPr>
      </w:pPr>
      <w:r>
        <w:rPr>
          <w:rFonts w:ascii="Arial" w:cs="Arial" w:eastAsia="Arial" w:hAnsi="Arial"/>
          <w:sz w:val="18"/>
          <w:szCs w:val="18"/>
          <w:color w:val="auto"/>
        </w:rPr>
        <w:t>Exchange-traded derivative financial instruments are valued based on quoted market prices. If quoted market prices or other observable inputs are not available, fair value is based on estimates provided by third-party pricing sources.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Loans Held for Resale</w:t>
      </w:r>
    </w:p>
    <w:p>
      <w:pPr>
        <w:spacing w:after="0" w:line="231" w:lineRule="exact"/>
        <w:rPr>
          <w:sz w:val="20"/>
          <w:szCs w:val="20"/>
          <w:color w:val="auto"/>
        </w:rPr>
      </w:pPr>
    </w:p>
    <w:p>
      <w:pPr>
        <w:jc w:val="both"/>
        <w:ind w:firstLine="460"/>
        <w:spacing w:after="0" w:line="306" w:lineRule="auto"/>
        <w:rPr>
          <w:sz w:val="20"/>
          <w:szCs w:val="20"/>
          <w:color w:val="auto"/>
        </w:rPr>
      </w:pPr>
      <w:r>
        <w:rPr>
          <w:rFonts w:ascii="Arial" w:cs="Arial" w:eastAsia="Arial" w:hAnsi="Arial"/>
          <w:sz w:val="16"/>
          <w:szCs w:val="16"/>
          <w:color w:val="auto"/>
        </w:rPr>
        <w:t>Loans held for resale are reported at the lower of cost or fair value. We account for the excess of cost over fair value as a valuation allowance with changes in the valuation allowance included in gain (loss) on loans held for resale, net, in the period in which the change occurs. All loans held for resale were measured at fair value since the cost of $62,836 exceeded the estimated fair value of $44,670 at March 31, 2009.</w:t>
      </w:r>
    </w:p>
    <w:p>
      <w:pPr>
        <w:spacing w:after="0" w:line="161" w:lineRule="exact"/>
        <w:rPr>
          <w:sz w:val="20"/>
          <w:szCs w:val="20"/>
          <w:color w:val="auto"/>
        </w:rPr>
      </w:pPr>
    </w:p>
    <w:p>
      <w:pPr>
        <w:jc w:val="both"/>
        <w:ind w:firstLine="439"/>
        <w:spacing w:after="0" w:line="254" w:lineRule="auto"/>
        <w:rPr>
          <w:sz w:val="20"/>
          <w:szCs w:val="20"/>
          <w:color w:val="auto"/>
        </w:rPr>
      </w:pPr>
      <w:r>
        <w:rPr>
          <w:rFonts w:ascii="Arial" w:cs="Arial" w:eastAsia="Arial" w:hAnsi="Arial"/>
          <w:sz w:val="18"/>
          <w:szCs w:val="18"/>
          <w:color w:val="auto"/>
        </w:rPr>
        <w:t>When we enter into an agreement to sell a loan to an investor at a set price, the loan is valued at the commitment price. The fair value of loans for which we do not have a firm commitment to sell is based upon a discounted cash flow analysis. We stratify our fair value estimate of uncommitted loans held for resale based upon the delinquency status of the loans. We base the fair value of our performing loans upon the expected future cash flows discounted at a rate commensurate with the risk of the estimated cash flows. Significant assumptions include collateral and loan characteristics, prevailing market conditions and the creditworthiness of the borrower. The fair value of our non-performing loans is determined based upon the underlying collateral to the loan and the estimated period and cost of disposition.</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Mortgage Servicing Rights</w:t>
      </w:r>
    </w:p>
    <w:p>
      <w:pPr>
        <w:spacing w:after="0" w:line="231" w:lineRule="exact"/>
        <w:rPr>
          <w:sz w:val="20"/>
          <w:szCs w:val="20"/>
          <w:color w:val="auto"/>
        </w:rPr>
      </w:pPr>
    </w:p>
    <w:p>
      <w:pPr>
        <w:jc w:val="both"/>
        <w:ind w:firstLine="528"/>
        <w:spacing w:after="0" w:line="306" w:lineRule="auto"/>
        <w:rPr>
          <w:sz w:val="20"/>
          <w:szCs w:val="20"/>
          <w:color w:val="auto"/>
        </w:rPr>
      </w:pPr>
      <w:r>
        <w:rPr>
          <w:rFonts w:ascii="Arial" w:cs="Arial" w:eastAsia="Arial" w:hAnsi="Arial"/>
          <w:sz w:val="16"/>
          <w:szCs w:val="16"/>
          <w:color w:val="auto"/>
        </w:rPr>
        <w:t>We estimate the fair value of our MSRs by calculating the present value of expected future cash flows utilizing assumptions that we believe are used by market participants. The most significant assumptions used in our internal valuation are the speed at which mortgages prepay and delinquency experience, both of which we derive from our historical experience and available market data. Other assumptions used in our internal valuation are:</w:t>
      </w:r>
    </w:p>
    <w:p>
      <w:pPr>
        <w:spacing w:after="0" w:line="174" w:lineRule="exact"/>
        <w:rPr>
          <w:sz w:val="20"/>
          <w:szCs w:val="20"/>
          <w:color w:val="auto"/>
        </w:rPr>
      </w:pPr>
    </w:p>
    <w:p>
      <w:pPr>
        <w:ind w:left="580"/>
        <w:spacing w:after="0"/>
        <w:tabs>
          <w:tab w:leader="none" w:pos="900" w:val="left"/>
          <w:tab w:leader="none" w:pos="6040" w:val="left"/>
          <w:tab w:leader="none" w:pos="63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Cost of servicing</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Interest rate used for computing float earnings</w:t>
      </w:r>
    </w:p>
    <w:p>
      <w:pPr>
        <w:spacing w:after="0" w:line="15" w:lineRule="exact"/>
        <w:rPr>
          <w:sz w:val="20"/>
          <w:szCs w:val="20"/>
          <w:color w:val="auto"/>
        </w:rPr>
      </w:pPr>
    </w:p>
    <w:p>
      <w:pPr>
        <w:ind w:left="580"/>
        <w:spacing w:after="0"/>
        <w:tabs>
          <w:tab w:leader="none" w:pos="900" w:val="left"/>
          <w:tab w:leader="none" w:pos="6040" w:val="left"/>
          <w:tab w:leader="none" w:pos="63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Discount rate</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Compensating interest expense</w:t>
      </w:r>
    </w:p>
    <w:p>
      <w:pPr>
        <w:spacing w:after="0" w:line="9" w:lineRule="exact"/>
        <w:rPr>
          <w:sz w:val="20"/>
          <w:szCs w:val="20"/>
          <w:color w:val="auto"/>
        </w:rPr>
      </w:pPr>
    </w:p>
    <w:p>
      <w:pPr>
        <w:ind w:left="920" w:hanging="331"/>
        <w:spacing w:after="0"/>
        <w:tabs>
          <w:tab w:leader="none" w:pos="92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Interest rate used for computing the cost of servicing advances</w:t>
      </w:r>
    </w:p>
    <w:p>
      <w:pPr>
        <w:spacing w:after="0" w:line="219" w:lineRule="exact"/>
        <w:rPr>
          <w:sz w:val="20"/>
          <w:szCs w:val="20"/>
          <w:color w:val="auto"/>
        </w:rPr>
      </w:pPr>
    </w:p>
    <w:p>
      <w:pPr>
        <w:jc w:val="both"/>
        <w:ind w:firstLine="488"/>
        <w:spacing w:after="0" w:line="290" w:lineRule="auto"/>
        <w:rPr>
          <w:sz w:val="20"/>
          <w:szCs w:val="20"/>
          <w:color w:val="auto"/>
        </w:rPr>
      </w:pPr>
      <w:r>
        <w:rPr>
          <w:rFonts w:ascii="Arial" w:cs="Arial" w:eastAsia="Arial" w:hAnsi="Arial"/>
          <w:sz w:val="16"/>
          <w:szCs w:val="16"/>
          <w:color w:val="auto"/>
        </w:rPr>
        <w:t>The significant components of the estimated future cash inflows for MSRs include servicing fees, late fees, prepayment penalties, float earnings and other ancillary fees. Significant cash outflows include the cost of servicing, the cost of financing servicing advances and compensating interest payments. We derive prepayment speeds and delinquency assumptions from historical experience adjusted for prevailing market conditions. We develop the discount rate internally, and we consider external market-based assumptions in determining the interest rate for the cost of financing advances, the interest rate for float earnings and the cost of servicing. The more significant assumptions used in the March 31, 2009 valuation include prepayment speeds ranging from 14% to 23% (depending on loan type) and delinquency rates ranging from 14% to 28% (depending on loan type). Other assumptions include an interest rate of 5% for computing the cost of financing advances, an interest rate of 0.5% for computing float earnings and a discount rate of 19%.</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Lines of credit and other secured borrowings</w:t>
      </w:r>
    </w:p>
    <w:p>
      <w:pPr>
        <w:spacing w:after="0" w:line="231" w:lineRule="exact"/>
        <w:rPr>
          <w:sz w:val="20"/>
          <w:szCs w:val="20"/>
          <w:color w:val="auto"/>
        </w:rPr>
      </w:pPr>
    </w:p>
    <w:p>
      <w:pPr>
        <w:jc w:val="both"/>
        <w:ind w:firstLine="500"/>
        <w:spacing w:after="0" w:line="306" w:lineRule="auto"/>
        <w:rPr>
          <w:sz w:val="20"/>
          <w:szCs w:val="20"/>
          <w:color w:val="auto"/>
        </w:rPr>
      </w:pPr>
      <w:r>
        <w:rPr>
          <w:rFonts w:ascii="Arial" w:cs="Arial" w:eastAsia="Arial" w:hAnsi="Arial"/>
          <w:sz w:val="16"/>
          <w:szCs w:val="16"/>
          <w:color w:val="auto"/>
        </w:rPr>
        <w:t>Borrowings not subject to a hedging relationship are carried at amortized cost. The carrying value of obligations outstanding under lines of credit that are either short-term or bear interest at a rate that is adjusted monthly based on a market index approximates fair value. The fair value of fixed-rate notes is determined by discounting the contractual future principal and interest repayments at a market rate commensurate with the risk of the estimated cash flows.</w:t>
      </w:r>
    </w:p>
    <w:p>
      <w:pPr>
        <w:spacing w:after="0" w:line="168"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NOTE 4</w:t>
      </w:r>
      <w:r>
        <w:rPr>
          <w:sz w:val="20"/>
          <w:szCs w:val="20"/>
          <w:color w:val="auto"/>
        </w:rPr>
        <w:tab/>
      </w:r>
      <w:r>
        <w:rPr>
          <w:rFonts w:ascii="Arial" w:cs="Arial" w:eastAsia="Arial" w:hAnsi="Arial"/>
          <w:sz w:val="16"/>
          <w:szCs w:val="16"/>
          <w:b w:val="1"/>
          <w:bCs w:val="1"/>
          <w:color w:val="auto"/>
        </w:rPr>
        <w:t>DISCONTINUED OPERATIONS</w:t>
      </w:r>
    </w:p>
    <w:p>
      <w:pPr>
        <w:spacing w:after="0" w:line="231" w:lineRule="exact"/>
        <w:rPr>
          <w:sz w:val="20"/>
          <w:szCs w:val="20"/>
          <w:color w:val="auto"/>
        </w:rPr>
      </w:pPr>
    </w:p>
    <w:p>
      <w:pPr>
        <w:jc w:val="both"/>
        <w:ind w:firstLine="462"/>
        <w:spacing w:after="0" w:line="306" w:lineRule="auto"/>
        <w:rPr>
          <w:sz w:val="20"/>
          <w:szCs w:val="20"/>
          <w:color w:val="auto"/>
        </w:rPr>
      </w:pPr>
      <w:r>
        <w:rPr>
          <w:rFonts w:ascii="Arial" w:cs="Arial" w:eastAsia="Arial" w:hAnsi="Arial"/>
          <w:sz w:val="16"/>
          <w:szCs w:val="16"/>
          <w:color w:val="auto"/>
        </w:rPr>
        <w:t>In the fourth quarter of 2007, management of OCN approved and committed to a plan to sell its investment in BOK. Management has concluded that BOK met and continues to meet the definition of a discontinued operation. Accordingly, its operations have been reclassified as discontinued in the accompanying consolidated financial statements. For segment reporting purposes, the operations of BOK are included in Corporate Items and Other.</w:t>
      </w:r>
    </w:p>
    <w:p>
      <w:pPr>
        <w:spacing w:after="0" w:line="161" w:lineRule="exact"/>
        <w:rPr>
          <w:sz w:val="20"/>
          <w:szCs w:val="20"/>
          <w:color w:val="auto"/>
        </w:rPr>
      </w:pPr>
    </w:p>
    <w:p>
      <w:pPr>
        <w:jc w:val="both"/>
        <w:ind w:firstLine="614"/>
        <w:spacing w:after="0" w:line="286" w:lineRule="auto"/>
        <w:rPr>
          <w:sz w:val="20"/>
          <w:szCs w:val="20"/>
          <w:color w:val="auto"/>
        </w:rPr>
      </w:pPr>
      <w:r>
        <w:rPr>
          <w:rFonts w:ascii="Arial" w:cs="Arial" w:eastAsia="Arial" w:hAnsi="Arial"/>
          <w:sz w:val="16"/>
          <w:szCs w:val="16"/>
          <w:color w:val="auto"/>
        </w:rPr>
        <w:t>In the second quarter of 2008, we recorded a charge of $4,980 that included the impairment of the remaining $3,423 carrying value of goodwill and intangibles, a $1,377 write-down of receivables and a $180 write-down of premises and equipment. We recorded no additional write-downs in 2008 or in the first</w:t>
      </w:r>
    </w:p>
    <w:tbl>
      <w:tblPr>
        <w:tblLayout w:type="fixed"/>
        <w:tblInd w:w="0" w:type="dxa"/>
        <w:tblCellMar>
          <w:top w:w="0" w:type="dxa"/>
          <w:left w:w="0" w:type="dxa"/>
          <w:bottom w:w="0" w:type="dxa"/>
          <w:right w:w="0" w:type="dxa"/>
        </w:tblCellMar>
      </w:tblPr>
      <w:tr>
        <w:trPr>
          <w:trHeight w:val="222"/>
        </w:trPr>
        <w:tc>
          <w:tcPr>
            <w:tcW w:w="7280" w:type="dxa"/>
            <w:vAlign w:val="bottom"/>
            <w:gridSpan w:val="2"/>
          </w:tcPr>
          <w:p>
            <w:pPr>
              <w:spacing w:after="0"/>
              <w:rPr>
                <w:sz w:val="20"/>
                <w:szCs w:val="20"/>
                <w:color w:val="auto"/>
              </w:rPr>
            </w:pPr>
            <w:r>
              <w:rPr>
                <w:rFonts w:ascii="Arial" w:cs="Arial" w:eastAsia="Arial" w:hAnsi="Arial"/>
                <w:sz w:val="18"/>
                <w:szCs w:val="18"/>
                <w:color w:val="auto"/>
              </w:rPr>
              <w:t>quarter of 2009.</w:t>
            </w:r>
          </w:p>
        </w:tc>
        <w:tc>
          <w:tcPr>
            <w:tcW w:w="24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6"/>
        </w:trPr>
        <w:tc>
          <w:tcPr>
            <w:tcW w:w="20" w:type="dxa"/>
            <w:vAlign w:val="bottom"/>
          </w:tcPr>
          <w:p>
            <w:pPr>
              <w:spacing w:after="0"/>
              <w:rPr>
                <w:sz w:val="24"/>
                <w:szCs w:val="24"/>
                <w:color w:val="auto"/>
              </w:rPr>
            </w:pPr>
          </w:p>
        </w:tc>
        <w:tc>
          <w:tcPr>
            <w:tcW w:w="7260" w:type="dxa"/>
            <w:vAlign w:val="bottom"/>
          </w:tcPr>
          <w:p>
            <w:pPr>
              <w:ind w:left="420"/>
              <w:spacing w:after="0"/>
              <w:rPr>
                <w:sz w:val="20"/>
                <w:szCs w:val="20"/>
                <w:color w:val="auto"/>
              </w:rPr>
            </w:pPr>
            <w:r>
              <w:rPr>
                <w:rFonts w:ascii="Arial" w:cs="Arial" w:eastAsia="Arial" w:hAnsi="Arial"/>
                <w:sz w:val="18"/>
                <w:szCs w:val="18"/>
                <w:color w:val="auto"/>
              </w:rPr>
              <w:t>Results of BOK’s operations for the three months ended March 31 are as follows:</w:t>
            </w:r>
          </w:p>
        </w:tc>
        <w:tc>
          <w:tcPr>
            <w:tcW w:w="2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7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0" w:type="dxa"/>
            <w:vAlign w:val="bottom"/>
          </w:tcPr>
          <w:p>
            <w:pPr>
              <w:jc w:val="right"/>
              <w:ind w:right="652"/>
              <w:spacing w:after="0"/>
              <w:rPr>
                <w:sz w:val="20"/>
                <w:szCs w:val="20"/>
                <w:color w:val="auto"/>
              </w:rPr>
            </w:pPr>
            <w:r>
              <w:rPr>
                <w:rFonts w:ascii="Arial" w:cs="Arial" w:eastAsia="Arial" w:hAnsi="Arial"/>
                <w:sz w:val="18"/>
                <w:szCs w:val="18"/>
                <w:color w:val="auto"/>
              </w:rPr>
              <w:t>2009</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80" w:type="dxa"/>
            <w:vAlign w:val="bottom"/>
          </w:tcPr>
          <w:p>
            <w:pPr>
              <w:jc w:val="right"/>
              <w:ind w:right="652"/>
              <w:spacing w:after="0"/>
              <w:rPr>
                <w:sz w:val="20"/>
                <w:szCs w:val="20"/>
                <w:color w:val="auto"/>
              </w:rPr>
            </w:pPr>
            <w:r>
              <w:rPr>
                <w:rFonts w:ascii="Arial" w:cs="Arial" w:eastAsia="Arial" w:hAnsi="Arial"/>
                <w:sz w:val="18"/>
                <w:szCs w:val="18"/>
                <w:color w:val="auto"/>
              </w:rPr>
              <w:t>2008</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2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60" w:type="dxa"/>
            <w:vAlign w:val="bottom"/>
            <w:shd w:val="clear" w:color="auto" w:fill="EAF9E8"/>
          </w:tcPr>
          <w:p>
            <w:pPr>
              <w:spacing w:after="0"/>
              <w:rPr>
                <w:sz w:val="20"/>
                <w:szCs w:val="20"/>
                <w:color w:val="auto"/>
              </w:rPr>
            </w:pPr>
            <w:r>
              <w:rPr>
                <w:rFonts w:ascii="Arial" w:cs="Arial" w:eastAsia="Arial" w:hAnsi="Arial"/>
                <w:sz w:val="18"/>
                <w:szCs w:val="18"/>
                <w:color w:val="auto"/>
              </w:rPr>
              <w:t>Revenue</w:t>
            </w:r>
          </w:p>
        </w:tc>
        <w:tc>
          <w:tcPr>
            <w:tcW w:w="240" w:type="dxa"/>
            <w:vAlign w:val="bottom"/>
            <w:shd w:val="clear" w:color="auto" w:fill="EAF9E8"/>
          </w:tcPr>
          <w:p>
            <w:pPr>
              <w:jc w:val="right"/>
              <w:ind w:right="52"/>
              <w:spacing w:after="0"/>
              <w:rPr>
                <w:sz w:val="20"/>
                <w:szCs w:val="20"/>
                <w:color w:val="auto"/>
              </w:rPr>
            </w:pPr>
            <w:r>
              <w:rPr>
                <w:rFonts w:ascii="Arial" w:cs="Arial" w:eastAsia="Arial" w:hAnsi="Arial"/>
                <w:sz w:val="18"/>
                <w:szCs w:val="18"/>
                <w:color w:val="auto"/>
                <w:w w:val="79"/>
              </w:rPr>
              <w:t>$</w:t>
            </w:r>
          </w:p>
        </w:tc>
        <w:tc>
          <w:tcPr>
            <w:tcW w:w="16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19</w:t>
            </w:r>
          </w:p>
        </w:tc>
        <w:tc>
          <w:tcPr>
            <w:tcW w:w="2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60" w:type="dxa"/>
            <w:vAlign w:val="bottom"/>
            <w:shd w:val="clear" w:color="auto" w:fill="EAF9E8"/>
          </w:tcPr>
          <w:p>
            <w:pPr>
              <w:jc w:val="right"/>
              <w:ind w:right="3"/>
              <w:spacing w:after="0"/>
              <w:rPr>
                <w:sz w:val="20"/>
                <w:szCs w:val="20"/>
                <w:color w:val="auto"/>
              </w:rPr>
            </w:pPr>
            <w:r>
              <w:rPr>
                <w:rFonts w:ascii="Arial" w:cs="Arial" w:eastAsia="Arial" w:hAnsi="Arial"/>
                <w:sz w:val="15"/>
                <w:szCs w:val="15"/>
                <w:color w:val="auto"/>
                <w:w w:val="71"/>
              </w:rPr>
              <w:t>$</w:t>
            </w:r>
          </w:p>
        </w:tc>
        <w:tc>
          <w:tcPr>
            <w:tcW w:w="16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124</w:t>
            </w:r>
          </w:p>
        </w:tc>
        <w:tc>
          <w:tcPr>
            <w:tcW w:w="12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260" w:type="dxa"/>
            <w:vAlign w:val="bottom"/>
          </w:tcPr>
          <w:p>
            <w:pPr>
              <w:ind w:left="140"/>
              <w:spacing w:after="0"/>
              <w:rPr>
                <w:sz w:val="20"/>
                <w:szCs w:val="20"/>
                <w:color w:val="auto"/>
              </w:rPr>
            </w:pPr>
            <w:r>
              <w:rPr>
                <w:rFonts w:ascii="Arial" w:cs="Arial" w:eastAsia="Arial" w:hAnsi="Arial"/>
                <w:sz w:val="18"/>
                <w:szCs w:val="18"/>
                <w:color w:val="auto"/>
              </w:rPr>
              <w:t>Operating expenses</w:t>
            </w:r>
          </w:p>
        </w:tc>
        <w:tc>
          <w:tcPr>
            <w:tcW w:w="2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436</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631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7280" w:type="dxa"/>
            <w:vAlign w:val="bottom"/>
            <w:gridSpan w:val="2"/>
          </w:tcPr>
          <w:p>
            <w:pPr>
              <w:spacing w:after="0"/>
              <w:rPr>
                <w:sz w:val="20"/>
                <w:szCs w:val="20"/>
                <w:color w:val="auto"/>
              </w:rPr>
            </w:pPr>
          </w:p>
        </w:tc>
        <w:tc>
          <w:tcPr>
            <w:tcW w:w="240" w:type="dxa"/>
            <w:vAlign w:val="bottom"/>
          </w:tcPr>
          <w:p>
            <w:pPr>
              <w:spacing w:after="0"/>
              <w:rPr>
                <w:sz w:val="20"/>
                <w:szCs w:val="20"/>
                <w:color w:val="auto"/>
              </w:rPr>
            </w:pPr>
          </w:p>
        </w:tc>
        <w:tc>
          <w:tcPr>
            <w:tcW w:w="1800" w:type="dxa"/>
            <w:vAlign w:val="bottom"/>
            <w:gridSpan w:val="2"/>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60" w:type="dxa"/>
            <w:vAlign w:val="bottom"/>
            <w:shd w:val="clear" w:color="auto" w:fill="EAF9E8"/>
          </w:tcPr>
          <w:p>
            <w:pPr>
              <w:spacing w:after="0"/>
              <w:rPr>
                <w:sz w:val="20"/>
                <w:szCs w:val="20"/>
                <w:color w:val="auto"/>
              </w:rPr>
            </w:pPr>
            <w:r>
              <w:rPr>
                <w:rFonts w:ascii="Arial" w:cs="Arial" w:eastAsia="Arial" w:hAnsi="Arial"/>
                <w:sz w:val="18"/>
                <w:szCs w:val="18"/>
                <w:color w:val="auto"/>
              </w:rPr>
              <w:t>Loss from operations</w:t>
            </w:r>
          </w:p>
        </w:tc>
        <w:tc>
          <w:tcPr>
            <w:tcW w:w="240" w:type="dxa"/>
            <w:vAlign w:val="bottom"/>
            <w:tcBorders>
              <w:top w:val="single" w:sz="8" w:color="auto"/>
            </w:tcBorders>
            <w:shd w:val="clear" w:color="auto" w:fill="EAF9E8"/>
          </w:tcPr>
          <w:p>
            <w:pPr>
              <w:spacing w:after="0"/>
              <w:rPr>
                <w:sz w:val="18"/>
                <w:szCs w:val="18"/>
                <w:color w:val="auto"/>
              </w:rPr>
            </w:pPr>
          </w:p>
        </w:tc>
        <w:tc>
          <w:tcPr>
            <w:tcW w:w="160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(417)</w:t>
            </w:r>
          </w:p>
        </w:tc>
        <w:tc>
          <w:tcPr>
            <w:tcW w:w="2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60" w:type="dxa"/>
            <w:vAlign w:val="bottom"/>
            <w:tcBorders>
              <w:top w:val="single" w:sz="8" w:color="auto"/>
            </w:tcBorders>
            <w:shd w:val="clear" w:color="auto" w:fill="EAF9E8"/>
          </w:tcPr>
          <w:p>
            <w:pPr>
              <w:spacing w:after="0"/>
              <w:rPr>
                <w:sz w:val="18"/>
                <w:szCs w:val="18"/>
                <w:color w:val="auto"/>
              </w:rPr>
            </w:pPr>
          </w:p>
        </w:tc>
        <w:tc>
          <w:tcPr>
            <w:tcW w:w="168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(507)</w:t>
            </w:r>
          </w:p>
        </w:tc>
        <w:tc>
          <w:tcPr>
            <w:tcW w:w="12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260" w:type="dxa"/>
            <w:vAlign w:val="bottom"/>
          </w:tcPr>
          <w:p>
            <w:pPr>
              <w:ind w:left="140"/>
              <w:spacing w:after="0"/>
              <w:rPr>
                <w:sz w:val="20"/>
                <w:szCs w:val="20"/>
                <w:color w:val="auto"/>
              </w:rPr>
            </w:pPr>
            <w:r>
              <w:rPr>
                <w:rFonts w:ascii="Arial" w:cs="Arial" w:eastAsia="Arial" w:hAnsi="Arial"/>
                <w:sz w:val="18"/>
                <w:szCs w:val="18"/>
                <w:color w:val="auto"/>
              </w:rPr>
              <w:t>Other income, net</w:t>
            </w:r>
          </w:p>
        </w:tc>
        <w:tc>
          <w:tcPr>
            <w:tcW w:w="2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229</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303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7280" w:type="dxa"/>
            <w:vAlign w:val="bottom"/>
            <w:gridSpan w:val="2"/>
          </w:tcPr>
          <w:p>
            <w:pPr>
              <w:spacing w:after="0"/>
              <w:rPr>
                <w:sz w:val="20"/>
                <w:szCs w:val="20"/>
                <w:color w:val="auto"/>
              </w:rPr>
            </w:pPr>
          </w:p>
        </w:tc>
        <w:tc>
          <w:tcPr>
            <w:tcW w:w="240" w:type="dxa"/>
            <w:vAlign w:val="bottom"/>
          </w:tcPr>
          <w:p>
            <w:pPr>
              <w:spacing w:after="0"/>
              <w:rPr>
                <w:sz w:val="20"/>
                <w:szCs w:val="20"/>
                <w:color w:val="auto"/>
              </w:rPr>
            </w:pPr>
          </w:p>
        </w:tc>
        <w:tc>
          <w:tcPr>
            <w:tcW w:w="1800" w:type="dxa"/>
            <w:vAlign w:val="bottom"/>
            <w:gridSpan w:val="2"/>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60" w:type="dxa"/>
            <w:vAlign w:val="bottom"/>
            <w:shd w:val="clear" w:color="auto" w:fill="EAF9E8"/>
          </w:tcPr>
          <w:p>
            <w:pPr>
              <w:spacing w:after="0"/>
              <w:rPr>
                <w:sz w:val="20"/>
                <w:szCs w:val="20"/>
                <w:color w:val="auto"/>
              </w:rPr>
            </w:pPr>
            <w:r>
              <w:rPr>
                <w:rFonts w:ascii="Arial" w:cs="Arial" w:eastAsia="Arial" w:hAnsi="Arial"/>
                <w:sz w:val="18"/>
                <w:szCs w:val="18"/>
                <w:color w:val="auto"/>
              </w:rPr>
              <w:t>Loss before income taxes</w:t>
            </w:r>
          </w:p>
        </w:tc>
        <w:tc>
          <w:tcPr>
            <w:tcW w:w="240" w:type="dxa"/>
            <w:vAlign w:val="bottom"/>
            <w:tcBorders>
              <w:top w:val="single" w:sz="8" w:color="auto"/>
            </w:tcBorders>
            <w:shd w:val="clear" w:color="auto" w:fill="EAF9E8"/>
          </w:tcPr>
          <w:p>
            <w:pPr>
              <w:spacing w:after="0"/>
              <w:rPr>
                <w:sz w:val="18"/>
                <w:szCs w:val="18"/>
                <w:color w:val="auto"/>
              </w:rPr>
            </w:pPr>
          </w:p>
        </w:tc>
        <w:tc>
          <w:tcPr>
            <w:tcW w:w="160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(188)</w:t>
            </w:r>
          </w:p>
        </w:tc>
        <w:tc>
          <w:tcPr>
            <w:tcW w:w="2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60" w:type="dxa"/>
            <w:vAlign w:val="bottom"/>
            <w:tcBorders>
              <w:top w:val="single" w:sz="8" w:color="auto"/>
            </w:tcBorders>
            <w:shd w:val="clear" w:color="auto" w:fill="EAF9E8"/>
          </w:tcPr>
          <w:p>
            <w:pPr>
              <w:spacing w:after="0"/>
              <w:rPr>
                <w:sz w:val="18"/>
                <w:szCs w:val="18"/>
                <w:color w:val="auto"/>
              </w:rPr>
            </w:pPr>
          </w:p>
        </w:tc>
        <w:tc>
          <w:tcPr>
            <w:tcW w:w="168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(204)</w:t>
            </w:r>
          </w:p>
        </w:tc>
        <w:tc>
          <w:tcPr>
            <w:tcW w:w="12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260" w:type="dxa"/>
            <w:vAlign w:val="bottom"/>
          </w:tcPr>
          <w:p>
            <w:pPr>
              <w:ind w:left="140"/>
              <w:spacing w:after="0"/>
              <w:rPr>
                <w:sz w:val="20"/>
                <w:szCs w:val="20"/>
                <w:color w:val="auto"/>
              </w:rPr>
            </w:pPr>
            <w:r>
              <w:rPr>
                <w:rFonts w:ascii="Arial" w:cs="Arial" w:eastAsia="Arial" w:hAnsi="Arial"/>
                <w:sz w:val="18"/>
                <w:szCs w:val="18"/>
                <w:color w:val="auto"/>
              </w:rPr>
              <w:t>Income tax expense (benefit)</w:t>
            </w:r>
          </w:p>
        </w:tc>
        <w:tc>
          <w:tcPr>
            <w:tcW w:w="240" w:type="dxa"/>
            <w:vAlign w:val="bottom"/>
          </w:tcPr>
          <w:p>
            <w:pPr>
              <w:spacing w:after="0"/>
              <w:rPr>
                <w:sz w:val="19"/>
                <w:szCs w:val="19"/>
                <w:color w:val="auto"/>
              </w:rPr>
            </w:pPr>
          </w:p>
        </w:tc>
        <w:tc>
          <w:tcPr>
            <w:tcW w:w="1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7280" w:type="dxa"/>
            <w:vAlign w:val="bottom"/>
            <w:gridSpan w:val="2"/>
          </w:tcPr>
          <w:p>
            <w:pPr>
              <w:spacing w:after="0"/>
              <w:rPr>
                <w:sz w:val="20"/>
                <w:szCs w:val="20"/>
                <w:color w:val="auto"/>
              </w:rPr>
            </w:pPr>
          </w:p>
        </w:tc>
        <w:tc>
          <w:tcPr>
            <w:tcW w:w="240" w:type="dxa"/>
            <w:vAlign w:val="bottom"/>
          </w:tcPr>
          <w:p>
            <w:pPr>
              <w:spacing w:after="0"/>
              <w:rPr>
                <w:sz w:val="20"/>
                <w:szCs w:val="20"/>
                <w:color w:val="auto"/>
              </w:rPr>
            </w:pPr>
          </w:p>
        </w:tc>
        <w:tc>
          <w:tcPr>
            <w:tcW w:w="1800" w:type="dxa"/>
            <w:vAlign w:val="bottom"/>
            <w:gridSpan w:val="2"/>
          </w:tcPr>
          <w:p>
            <w:pPr>
              <w:spacing w:after="0"/>
              <w:rPr>
                <w:sz w:val="20"/>
                <w:szCs w:val="20"/>
                <w:color w:val="auto"/>
              </w:rPr>
            </w:pPr>
          </w:p>
        </w:tc>
        <w:tc>
          <w:tcPr>
            <w:tcW w:w="300" w:type="dxa"/>
            <w:vAlign w:val="bottom"/>
            <w:gridSpan w:val="2"/>
          </w:tcPr>
          <w:p>
            <w:pPr>
              <w:spacing w:after="0"/>
              <w:rPr>
                <w:sz w:val="20"/>
                <w:szCs w:val="20"/>
                <w:color w:val="auto"/>
              </w:rPr>
            </w:pPr>
          </w:p>
        </w:tc>
        <w:tc>
          <w:tcPr>
            <w:tcW w:w="180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60" w:type="dxa"/>
            <w:vAlign w:val="bottom"/>
            <w:shd w:val="clear" w:color="auto" w:fill="EAF9E8"/>
          </w:tcPr>
          <w:p>
            <w:pPr>
              <w:spacing w:after="0"/>
              <w:rPr>
                <w:sz w:val="20"/>
                <w:szCs w:val="20"/>
                <w:color w:val="auto"/>
              </w:rPr>
            </w:pPr>
            <w:r>
              <w:rPr>
                <w:rFonts w:ascii="Arial" w:cs="Arial" w:eastAsia="Arial" w:hAnsi="Arial"/>
                <w:sz w:val="18"/>
                <w:szCs w:val="18"/>
                <w:color w:val="auto"/>
              </w:rPr>
              <w:t>Net loss</w:t>
            </w:r>
          </w:p>
        </w:tc>
        <w:tc>
          <w:tcPr>
            <w:tcW w:w="240" w:type="dxa"/>
            <w:vAlign w:val="bottom"/>
            <w:tcBorders>
              <w:top w:val="single" w:sz="8" w:color="auto"/>
            </w:tcBorders>
            <w:shd w:val="clear" w:color="auto" w:fill="EAF9E8"/>
          </w:tcPr>
          <w:p>
            <w:pPr>
              <w:jc w:val="right"/>
              <w:ind w:right="52"/>
              <w:spacing w:after="0"/>
              <w:rPr>
                <w:sz w:val="20"/>
                <w:szCs w:val="20"/>
                <w:color w:val="auto"/>
              </w:rPr>
            </w:pPr>
            <w:r>
              <w:rPr>
                <w:rFonts w:ascii="Arial" w:cs="Arial" w:eastAsia="Arial" w:hAnsi="Arial"/>
                <w:sz w:val="18"/>
                <w:szCs w:val="18"/>
                <w:color w:val="auto"/>
                <w:w w:val="79"/>
              </w:rPr>
              <w:t>$</w:t>
            </w:r>
          </w:p>
        </w:tc>
        <w:tc>
          <w:tcPr>
            <w:tcW w:w="160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(188)</w:t>
            </w:r>
          </w:p>
        </w:tc>
        <w:tc>
          <w:tcPr>
            <w:tcW w:w="2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60" w:type="dxa"/>
            <w:vAlign w:val="bottom"/>
            <w:tcBorders>
              <w:top w:val="single" w:sz="8" w:color="auto"/>
            </w:tcBorders>
            <w:shd w:val="clear" w:color="auto" w:fill="EAF9E8"/>
          </w:tcPr>
          <w:p>
            <w:pPr>
              <w:jc w:val="right"/>
              <w:ind w:right="3"/>
              <w:spacing w:after="0"/>
              <w:rPr>
                <w:sz w:val="20"/>
                <w:szCs w:val="20"/>
                <w:color w:val="auto"/>
              </w:rPr>
            </w:pPr>
            <w:r>
              <w:rPr>
                <w:rFonts w:ascii="Arial" w:cs="Arial" w:eastAsia="Arial" w:hAnsi="Arial"/>
                <w:sz w:val="15"/>
                <w:szCs w:val="15"/>
                <w:color w:val="auto"/>
                <w:w w:val="71"/>
              </w:rPr>
              <w:t>$</w:t>
            </w:r>
          </w:p>
        </w:tc>
        <w:tc>
          <w:tcPr>
            <w:tcW w:w="168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(204)</w:t>
            </w:r>
          </w:p>
        </w:tc>
        <w:tc>
          <w:tcPr>
            <w:tcW w:w="12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260" w:type="dxa"/>
            <w:vAlign w:val="bottom"/>
            <w:vMerge w:val="restart"/>
          </w:tcPr>
          <w:p>
            <w:pPr>
              <w:ind w:left="420"/>
              <w:spacing w:after="0"/>
              <w:rPr>
                <w:sz w:val="20"/>
                <w:szCs w:val="20"/>
                <w:color w:val="auto"/>
              </w:rPr>
            </w:pPr>
            <w:r>
              <w:rPr>
                <w:rFonts w:ascii="Arial" w:cs="Arial" w:eastAsia="Arial" w:hAnsi="Arial"/>
                <w:sz w:val="18"/>
                <w:szCs w:val="18"/>
                <w:color w:val="auto"/>
              </w:rPr>
              <w:t>The following table presents BOK’s assets and liabilities at the dates indicated:</w:t>
            </w:r>
          </w:p>
        </w:tc>
        <w:tc>
          <w:tcPr>
            <w:tcW w:w="24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60" w:type="dxa"/>
            <w:vAlign w:val="bottom"/>
            <w:vMerge w:val="continue"/>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20" w:type="dxa"/>
            <w:vAlign w:val="bottom"/>
          </w:tcPr>
          <w:p>
            <w:pPr>
              <w:spacing w:after="0"/>
              <w:rPr>
                <w:sz w:val="24"/>
                <w:szCs w:val="24"/>
                <w:color w:val="auto"/>
              </w:rPr>
            </w:pPr>
          </w:p>
        </w:tc>
        <w:tc>
          <w:tcPr>
            <w:tcW w:w="726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7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0" w:type="dxa"/>
            <w:vAlign w:val="bottom"/>
            <w:gridSpan w:val="2"/>
          </w:tcPr>
          <w:p>
            <w:pPr>
              <w:jc w:val="right"/>
              <w:ind w:right="560"/>
              <w:spacing w:after="0"/>
              <w:rPr>
                <w:sz w:val="20"/>
                <w:szCs w:val="20"/>
                <w:color w:val="auto"/>
              </w:rPr>
            </w:pPr>
            <w:r>
              <w:rPr>
                <w:rFonts w:ascii="Arial" w:cs="Arial" w:eastAsia="Arial" w:hAnsi="Arial"/>
                <w:sz w:val="18"/>
                <w:szCs w:val="18"/>
                <w:color w:val="auto"/>
                <w:w w:val="97"/>
              </w:rPr>
              <w:t>March 31, 2009</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0" w:type="dxa"/>
            <w:vAlign w:val="bottom"/>
            <w:gridSpan w:val="2"/>
          </w:tcPr>
          <w:p>
            <w:pPr>
              <w:ind w:left="80"/>
              <w:spacing w:after="0"/>
              <w:rPr>
                <w:sz w:val="20"/>
                <w:szCs w:val="20"/>
                <w:color w:val="auto"/>
              </w:rPr>
            </w:pPr>
            <w:r>
              <w:rPr>
                <w:rFonts w:ascii="Arial" w:cs="Arial" w:eastAsia="Arial" w:hAnsi="Arial"/>
                <w:sz w:val="18"/>
                <w:szCs w:val="18"/>
                <w:color w:val="auto"/>
              </w:rPr>
              <w:t>December 31, 2008</w:t>
            </w:r>
          </w:p>
        </w:tc>
        <w:tc>
          <w:tcPr>
            <w:tcW w:w="0" w:type="dxa"/>
            <w:vAlign w:val="bottom"/>
          </w:tcPr>
          <w:p>
            <w:pPr>
              <w:spacing w:after="0"/>
              <w:rPr>
                <w:sz w:val="1"/>
                <w:szCs w:val="1"/>
                <w:color w:val="auto"/>
              </w:rPr>
            </w:pPr>
          </w:p>
        </w:tc>
      </w:tr>
      <w:tr>
        <w:trPr>
          <w:trHeight w:val="245"/>
        </w:trPr>
        <w:tc>
          <w:tcPr>
            <w:tcW w:w="7280" w:type="dxa"/>
            <w:vAlign w:val="bottom"/>
            <w:gridSpan w:val="2"/>
          </w:tcPr>
          <w:p>
            <w:pPr>
              <w:spacing w:after="0"/>
              <w:rPr>
                <w:sz w:val="21"/>
                <w:szCs w:val="21"/>
                <w:color w:val="auto"/>
              </w:rPr>
            </w:pPr>
          </w:p>
        </w:tc>
        <w:tc>
          <w:tcPr>
            <w:tcW w:w="24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00" w:type="dxa"/>
            <w:vAlign w:val="bottom"/>
            <w:gridSpan w:val="2"/>
          </w:tcPr>
          <w:p>
            <w:pPr>
              <w:spacing w:after="0"/>
              <w:rPr>
                <w:sz w:val="21"/>
                <w:szCs w:val="21"/>
                <w:color w:val="auto"/>
              </w:rPr>
            </w:pPr>
          </w:p>
        </w:tc>
        <w:tc>
          <w:tcPr>
            <w:tcW w:w="1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60" w:type="dxa"/>
            <w:vAlign w:val="bottom"/>
            <w:shd w:val="clear" w:color="auto" w:fill="EAF9E8"/>
          </w:tcPr>
          <w:p>
            <w:pPr>
              <w:spacing w:after="0"/>
              <w:rPr>
                <w:sz w:val="20"/>
                <w:szCs w:val="20"/>
                <w:color w:val="auto"/>
              </w:rPr>
            </w:pPr>
            <w:r>
              <w:rPr>
                <w:rFonts w:ascii="Arial" w:cs="Arial" w:eastAsia="Arial" w:hAnsi="Arial"/>
                <w:sz w:val="18"/>
                <w:szCs w:val="18"/>
                <w:color w:val="auto"/>
              </w:rPr>
              <w:t>Cash</w:t>
            </w:r>
          </w:p>
        </w:tc>
        <w:tc>
          <w:tcPr>
            <w:tcW w:w="240" w:type="dxa"/>
            <w:vAlign w:val="bottom"/>
            <w:tcBorders>
              <w:top w:val="single" w:sz="8" w:color="auto"/>
            </w:tcBorders>
            <w:shd w:val="clear" w:color="auto" w:fill="EAF9E8"/>
          </w:tcPr>
          <w:p>
            <w:pPr>
              <w:jc w:val="right"/>
              <w:ind w:right="52"/>
              <w:spacing w:after="0"/>
              <w:rPr>
                <w:sz w:val="20"/>
                <w:szCs w:val="20"/>
                <w:color w:val="auto"/>
              </w:rPr>
            </w:pPr>
            <w:r>
              <w:rPr>
                <w:rFonts w:ascii="Arial" w:cs="Arial" w:eastAsia="Arial" w:hAnsi="Arial"/>
                <w:sz w:val="18"/>
                <w:szCs w:val="18"/>
                <w:color w:val="auto"/>
                <w:w w:val="79"/>
              </w:rPr>
              <w:t>$</w:t>
            </w:r>
          </w:p>
        </w:tc>
        <w:tc>
          <w:tcPr>
            <w:tcW w:w="160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5,783</w:t>
            </w:r>
          </w:p>
        </w:tc>
        <w:tc>
          <w:tcPr>
            <w:tcW w:w="2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60" w:type="dxa"/>
            <w:vAlign w:val="bottom"/>
            <w:tcBorders>
              <w:top w:val="single" w:sz="8" w:color="auto"/>
            </w:tcBorders>
            <w:shd w:val="clear" w:color="auto" w:fill="EAF9E8"/>
          </w:tcPr>
          <w:p>
            <w:pPr>
              <w:jc w:val="right"/>
              <w:ind w:right="3"/>
              <w:spacing w:after="0"/>
              <w:rPr>
                <w:sz w:val="20"/>
                <w:szCs w:val="20"/>
                <w:color w:val="auto"/>
              </w:rPr>
            </w:pPr>
            <w:r>
              <w:rPr>
                <w:rFonts w:ascii="Arial" w:cs="Arial" w:eastAsia="Arial" w:hAnsi="Arial"/>
                <w:sz w:val="15"/>
                <w:szCs w:val="15"/>
                <w:color w:val="auto"/>
                <w:w w:val="71"/>
              </w:rPr>
              <w:t>$</w:t>
            </w:r>
          </w:p>
        </w:tc>
        <w:tc>
          <w:tcPr>
            <w:tcW w:w="168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4,613</w:t>
            </w:r>
          </w:p>
        </w:tc>
        <w:tc>
          <w:tcPr>
            <w:tcW w:w="12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Receivables</w:t>
            </w: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8,396</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10,250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EAF9E8"/>
          </w:tcPr>
          <w:p>
            <w:pPr>
              <w:spacing w:after="0"/>
              <w:rPr>
                <w:sz w:val="20"/>
                <w:szCs w:val="20"/>
                <w:color w:val="auto"/>
              </w:rPr>
            </w:pPr>
            <w:r>
              <w:rPr>
                <w:rFonts w:ascii="Arial" w:cs="Arial" w:eastAsia="Arial" w:hAnsi="Arial"/>
                <w:sz w:val="18"/>
                <w:szCs w:val="18"/>
                <w:color w:val="auto"/>
              </w:rPr>
              <w:t>Other</w:t>
            </w:r>
          </w:p>
        </w:tc>
        <w:tc>
          <w:tcPr>
            <w:tcW w:w="240" w:type="dxa"/>
            <w:vAlign w:val="bottom"/>
            <w:shd w:val="clear" w:color="auto" w:fill="EAF9E8"/>
          </w:tcPr>
          <w:p>
            <w:pPr>
              <w:spacing w:after="0"/>
              <w:rPr>
                <w:sz w:val="18"/>
                <w:szCs w:val="18"/>
                <w:color w:val="auto"/>
              </w:rPr>
            </w:pPr>
          </w:p>
        </w:tc>
        <w:tc>
          <w:tcPr>
            <w:tcW w:w="16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66</w:t>
            </w:r>
          </w:p>
        </w:tc>
        <w:tc>
          <w:tcPr>
            <w:tcW w:w="2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6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33</w:t>
            </w:r>
          </w:p>
        </w:tc>
        <w:tc>
          <w:tcPr>
            <w:tcW w:w="12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260" w:type="dxa"/>
            <w:vAlign w:val="bottom"/>
            <w:vMerge w:val="restart"/>
          </w:tcPr>
          <w:p>
            <w:pPr>
              <w:ind w:left="140"/>
              <w:spacing w:after="0"/>
              <w:rPr>
                <w:sz w:val="20"/>
                <w:szCs w:val="20"/>
                <w:color w:val="auto"/>
              </w:rPr>
            </w:pPr>
            <w:r>
              <w:rPr>
                <w:rFonts w:ascii="Arial" w:cs="Arial" w:eastAsia="Arial" w:hAnsi="Arial"/>
                <w:sz w:val="18"/>
                <w:szCs w:val="18"/>
                <w:color w:val="auto"/>
              </w:rPr>
              <w:t>Total assets</w:t>
            </w:r>
          </w:p>
        </w:tc>
        <w:tc>
          <w:tcPr>
            <w:tcW w:w="24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00" w:type="dxa"/>
            <w:vAlign w:val="bottom"/>
            <w:gridSpan w:val="2"/>
          </w:tcPr>
          <w:p>
            <w:pPr>
              <w:spacing w:after="0"/>
              <w:rPr>
                <w:sz w:val="21"/>
                <w:szCs w:val="21"/>
                <w:color w:val="auto"/>
              </w:rPr>
            </w:pPr>
          </w:p>
        </w:tc>
        <w:tc>
          <w:tcPr>
            <w:tcW w:w="1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vMerge w:val="continue"/>
          </w:tcPr>
          <w:p>
            <w:pPr>
              <w:spacing w:after="0"/>
              <w:rPr>
                <w:sz w:val="18"/>
                <w:szCs w:val="18"/>
                <w:color w:val="auto"/>
              </w:rPr>
            </w:pPr>
          </w:p>
        </w:tc>
        <w:tc>
          <w:tcPr>
            <w:tcW w:w="24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w w:val="79"/>
              </w:rPr>
              <w:t>$</w:t>
            </w: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14,245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top w:val="single" w:sz="8" w:color="auto"/>
            </w:tcBorders>
          </w:tcPr>
          <w:p>
            <w:pPr>
              <w:jc w:val="right"/>
              <w:ind w:right="3"/>
              <w:spacing w:after="0"/>
              <w:rPr>
                <w:sz w:val="20"/>
                <w:szCs w:val="20"/>
                <w:color w:val="auto"/>
              </w:rPr>
            </w:pPr>
            <w:r>
              <w:rPr>
                <w:rFonts w:ascii="Arial" w:cs="Arial" w:eastAsia="Arial" w:hAnsi="Arial"/>
                <w:sz w:val="15"/>
                <w:szCs w:val="15"/>
                <w:color w:val="auto"/>
                <w:w w:val="71"/>
              </w:rPr>
              <w:t>$</w:t>
            </w:r>
          </w:p>
        </w:tc>
        <w:tc>
          <w:tcPr>
            <w:tcW w:w="1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14,896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7280" w:type="dxa"/>
            <w:vAlign w:val="bottom"/>
            <w:gridSpan w:val="2"/>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280" w:type="dxa"/>
            <w:vAlign w:val="bottom"/>
            <w:gridSpan w:val="2"/>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restart"/>
          </w:tcPr>
          <w:p>
            <w:pPr>
              <w:spacing w:after="0"/>
              <w:rPr>
                <w:sz w:val="11"/>
                <w:szCs w:val="11"/>
                <w:color w:val="auto"/>
              </w:rPr>
            </w:pPr>
          </w:p>
        </w:tc>
        <w:tc>
          <w:tcPr>
            <w:tcW w:w="7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gridSpan w:val="2"/>
          </w:tcPr>
          <w:p>
            <w:pPr>
              <w:spacing w:after="0"/>
              <w:rPr>
                <w:sz w:val="11"/>
                <w:szCs w:val="11"/>
                <w:color w:val="auto"/>
              </w:rPr>
            </w:pPr>
          </w:p>
        </w:tc>
        <w:tc>
          <w:tcPr>
            <w:tcW w:w="1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60" w:type="dxa"/>
            <w:vAlign w:val="bottom"/>
            <w:shd w:val="clear" w:color="auto" w:fill="EAF9E8"/>
          </w:tcPr>
          <w:p>
            <w:pPr>
              <w:spacing w:after="0"/>
              <w:rPr>
                <w:sz w:val="20"/>
                <w:szCs w:val="20"/>
                <w:color w:val="auto"/>
              </w:rPr>
            </w:pPr>
            <w:r>
              <w:rPr>
                <w:rFonts w:ascii="Arial" w:cs="Arial" w:eastAsia="Arial" w:hAnsi="Arial"/>
                <w:sz w:val="18"/>
                <w:szCs w:val="18"/>
                <w:color w:val="auto"/>
              </w:rPr>
              <w:t>Total liabilities (including customer deposits of $5,805 and $5,820)</w:t>
            </w:r>
          </w:p>
        </w:tc>
        <w:tc>
          <w:tcPr>
            <w:tcW w:w="240" w:type="dxa"/>
            <w:vAlign w:val="bottom"/>
            <w:shd w:val="clear" w:color="auto" w:fill="EAF9E8"/>
          </w:tcPr>
          <w:p>
            <w:pPr>
              <w:jc w:val="right"/>
              <w:ind w:right="52"/>
              <w:spacing w:after="0"/>
              <w:rPr>
                <w:sz w:val="20"/>
                <w:szCs w:val="20"/>
                <w:color w:val="auto"/>
              </w:rPr>
            </w:pPr>
            <w:r>
              <w:rPr>
                <w:rFonts w:ascii="Arial" w:cs="Arial" w:eastAsia="Arial" w:hAnsi="Arial"/>
                <w:sz w:val="18"/>
                <w:szCs w:val="18"/>
                <w:color w:val="auto"/>
                <w:w w:val="79"/>
              </w:rPr>
              <w:t>$</w:t>
            </w:r>
          </w:p>
        </w:tc>
        <w:tc>
          <w:tcPr>
            <w:tcW w:w="16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6,262</w:t>
            </w:r>
          </w:p>
        </w:tc>
        <w:tc>
          <w:tcPr>
            <w:tcW w:w="200" w:type="dxa"/>
            <w:vAlign w:val="bottom"/>
            <w:shd w:val="clear" w:color="auto" w:fill="EAF9E8"/>
          </w:tcPr>
          <w:p>
            <w:pPr>
              <w:spacing w:after="0"/>
              <w:rPr>
                <w:sz w:val="18"/>
                <w:szCs w:val="18"/>
                <w:color w:val="auto"/>
              </w:rPr>
            </w:pPr>
          </w:p>
        </w:tc>
        <w:tc>
          <w:tcPr>
            <w:tcW w:w="300" w:type="dxa"/>
            <w:vAlign w:val="bottom"/>
            <w:gridSpan w:val="2"/>
            <w:shd w:val="clear" w:color="auto" w:fill="EAF9E8"/>
          </w:tcPr>
          <w:p>
            <w:pPr>
              <w:jc w:val="right"/>
              <w:ind w:right="3"/>
              <w:spacing w:after="0"/>
              <w:rPr>
                <w:sz w:val="20"/>
                <w:szCs w:val="20"/>
                <w:color w:val="auto"/>
              </w:rPr>
            </w:pPr>
            <w:r>
              <w:rPr>
                <w:rFonts w:ascii="Arial" w:cs="Arial" w:eastAsia="Arial" w:hAnsi="Arial"/>
                <w:sz w:val="18"/>
                <w:szCs w:val="18"/>
                <w:color w:val="auto"/>
              </w:rPr>
              <w:t>$</w:t>
            </w:r>
          </w:p>
        </w:tc>
        <w:tc>
          <w:tcPr>
            <w:tcW w:w="16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6,280</w:t>
            </w:r>
          </w:p>
        </w:tc>
        <w:tc>
          <w:tcPr>
            <w:tcW w:w="12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2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67575"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16" w:name="page17"/>
    <w:bookmarkEnd w:id="16"/>
    <w:tbl>
      <w:tblPr>
        <w:tblLayout w:type="fixed"/>
        <w:tblInd w:w="0" w:type="dxa"/>
        <w:tblCellMar>
          <w:top w:w="0" w:type="dxa"/>
          <w:left w:w="0" w:type="dxa"/>
          <w:bottom w:w="0" w:type="dxa"/>
          <w:right w:w="0" w:type="dxa"/>
        </w:tblCellMar>
      </w:tblPr>
      <w:tr>
        <w:trPr>
          <w:trHeight w:val="228"/>
        </w:trPr>
        <w:tc>
          <w:tcPr>
            <w:tcW w:w="1020" w:type="dxa"/>
            <w:vAlign w:val="bottom"/>
            <w:gridSpan w:val="2"/>
          </w:tcPr>
          <w:p>
            <w:pPr>
              <w:spacing w:after="0"/>
              <w:rPr>
                <w:sz w:val="20"/>
                <w:szCs w:val="20"/>
                <w:color w:val="auto"/>
              </w:rPr>
            </w:pPr>
            <w:r>
              <w:rPr>
                <w:rFonts w:ascii="Arial" w:cs="Arial" w:eastAsia="Arial" w:hAnsi="Arial"/>
                <w:sz w:val="18"/>
                <w:szCs w:val="18"/>
                <w:b w:val="1"/>
                <w:bCs w:val="1"/>
                <w:color w:val="auto"/>
              </w:rPr>
              <w:t>NOTE 5</w:t>
            </w:r>
          </w:p>
        </w:tc>
        <w:tc>
          <w:tcPr>
            <w:tcW w:w="5920" w:type="dxa"/>
            <w:vAlign w:val="bottom"/>
          </w:tcPr>
          <w:p>
            <w:pPr>
              <w:ind w:left="360"/>
              <w:spacing w:after="0"/>
              <w:rPr>
                <w:sz w:val="20"/>
                <w:szCs w:val="20"/>
                <w:color w:val="auto"/>
              </w:rPr>
            </w:pPr>
            <w:r>
              <w:rPr>
                <w:rFonts w:ascii="Arial" w:cs="Arial" w:eastAsia="Arial" w:hAnsi="Arial"/>
                <w:sz w:val="18"/>
                <w:szCs w:val="18"/>
                <w:b w:val="1"/>
                <w:bCs w:val="1"/>
                <w:color w:val="auto"/>
              </w:rPr>
              <w:t>TRADING SECURITIES</w:t>
            </w:r>
          </w:p>
        </w:tc>
        <w:tc>
          <w:tcPr>
            <w:tcW w:w="28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6920" w:type="dxa"/>
            <w:vAlign w:val="bottom"/>
            <w:gridSpan w:val="2"/>
          </w:tcPr>
          <w:p>
            <w:pPr>
              <w:ind w:left="420"/>
              <w:spacing w:after="0"/>
              <w:rPr>
                <w:sz w:val="20"/>
                <w:szCs w:val="20"/>
                <w:color w:val="auto"/>
              </w:rPr>
            </w:pPr>
            <w:r>
              <w:rPr>
                <w:rFonts w:ascii="Arial" w:cs="Arial" w:eastAsia="Arial" w:hAnsi="Arial"/>
                <w:sz w:val="18"/>
                <w:szCs w:val="18"/>
                <w:color w:val="auto"/>
              </w:rPr>
              <w:t>Trading securities consisted of the following at the dates indicated:</w:t>
            </w:r>
          </w:p>
        </w:tc>
        <w:tc>
          <w:tcPr>
            <w:tcW w:w="2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20" w:type="dxa"/>
            <w:vAlign w:val="bottom"/>
          </w:tcPr>
          <w:p>
            <w:pPr>
              <w:jc w:val="right"/>
              <w:ind w:right="352"/>
              <w:spacing w:after="0"/>
              <w:rPr>
                <w:sz w:val="20"/>
                <w:szCs w:val="20"/>
                <w:color w:val="auto"/>
              </w:rPr>
            </w:pPr>
            <w:r>
              <w:rPr>
                <w:rFonts w:ascii="Arial" w:cs="Arial" w:eastAsia="Arial" w:hAnsi="Arial"/>
                <w:sz w:val="18"/>
                <w:szCs w:val="18"/>
                <w:color w:val="auto"/>
              </w:rPr>
              <w:t>March 31, 2009</w:t>
            </w: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0" w:type="dxa"/>
            <w:vAlign w:val="bottom"/>
          </w:tcPr>
          <w:p>
            <w:pPr>
              <w:jc w:val="right"/>
              <w:ind w:right="232"/>
              <w:spacing w:after="0"/>
              <w:rPr>
                <w:sz w:val="20"/>
                <w:szCs w:val="20"/>
                <w:color w:val="auto"/>
              </w:rPr>
            </w:pPr>
            <w:r>
              <w:rPr>
                <w:rFonts w:ascii="Arial" w:cs="Arial" w:eastAsia="Arial" w:hAnsi="Arial"/>
                <w:sz w:val="18"/>
                <w:szCs w:val="18"/>
                <w:color w:val="auto"/>
                <w:w w:val="92"/>
              </w:rPr>
              <w:t>December 31, 2008</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6920" w:type="dxa"/>
            <w:vAlign w:val="bottom"/>
            <w:gridSpan w:val="2"/>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tcPr>
          <w:p>
            <w:pPr>
              <w:spacing w:after="0"/>
              <w:rPr>
                <w:sz w:val="21"/>
                <w:szCs w:val="21"/>
                <w:color w:val="auto"/>
              </w:rPr>
            </w:pPr>
          </w:p>
        </w:tc>
        <w:tc>
          <w:tcPr>
            <w:tcW w:w="36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80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6920" w:type="dxa"/>
            <w:vAlign w:val="bottom"/>
            <w:gridSpan w:val="2"/>
          </w:tcPr>
          <w:p>
            <w:pPr>
              <w:spacing w:after="0"/>
              <w:rPr>
                <w:sz w:val="12"/>
                <w:szCs w:val="12"/>
                <w:color w:val="auto"/>
              </w:rPr>
            </w:pPr>
          </w:p>
        </w:tc>
        <w:tc>
          <w:tcPr>
            <w:tcW w:w="28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560" w:type="dxa"/>
            <w:vAlign w:val="bottom"/>
            <w:gridSpan w:val="2"/>
          </w:tcPr>
          <w:p>
            <w:pPr>
              <w:spacing w:after="0"/>
              <w:rPr>
                <w:sz w:val="12"/>
                <w:szCs w:val="12"/>
                <w:color w:val="auto"/>
              </w:rPr>
            </w:pPr>
          </w:p>
        </w:tc>
        <w:tc>
          <w:tcPr>
            <w:tcW w:w="1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2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Investment grade auction rate (Corporate Items and Other)</w:t>
            </w:r>
          </w:p>
        </w:tc>
        <w:tc>
          <w:tcPr>
            <w:tcW w:w="280" w:type="dxa"/>
            <w:vAlign w:val="bottom"/>
            <w:shd w:val="clear" w:color="auto" w:fill="EAF9E8"/>
          </w:tcPr>
          <w:p>
            <w:pPr>
              <w:jc w:val="right"/>
              <w:ind w:right="92"/>
              <w:spacing w:after="0"/>
              <w:rPr>
                <w:sz w:val="20"/>
                <w:szCs w:val="20"/>
                <w:color w:val="auto"/>
              </w:rPr>
            </w:pPr>
            <w:r>
              <w:rPr>
                <w:rFonts w:ascii="Arial" w:cs="Arial" w:eastAsia="Arial" w:hAnsi="Arial"/>
                <w:sz w:val="18"/>
                <w:szCs w:val="18"/>
                <w:color w:val="auto"/>
                <w:w w:val="79"/>
              </w:rPr>
              <w:t>$</w:t>
            </w:r>
          </w:p>
        </w:tc>
        <w:tc>
          <w:tcPr>
            <w:tcW w:w="17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238,161</w:t>
            </w:r>
          </w:p>
        </w:tc>
        <w:tc>
          <w:tcPr>
            <w:tcW w:w="560" w:type="dxa"/>
            <w:vAlign w:val="bottom"/>
            <w:gridSpan w:val="2"/>
            <w:shd w:val="clear" w:color="auto" w:fill="EAF9E8"/>
          </w:tcPr>
          <w:p>
            <w:pPr>
              <w:jc w:val="right"/>
              <w:ind w:right="43"/>
              <w:spacing w:after="0"/>
              <w:rPr>
                <w:sz w:val="20"/>
                <w:szCs w:val="20"/>
                <w:color w:val="auto"/>
              </w:rPr>
            </w:pPr>
            <w:r>
              <w:rPr>
                <w:rFonts w:ascii="Arial" w:cs="Arial" w:eastAsia="Arial" w:hAnsi="Arial"/>
                <w:sz w:val="18"/>
                <w:szCs w:val="18"/>
                <w:color w:val="auto"/>
              </w:rPr>
              <w:t>$</w:t>
            </w:r>
          </w:p>
        </w:tc>
        <w:tc>
          <w:tcPr>
            <w:tcW w:w="18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239,301</w:t>
            </w:r>
          </w:p>
        </w:tc>
        <w:tc>
          <w:tcPr>
            <w:tcW w:w="12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6940" w:type="dxa"/>
            <w:vAlign w:val="bottom"/>
            <w:gridSpan w:val="3"/>
            <w:vMerge w:val="restart"/>
          </w:tcPr>
          <w:p>
            <w:pPr>
              <w:spacing w:after="0"/>
              <w:rPr>
                <w:sz w:val="20"/>
                <w:szCs w:val="20"/>
                <w:color w:val="auto"/>
              </w:rPr>
            </w:pPr>
            <w:r>
              <w:rPr>
                <w:rFonts w:ascii="Arial" w:cs="Arial" w:eastAsia="Arial" w:hAnsi="Arial"/>
                <w:sz w:val="18"/>
                <w:szCs w:val="18"/>
                <w:color w:val="auto"/>
              </w:rPr>
              <w:t>Subordinates and residuals:</w:t>
            </w:r>
          </w:p>
        </w:tc>
        <w:tc>
          <w:tcPr>
            <w:tcW w:w="28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tcPr>
          <w:p>
            <w:pPr>
              <w:spacing w:after="0"/>
              <w:rPr>
                <w:sz w:val="21"/>
                <w:szCs w:val="21"/>
                <w:color w:val="auto"/>
              </w:rPr>
            </w:pPr>
          </w:p>
        </w:tc>
        <w:tc>
          <w:tcPr>
            <w:tcW w:w="36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80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940" w:type="dxa"/>
            <w:vAlign w:val="bottom"/>
            <w:gridSpan w:val="3"/>
            <w:vMerge w:val="continue"/>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6940" w:type="dxa"/>
            <w:vAlign w:val="bottom"/>
            <w:gridSpan w:val="3"/>
            <w:vMerge w:val="continue"/>
          </w:tcPr>
          <w:p>
            <w:pPr>
              <w:spacing w:after="0"/>
              <w:rPr>
                <w:sz w:val="24"/>
                <w:szCs w:val="24"/>
                <w:color w:val="auto"/>
              </w:rPr>
            </w:pPr>
          </w:p>
        </w:tc>
        <w:tc>
          <w:tcPr>
            <w:tcW w:w="2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920" w:type="dxa"/>
            <w:vAlign w:val="bottom"/>
            <w:gridSpan w:val="2"/>
            <w:shd w:val="clear" w:color="auto" w:fill="EAF9E8"/>
          </w:tcPr>
          <w:p>
            <w:pPr>
              <w:ind w:left="140"/>
              <w:spacing w:after="0"/>
              <w:rPr>
                <w:sz w:val="20"/>
                <w:szCs w:val="20"/>
                <w:color w:val="auto"/>
              </w:rPr>
            </w:pPr>
            <w:r>
              <w:rPr>
                <w:rFonts w:ascii="Arial" w:cs="Arial" w:eastAsia="Arial" w:hAnsi="Arial"/>
                <w:sz w:val="18"/>
                <w:szCs w:val="18"/>
                <w:color w:val="auto"/>
              </w:rPr>
              <w:t>Loans and Residuals</w:t>
            </w:r>
          </w:p>
        </w:tc>
        <w:tc>
          <w:tcPr>
            <w:tcW w:w="280" w:type="dxa"/>
            <w:vAlign w:val="bottom"/>
            <w:shd w:val="clear" w:color="auto" w:fill="EAF9E8"/>
          </w:tcPr>
          <w:p>
            <w:pPr>
              <w:jc w:val="right"/>
              <w:ind w:right="92"/>
              <w:spacing w:after="0"/>
              <w:rPr>
                <w:sz w:val="20"/>
                <w:szCs w:val="20"/>
                <w:color w:val="auto"/>
              </w:rPr>
            </w:pPr>
            <w:r>
              <w:rPr>
                <w:rFonts w:ascii="Arial" w:cs="Arial" w:eastAsia="Arial" w:hAnsi="Arial"/>
                <w:sz w:val="18"/>
                <w:szCs w:val="18"/>
                <w:color w:val="auto"/>
                <w:w w:val="79"/>
              </w:rPr>
              <w:t>$</w:t>
            </w:r>
          </w:p>
        </w:tc>
        <w:tc>
          <w:tcPr>
            <w:tcW w:w="17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3,921</w:t>
            </w:r>
          </w:p>
        </w:tc>
        <w:tc>
          <w:tcPr>
            <w:tcW w:w="560" w:type="dxa"/>
            <w:vAlign w:val="bottom"/>
            <w:gridSpan w:val="2"/>
            <w:shd w:val="clear" w:color="auto" w:fill="EAF9E8"/>
          </w:tcPr>
          <w:p>
            <w:pPr>
              <w:jc w:val="right"/>
              <w:ind w:right="43"/>
              <w:spacing w:after="0"/>
              <w:rPr>
                <w:sz w:val="20"/>
                <w:szCs w:val="20"/>
                <w:color w:val="auto"/>
              </w:rPr>
            </w:pPr>
            <w:r>
              <w:rPr>
                <w:rFonts w:ascii="Arial" w:cs="Arial" w:eastAsia="Arial" w:hAnsi="Arial"/>
                <w:sz w:val="18"/>
                <w:szCs w:val="18"/>
                <w:color w:val="auto"/>
              </w:rPr>
              <w:t>$</w:t>
            </w:r>
          </w:p>
        </w:tc>
        <w:tc>
          <w:tcPr>
            <w:tcW w:w="18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4,204</w:t>
            </w:r>
          </w:p>
        </w:tc>
        <w:tc>
          <w:tcPr>
            <w:tcW w:w="12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920" w:type="dxa"/>
            <w:vAlign w:val="bottom"/>
            <w:gridSpan w:val="2"/>
          </w:tcPr>
          <w:p>
            <w:pPr>
              <w:ind w:left="140"/>
              <w:spacing w:after="0"/>
              <w:rPr>
                <w:sz w:val="20"/>
                <w:szCs w:val="20"/>
                <w:color w:val="auto"/>
              </w:rPr>
            </w:pPr>
            <w:r>
              <w:rPr>
                <w:rFonts w:ascii="Arial" w:cs="Arial" w:eastAsia="Arial" w:hAnsi="Arial"/>
                <w:sz w:val="18"/>
                <w:szCs w:val="18"/>
                <w:color w:val="auto"/>
              </w:rPr>
              <w:t>Corporate Items and Other</w:t>
            </w:r>
          </w:p>
        </w:tc>
        <w:tc>
          <w:tcPr>
            <w:tcW w:w="28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107</w:t>
            </w: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165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9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560" w:type="dxa"/>
            <w:vAlign w:val="bottom"/>
            <w:gridSpan w:val="2"/>
          </w:tcPr>
          <w:p>
            <w:pPr>
              <w:spacing w:after="0"/>
              <w:rPr>
                <w:sz w:val="20"/>
                <w:szCs w:val="20"/>
                <w:color w:val="auto"/>
              </w:rPr>
            </w:pPr>
          </w:p>
        </w:tc>
        <w:tc>
          <w:tcPr>
            <w:tcW w:w="1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00" w:type="dxa"/>
            <w:vAlign w:val="bottom"/>
            <w:shd w:val="clear" w:color="auto" w:fill="EAF9E8"/>
          </w:tcPr>
          <w:p>
            <w:pPr>
              <w:spacing w:after="0"/>
              <w:rPr>
                <w:sz w:val="18"/>
                <w:szCs w:val="18"/>
                <w:color w:val="auto"/>
              </w:rPr>
            </w:pPr>
          </w:p>
        </w:tc>
        <w:tc>
          <w:tcPr>
            <w:tcW w:w="5920" w:type="dxa"/>
            <w:vAlign w:val="bottom"/>
            <w:shd w:val="clear" w:color="auto" w:fill="EAF9E8"/>
          </w:tcPr>
          <w:p>
            <w:pPr>
              <w:spacing w:after="0"/>
              <w:rPr>
                <w:sz w:val="18"/>
                <w:szCs w:val="18"/>
                <w:color w:val="auto"/>
              </w:rPr>
            </w:pPr>
          </w:p>
        </w:tc>
        <w:tc>
          <w:tcPr>
            <w:tcW w:w="280" w:type="dxa"/>
            <w:vAlign w:val="bottom"/>
            <w:tcBorders>
              <w:top w:val="single" w:sz="8" w:color="auto"/>
            </w:tcBorders>
            <w:shd w:val="clear" w:color="auto" w:fill="EAF9E8"/>
          </w:tcPr>
          <w:p>
            <w:pPr>
              <w:jc w:val="right"/>
              <w:ind w:right="92"/>
              <w:spacing w:after="0"/>
              <w:rPr>
                <w:sz w:val="20"/>
                <w:szCs w:val="20"/>
                <w:color w:val="auto"/>
              </w:rPr>
            </w:pPr>
            <w:r>
              <w:rPr>
                <w:rFonts w:ascii="Arial" w:cs="Arial" w:eastAsia="Arial" w:hAnsi="Arial"/>
                <w:sz w:val="18"/>
                <w:szCs w:val="18"/>
                <w:color w:val="auto"/>
                <w:w w:val="79"/>
              </w:rPr>
              <w:t>$</w:t>
            </w:r>
          </w:p>
        </w:tc>
        <w:tc>
          <w:tcPr>
            <w:tcW w:w="172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4,028</w:t>
            </w:r>
          </w:p>
        </w:tc>
        <w:tc>
          <w:tcPr>
            <w:tcW w:w="360" w:type="dxa"/>
            <w:vAlign w:val="bottom"/>
            <w:shd w:val="clear" w:color="auto" w:fill="EAF9E8"/>
          </w:tcPr>
          <w:p>
            <w:pPr>
              <w:spacing w:after="0"/>
              <w:rPr>
                <w:sz w:val="18"/>
                <w:szCs w:val="18"/>
                <w:color w:val="auto"/>
              </w:rPr>
            </w:pPr>
          </w:p>
        </w:tc>
        <w:tc>
          <w:tcPr>
            <w:tcW w:w="200" w:type="dxa"/>
            <w:vAlign w:val="bottom"/>
            <w:tcBorders>
              <w:top w:val="single" w:sz="8" w:color="auto"/>
            </w:tcBorders>
            <w:shd w:val="clear" w:color="auto" w:fill="EAF9E8"/>
          </w:tcPr>
          <w:p>
            <w:pPr>
              <w:jc w:val="right"/>
              <w:ind w:right="43"/>
              <w:spacing w:after="0"/>
              <w:rPr>
                <w:sz w:val="20"/>
                <w:szCs w:val="20"/>
                <w:color w:val="auto"/>
              </w:rPr>
            </w:pPr>
            <w:r>
              <w:rPr>
                <w:rFonts w:ascii="Arial" w:cs="Arial" w:eastAsia="Arial" w:hAnsi="Arial"/>
                <w:sz w:val="15"/>
                <w:szCs w:val="15"/>
                <w:color w:val="auto"/>
                <w:w w:val="71"/>
              </w:rPr>
              <w:t>$</w:t>
            </w:r>
          </w:p>
        </w:tc>
        <w:tc>
          <w:tcPr>
            <w:tcW w:w="180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4,369</w:t>
            </w:r>
          </w:p>
        </w:tc>
        <w:tc>
          <w:tcPr>
            <w:tcW w:w="12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59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tcPr>
          <w:p>
            <w:pPr>
              <w:spacing w:after="0"/>
              <w:rPr>
                <w:sz w:val="21"/>
                <w:szCs w:val="21"/>
                <w:color w:val="auto"/>
              </w:rPr>
            </w:pPr>
          </w:p>
        </w:tc>
        <w:tc>
          <w:tcPr>
            <w:tcW w:w="36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80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Gain (loss) on trading securities for the three months ended March 31 was comprised of the following:</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940" w:type="dxa"/>
            <w:vAlign w:val="bottom"/>
          </w:tcPr>
          <w:p>
            <w:pPr>
              <w:spacing w:after="0"/>
              <w:rPr>
                <w:sz w:val="19"/>
                <w:szCs w:val="19"/>
                <w:color w:val="auto"/>
              </w:rPr>
            </w:pPr>
          </w:p>
        </w:tc>
        <w:tc>
          <w:tcPr>
            <w:tcW w:w="1440" w:type="dxa"/>
            <w:vAlign w:val="bottom"/>
          </w:tcPr>
          <w:p>
            <w:pPr>
              <w:jc w:val="right"/>
              <w:ind w:right="172"/>
              <w:spacing w:after="0"/>
              <w:rPr>
                <w:sz w:val="20"/>
                <w:szCs w:val="20"/>
                <w:color w:val="auto"/>
              </w:rPr>
            </w:pPr>
            <w:r>
              <w:rPr>
                <w:rFonts w:ascii="Arial" w:cs="Arial" w:eastAsia="Arial" w:hAnsi="Arial"/>
                <w:sz w:val="18"/>
                <w:szCs w:val="18"/>
                <w:color w:val="auto"/>
              </w:rPr>
              <w:t>2009</w:t>
            </w:r>
          </w:p>
        </w:tc>
        <w:tc>
          <w:tcPr>
            <w:tcW w:w="5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40" w:type="dxa"/>
            <w:vAlign w:val="bottom"/>
          </w:tcPr>
          <w:p>
            <w:pPr>
              <w:jc w:val="right"/>
              <w:ind w:right="732"/>
              <w:spacing w:after="0"/>
              <w:rPr>
                <w:sz w:val="20"/>
                <w:szCs w:val="20"/>
                <w:color w:val="auto"/>
              </w:rPr>
            </w:pPr>
            <w:r>
              <w:rPr>
                <w:rFonts w:ascii="Arial" w:cs="Arial" w:eastAsia="Arial" w:hAnsi="Arial"/>
                <w:sz w:val="18"/>
                <w:szCs w:val="18"/>
                <w:color w:val="auto"/>
              </w:rPr>
              <w:t>2008</w:t>
            </w:r>
          </w:p>
        </w:tc>
        <w:tc>
          <w:tcPr>
            <w:tcW w:w="120" w:type="dxa"/>
            <w:vAlign w:val="bottom"/>
          </w:tcPr>
          <w:p>
            <w:pPr>
              <w:spacing w:after="0"/>
              <w:rPr>
                <w:sz w:val="19"/>
                <w:szCs w:val="19"/>
                <w:color w:val="auto"/>
              </w:rPr>
            </w:pPr>
          </w:p>
        </w:tc>
      </w:tr>
      <w:tr>
        <w:trPr>
          <w:trHeight w:val="245"/>
        </w:trPr>
        <w:tc>
          <w:tcPr>
            <w:tcW w:w="6940" w:type="dxa"/>
            <w:vAlign w:val="bottom"/>
          </w:tcPr>
          <w:p>
            <w:pPr>
              <w:spacing w:after="0"/>
              <w:rPr>
                <w:sz w:val="21"/>
                <w:szCs w:val="21"/>
                <w:color w:val="auto"/>
              </w:rPr>
            </w:pPr>
          </w:p>
        </w:tc>
        <w:tc>
          <w:tcPr>
            <w:tcW w:w="144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360" w:type="dxa"/>
            <w:vAlign w:val="bottom"/>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r>
      <w:tr>
        <w:trPr>
          <w:trHeight w:val="210"/>
        </w:trPr>
        <w:tc>
          <w:tcPr>
            <w:tcW w:w="6940" w:type="dxa"/>
            <w:vAlign w:val="bottom"/>
            <w:shd w:val="clear" w:color="auto" w:fill="EAF9E8"/>
          </w:tcPr>
          <w:p>
            <w:pPr>
              <w:spacing w:after="0"/>
              <w:rPr>
                <w:sz w:val="20"/>
                <w:szCs w:val="20"/>
                <w:color w:val="auto"/>
              </w:rPr>
            </w:pPr>
            <w:r>
              <w:rPr>
                <w:rFonts w:ascii="Arial" w:cs="Arial" w:eastAsia="Arial" w:hAnsi="Arial"/>
                <w:sz w:val="18"/>
                <w:szCs w:val="18"/>
                <w:color w:val="auto"/>
              </w:rPr>
              <w:t>Unrealized losses (1)</w:t>
            </w:r>
          </w:p>
        </w:tc>
        <w:tc>
          <w:tcPr>
            <w:tcW w:w="1440" w:type="dxa"/>
            <w:vAlign w:val="bottom"/>
            <w:shd w:val="clear" w:color="auto" w:fill="EAF9E8"/>
          </w:tcPr>
          <w:p>
            <w:pPr>
              <w:jc w:val="right"/>
              <w:ind w:right="1252"/>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(380)</w:t>
            </w:r>
          </w:p>
        </w:tc>
        <w:tc>
          <w:tcPr>
            <w:tcW w:w="360" w:type="dxa"/>
            <w:vAlign w:val="bottom"/>
            <w:shd w:val="clear" w:color="auto" w:fill="EAF9E8"/>
          </w:tcPr>
          <w:p>
            <w:pPr>
              <w:spacing w:after="0"/>
              <w:rPr>
                <w:sz w:val="18"/>
                <w:szCs w:val="18"/>
                <w:color w:val="auto"/>
              </w:rPr>
            </w:pPr>
          </w:p>
        </w:tc>
        <w:tc>
          <w:tcPr>
            <w:tcW w:w="460" w:type="dxa"/>
            <w:vAlign w:val="bottom"/>
            <w:shd w:val="clear" w:color="auto" w:fill="EAF9E8"/>
          </w:tcPr>
          <w:p>
            <w:pPr>
              <w:jc w:val="right"/>
              <w:ind w:right="303"/>
              <w:spacing w:after="0"/>
              <w:rPr>
                <w:sz w:val="20"/>
                <w:szCs w:val="20"/>
                <w:color w:val="auto"/>
              </w:rPr>
            </w:pPr>
            <w:r>
              <w:rPr>
                <w:rFonts w:ascii="Arial" w:cs="Arial" w:eastAsia="Arial" w:hAnsi="Arial"/>
                <w:sz w:val="15"/>
                <w:szCs w:val="15"/>
                <w:color w:val="auto"/>
                <w:w w:val="71"/>
              </w:rPr>
              <w:t>$</w:t>
            </w:r>
          </w:p>
        </w:tc>
        <w:tc>
          <w:tcPr>
            <w:tcW w:w="15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(11,909)</w:t>
            </w:r>
          </w:p>
        </w:tc>
        <w:tc>
          <w:tcPr>
            <w:tcW w:w="120" w:type="dxa"/>
            <w:vAlign w:val="bottom"/>
            <w:shd w:val="clear" w:color="auto" w:fill="EAF9E8"/>
          </w:tcPr>
          <w:p>
            <w:pPr>
              <w:spacing w:after="0"/>
              <w:rPr>
                <w:sz w:val="18"/>
                <w:szCs w:val="18"/>
                <w:color w:val="auto"/>
              </w:rPr>
            </w:pPr>
          </w:p>
        </w:tc>
      </w:tr>
      <w:tr>
        <w:trPr>
          <w:trHeight w:val="222"/>
        </w:trPr>
        <w:tc>
          <w:tcPr>
            <w:tcW w:w="6940" w:type="dxa"/>
            <w:vAlign w:val="bottom"/>
          </w:tcPr>
          <w:p>
            <w:pPr>
              <w:spacing w:after="0"/>
              <w:rPr>
                <w:sz w:val="20"/>
                <w:szCs w:val="20"/>
                <w:color w:val="auto"/>
              </w:rPr>
            </w:pPr>
            <w:r>
              <w:rPr>
                <w:rFonts w:ascii="Arial" w:cs="Arial" w:eastAsia="Arial" w:hAnsi="Arial"/>
                <w:sz w:val="18"/>
                <w:szCs w:val="18"/>
                <w:color w:val="auto"/>
              </w:rPr>
              <w:t>Realized losses</w:t>
            </w:r>
          </w:p>
        </w:tc>
        <w:tc>
          <w:tcPr>
            <w:tcW w:w="1440" w:type="dxa"/>
            <w:vAlign w:val="bottom"/>
          </w:tcPr>
          <w:p>
            <w:pPr>
              <w:spacing w:after="0"/>
              <w:rPr>
                <w:sz w:val="19"/>
                <w:szCs w:val="19"/>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660" w:type="dxa"/>
            <w:vAlign w:val="bottom"/>
            <w:gridSpan w:val="2"/>
          </w:tcPr>
          <w:p>
            <w:pPr>
              <w:jc w:val="right"/>
              <w:ind w:right="60"/>
              <w:spacing w:after="0"/>
              <w:rPr>
                <w:sz w:val="20"/>
                <w:szCs w:val="20"/>
                <w:color w:val="auto"/>
              </w:rPr>
            </w:pPr>
            <w:r>
              <w:rPr>
                <w:rFonts w:ascii="Arial" w:cs="Arial" w:eastAsia="Arial" w:hAnsi="Arial"/>
                <w:sz w:val="18"/>
                <w:szCs w:val="18"/>
                <w:color w:val="auto"/>
              </w:rPr>
              <w:t>(114)</w:t>
            </w:r>
          </w:p>
        </w:tc>
      </w:tr>
      <w:tr>
        <w:trPr>
          <w:trHeight w:val="237"/>
        </w:trPr>
        <w:tc>
          <w:tcPr>
            <w:tcW w:w="69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920" w:type="dxa"/>
            <w:vAlign w:val="bottom"/>
            <w:gridSpan w:val="2"/>
          </w:tcPr>
          <w:p>
            <w:pPr>
              <w:spacing w:after="0"/>
              <w:rPr>
                <w:sz w:val="20"/>
                <w:szCs w:val="20"/>
                <w:color w:val="auto"/>
              </w:rPr>
            </w:pPr>
          </w:p>
        </w:tc>
        <w:tc>
          <w:tcPr>
            <w:tcW w:w="460" w:type="dxa"/>
            <w:vAlign w:val="bottom"/>
          </w:tcPr>
          <w:p>
            <w:pPr>
              <w:spacing w:after="0"/>
              <w:rPr>
                <w:sz w:val="20"/>
                <w:szCs w:val="20"/>
                <w:color w:val="auto"/>
              </w:rPr>
            </w:pPr>
          </w:p>
        </w:tc>
        <w:tc>
          <w:tcPr>
            <w:tcW w:w="1660" w:type="dxa"/>
            <w:vAlign w:val="bottom"/>
            <w:gridSpan w:val="2"/>
          </w:tcPr>
          <w:p>
            <w:pPr>
              <w:spacing w:after="0"/>
              <w:rPr>
                <w:sz w:val="20"/>
                <w:szCs w:val="20"/>
                <w:color w:val="auto"/>
              </w:rPr>
            </w:pPr>
          </w:p>
        </w:tc>
      </w:tr>
      <w:tr>
        <w:trPr>
          <w:trHeight w:val="210"/>
        </w:trPr>
        <w:tc>
          <w:tcPr>
            <w:tcW w:w="6940" w:type="dxa"/>
            <w:vAlign w:val="bottom"/>
            <w:shd w:val="clear" w:color="auto" w:fill="EAF9E8"/>
          </w:tcPr>
          <w:p>
            <w:pPr>
              <w:spacing w:after="0"/>
              <w:rPr>
                <w:sz w:val="18"/>
                <w:szCs w:val="18"/>
                <w:color w:val="auto"/>
              </w:rPr>
            </w:pPr>
          </w:p>
        </w:tc>
        <w:tc>
          <w:tcPr>
            <w:tcW w:w="1440" w:type="dxa"/>
            <w:vAlign w:val="bottom"/>
            <w:tcBorders>
              <w:top w:val="single" w:sz="8" w:color="auto"/>
            </w:tcBorders>
            <w:shd w:val="clear" w:color="auto" w:fill="EAF9E8"/>
          </w:tcPr>
          <w:p>
            <w:pPr>
              <w:jc w:val="right"/>
              <w:ind w:right="1252"/>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(380)</w:t>
            </w:r>
          </w:p>
        </w:tc>
        <w:tc>
          <w:tcPr>
            <w:tcW w:w="360" w:type="dxa"/>
            <w:vAlign w:val="bottom"/>
            <w:shd w:val="clear" w:color="auto" w:fill="EAF9E8"/>
          </w:tcPr>
          <w:p>
            <w:pPr>
              <w:spacing w:after="0"/>
              <w:rPr>
                <w:sz w:val="18"/>
                <w:szCs w:val="18"/>
                <w:color w:val="auto"/>
              </w:rPr>
            </w:pPr>
          </w:p>
        </w:tc>
        <w:tc>
          <w:tcPr>
            <w:tcW w:w="460" w:type="dxa"/>
            <w:vAlign w:val="bottom"/>
            <w:tcBorders>
              <w:top w:val="single" w:sz="8" w:color="auto"/>
            </w:tcBorders>
            <w:shd w:val="clear" w:color="auto" w:fill="EAF9E8"/>
          </w:tcPr>
          <w:p>
            <w:pPr>
              <w:jc w:val="right"/>
              <w:ind w:right="303"/>
              <w:spacing w:after="0"/>
              <w:rPr>
                <w:sz w:val="20"/>
                <w:szCs w:val="20"/>
                <w:color w:val="auto"/>
              </w:rPr>
            </w:pPr>
            <w:r>
              <w:rPr>
                <w:rFonts w:ascii="Arial" w:cs="Arial" w:eastAsia="Arial" w:hAnsi="Arial"/>
                <w:sz w:val="15"/>
                <w:szCs w:val="15"/>
                <w:color w:val="auto"/>
                <w:w w:val="71"/>
              </w:rPr>
              <w:t>$</w:t>
            </w:r>
          </w:p>
        </w:tc>
        <w:tc>
          <w:tcPr>
            <w:tcW w:w="154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(12,023)</w:t>
            </w:r>
          </w:p>
        </w:tc>
        <w:tc>
          <w:tcPr>
            <w:tcW w:w="120" w:type="dxa"/>
            <w:vAlign w:val="bottom"/>
            <w:shd w:val="clear" w:color="auto" w:fill="EAF9E8"/>
          </w:tcPr>
          <w:p>
            <w:pPr>
              <w:spacing w:after="0"/>
              <w:rPr>
                <w:sz w:val="18"/>
                <w:szCs w:val="18"/>
                <w:color w:val="auto"/>
              </w:rPr>
            </w:pPr>
          </w:p>
        </w:tc>
      </w:tr>
      <w:tr>
        <w:trPr>
          <w:trHeight w:val="243"/>
        </w:trPr>
        <w:tc>
          <w:tcPr>
            <w:tcW w:w="6940" w:type="dxa"/>
            <w:vAlign w:val="bottom"/>
          </w:tcPr>
          <w:p>
            <w:pPr>
              <w:spacing w:after="0"/>
              <w:rPr>
                <w:sz w:val="21"/>
                <w:szCs w:val="21"/>
                <w:color w:val="auto"/>
              </w:rPr>
            </w:pPr>
          </w:p>
        </w:tc>
        <w:tc>
          <w:tcPr>
            <w:tcW w:w="144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360" w:type="dxa"/>
            <w:vAlign w:val="bottom"/>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r>
      <w:tr>
        <w:trPr>
          <w:trHeight w:val="20"/>
        </w:trPr>
        <w:tc>
          <w:tcPr>
            <w:tcW w:w="694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8" w:lineRule="exact"/>
        <w:rPr>
          <w:sz w:val="20"/>
          <w:szCs w:val="20"/>
          <w:color w:val="auto"/>
        </w:rPr>
      </w:pPr>
    </w:p>
    <w:p>
      <w:pPr>
        <w:ind w:left="580" w:hanging="572"/>
        <w:spacing w:after="0"/>
        <w:tabs>
          <w:tab w:leader="none" w:pos="5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Unrealized losses on auction rate securities were $40 and $8,939 for the first three months of 2009 and 2008, respectively.</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Grade Auction Rate Securities</w:t>
      </w:r>
    </w:p>
    <w:p>
      <w:pPr>
        <w:spacing w:after="0" w:line="231" w:lineRule="exact"/>
        <w:rPr>
          <w:sz w:val="20"/>
          <w:szCs w:val="20"/>
          <w:color w:val="auto"/>
        </w:rPr>
      </w:pPr>
    </w:p>
    <w:p>
      <w:pPr>
        <w:jc w:val="both"/>
        <w:ind w:firstLine="587"/>
        <w:spacing w:after="0" w:line="288" w:lineRule="auto"/>
        <w:rPr>
          <w:sz w:val="20"/>
          <w:szCs w:val="20"/>
          <w:color w:val="auto"/>
        </w:rPr>
      </w:pPr>
      <w:r>
        <w:rPr>
          <w:rFonts w:ascii="Arial" w:cs="Arial" w:eastAsia="Arial" w:hAnsi="Arial"/>
          <w:sz w:val="16"/>
          <w:szCs w:val="16"/>
          <w:color w:val="auto"/>
        </w:rPr>
        <w:t>During the first quarter of 2008, we invested Investment Line borrowings (See Note 14) in AAA-rated auction rate securities backed by student loans originated under the U. S. Department of Education’s Federal Family Education Loan Program. Auction rate securities are long-term variable rate bonds tied to short-term interest rates that reset through an auction process that historically occurred every 7 to 35 days. The student loans underlying the auction rate securities carry a U.S Government guarantee of at least 97% of the unpaid principal balance in the event of default. The auction rate securities that we hold are in the senior-most position and are smaller in amount than the federally guaranteed portion of the underlying loans. Historically, the par value of auction rate securities approximated fair value due to the frequent auctions of these securities at par. In the first quarter of 2008, the auction rate security market began experiencing illiquidity, and auctions began to fail because there were not enough orders to purchase all of the securities being offered at the auction. Within the context of a failed auction, the issuer pays the investor a “fail rate” penalty interest until the auction returns to clearing status, the notes mature at par or the notes are called or redeemed.</w:t>
      </w:r>
    </w:p>
    <w:p>
      <w:pPr>
        <w:spacing w:after="0" w:line="174" w:lineRule="exact"/>
        <w:rPr>
          <w:sz w:val="20"/>
          <w:szCs w:val="20"/>
          <w:color w:val="auto"/>
        </w:rPr>
      </w:pPr>
    </w:p>
    <w:p>
      <w:pPr>
        <w:jc w:val="both"/>
        <w:ind w:firstLine="599"/>
        <w:spacing w:after="0" w:line="294" w:lineRule="auto"/>
        <w:rPr>
          <w:sz w:val="20"/>
          <w:szCs w:val="20"/>
          <w:color w:val="auto"/>
        </w:rPr>
      </w:pPr>
      <w:r>
        <w:rPr>
          <w:rFonts w:ascii="Arial" w:cs="Arial" w:eastAsia="Arial" w:hAnsi="Arial"/>
          <w:sz w:val="16"/>
          <w:szCs w:val="16"/>
          <w:color w:val="auto"/>
        </w:rPr>
        <w:t>On January 21, 2009, Fitch Ratings announced that it had downgraded several tranches of auction rate securities from ‘AAA’ to ‘BBB’. Auction rate securities we hold, with a par value of $70,350 at March 31, 2009, were affected by this ratings action. On January 28, 2009 and February 19, 2009, respectively, Moody’s Investors Services, Inc. announced that it had downgraded several tranches of auction rate securities from ‘BBB’ to ‘B’ and from ‘AAA’ to ‘A’. Auction rate securities we hold, with a par value of $70,350 and $6,400 at March 31, 2009, were affected by the ratings actions from ‘BBB’ to ‘B’ and from ‘AAA’ to ‘A’, respectively. The AAA rating from Standard and Poor’s Ratings Services has not been revised. To date we have received all interest payments when due.</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5"/>
          <w:szCs w:val="15"/>
          <w:color w:val="auto"/>
        </w:rPr>
        <w:t>There were no sales during the first quarter of 2009. During the first quarter of 2009, one issuer redeemed, at par, notes we held with a face value of $1,100.</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Subordinates and Residuals</w:t>
      </w:r>
    </w:p>
    <w:p>
      <w:pPr>
        <w:spacing w:after="0" w:line="231" w:lineRule="exact"/>
        <w:rPr>
          <w:sz w:val="20"/>
          <w:szCs w:val="20"/>
          <w:color w:val="auto"/>
        </w:rPr>
      </w:pPr>
    </w:p>
    <w:p>
      <w:pPr>
        <w:jc w:val="both"/>
        <w:ind w:firstLine="631"/>
        <w:spacing w:after="0" w:line="256" w:lineRule="auto"/>
        <w:rPr>
          <w:sz w:val="20"/>
          <w:szCs w:val="20"/>
          <w:color w:val="auto"/>
        </w:rPr>
      </w:pPr>
      <w:r>
        <w:rPr>
          <w:rFonts w:ascii="Arial" w:cs="Arial" w:eastAsia="Arial" w:hAnsi="Arial"/>
          <w:sz w:val="18"/>
          <w:szCs w:val="18"/>
          <w:color w:val="auto"/>
        </w:rPr>
        <w:t>Through our investment in subordinate and residual securities, we support senior classes of securities. Principal from the underlying mortgage loans generally is allocated first to the senior classes, with the most senior class having a priority right to the cash flow from the mortgage loans until its payment requirements are satisfied. To the extent that there are defaults and unrecoverable losses on the underlying mortgage loans, resulting in reduced cash flows, the most subordinate security will be the first to bear this loss.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39" w:right="239" w:bottom="1440" w:gutter="0" w:footer="0" w:header="0"/>
        </w:sectPr>
      </w:pPr>
    </w:p>
    <w:bookmarkStart w:id="17" w:name="page18"/>
    <w:bookmarkEnd w:id="17"/>
    <w:p>
      <w:pPr>
        <w:spacing w:after="0"/>
        <w:tabs>
          <w:tab w:leader="none" w:pos="1360" w:val="left"/>
        </w:tabs>
        <w:rPr>
          <w:sz w:val="20"/>
          <w:szCs w:val="20"/>
          <w:color w:val="auto"/>
        </w:rPr>
      </w:pPr>
      <w:r>
        <w:rPr>
          <w:rFonts w:ascii="Arial" w:cs="Arial" w:eastAsia="Arial" w:hAnsi="Arial"/>
          <w:sz w:val="18"/>
          <w:szCs w:val="18"/>
          <w:b w:val="1"/>
          <w:bCs w:val="1"/>
          <w:color w:val="auto"/>
        </w:rPr>
        <w:t>NOTE 6</w:t>
      </w:r>
      <w:r>
        <w:rPr>
          <w:sz w:val="20"/>
          <w:szCs w:val="20"/>
          <w:color w:val="auto"/>
        </w:rPr>
        <w:tab/>
      </w:r>
      <w:r>
        <w:rPr>
          <w:rFonts w:ascii="Arial" w:cs="Arial" w:eastAsia="Arial" w:hAnsi="Arial"/>
          <w:sz w:val="16"/>
          <w:szCs w:val="16"/>
          <w:b w:val="1"/>
          <w:bCs w:val="1"/>
          <w:color w:val="auto"/>
        </w:rPr>
        <w:t>ADVANCES</w:t>
      </w:r>
    </w:p>
    <w:p>
      <w:pPr>
        <w:spacing w:after="0" w:line="231" w:lineRule="exact"/>
        <w:rPr>
          <w:sz w:val="20"/>
          <w:szCs w:val="20"/>
          <w:color w:val="auto"/>
        </w:rPr>
      </w:pPr>
    </w:p>
    <w:p>
      <w:pPr>
        <w:ind w:firstLine="538"/>
        <w:spacing w:after="0" w:line="268" w:lineRule="auto"/>
        <w:rPr>
          <w:sz w:val="20"/>
          <w:szCs w:val="20"/>
          <w:color w:val="auto"/>
        </w:rPr>
      </w:pPr>
      <w:r>
        <w:rPr>
          <w:rFonts w:ascii="Arial" w:cs="Arial" w:eastAsia="Arial" w:hAnsi="Arial"/>
          <w:sz w:val="18"/>
          <w:szCs w:val="18"/>
          <w:color w:val="auto"/>
        </w:rPr>
        <w:t>Advances, representing payments made on behalf of borrowers or on foreclosed properties, but which receive priority repayment under the terms of the large majority of our pooling and servicing agreements, consisted of the following at the dates indicated:</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40" w:type="dxa"/>
            <w:vAlign w:val="bottom"/>
            <w:gridSpan w:val="2"/>
          </w:tcPr>
          <w:p>
            <w:pPr>
              <w:jc w:val="right"/>
              <w:ind w:right="460"/>
              <w:spacing w:after="0"/>
              <w:rPr>
                <w:sz w:val="20"/>
                <w:szCs w:val="20"/>
                <w:color w:val="auto"/>
              </w:rPr>
            </w:pPr>
            <w:r>
              <w:rPr>
                <w:rFonts w:ascii="Arial" w:cs="Arial" w:eastAsia="Arial" w:hAnsi="Arial"/>
                <w:sz w:val="18"/>
                <w:szCs w:val="18"/>
                <w:color w:val="auto"/>
              </w:rPr>
              <w:t>March 31, 2009</w:t>
            </w: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0" w:type="dxa"/>
            <w:vAlign w:val="bottom"/>
          </w:tcPr>
          <w:p>
            <w:pPr>
              <w:jc w:val="right"/>
              <w:ind w:right="232"/>
              <w:spacing w:after="0"/>
              <w:rPr>
                <w:sz w:val="20"/>
                <w:szCs w:val="20"/>
                <w:color w:val="auto"/>
              </w:rPr>
            </w:pPr>
            <w:r>
              <w:rPr>
                <w:rFonts w:ascii="Arial" w:cs="Arial" w:eastAsia="Arial" w:hAnsi="Arial"/>
                <w:sz w:val="18"/>
                <w:szCs w:val="18"/>
                <w:color w:val="auto"/>
                <w:w w:val="92"/>
              </w:rPr>
              <w:t>December 31, 2008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88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80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1040" w:type="dxa"/>
            <w:vAlign w:val="bottom"/>
          </w:tcPr>
          <w:p>
            <w:pPr>
              <w:spacing w:after="0"/>
              <w:rPr>
                <w:sz w:val="12"/>
                <w:szCs w:val="12"/>
                <w:color w:val="auto"/>
              </w:rPr>
            </w:pPr>
          </w:p>
        </w:tc>
        <w:tc>
          <w:tcPr>
            <w:tcW w:w="58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40" w:type="dxa"/>
            <w:vAlign w:val="bottom"/>
            <w:shd w:val="clear" w:color="auto" w:fill="EAF9E8"/>
          </w:tcPr>
          <w:p>
            <w:pPr>
              <w:spacing w:after="0"/>
              <w:rPr>
                <w:sz w:val="20"/>
                <w:szCs w:val="20"/>
                <w:color w:val="auto"/>
              </w:rPr>
            </w:pPr>
            <w:r>
              <w:rPr>
                <w:rFonts w:ascii="Arial" w:cs="Arial" w:eastAsia="Arial" w:hAnsi="Arial"/>
                <w:sz w:val="18"/>
                <w:szCs w:val="18"/>
                <w:color w:val="auto"/>
              </w:rPr>
              <w:t>Servicing:</w:t>
            </w:r>
          </w:p>
        </w:tc>
        <w:tc>
          <w:tcPr>
            <w:tcW w:w="588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72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80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gridSpan w:val="2"/>
          </w:tcPr>
          <w:p>
            <w:pPr>
              <w:ind w:left="140"/>
              <w:spacing w:after="0"/>
              <w:rPr>
                <w:sz w:val="20"/>
                <w:szCs w:val="20"/>
                <w:color w:val="auto"/>
              </w:rPr>
            </w:pPr>
            <w:r>
              <w:rPr>
                <w:rFonts w:ascii="Arial" w:cs="Arial" w:eastAsia="Arial" w:hAnsi="Arial"/>
                <w:sz w:val="18"/>
                <w:szCs w:val="18"/>
                <w:color w:val="auto"/>
              </w:rPr>
              <w:t>Principal and interest</w:t>
            </w: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1740" w:type="dxa"/>
            <w:vAlign w:val="bottom"/>
            <w:gridSpan w:val="2"/>
          </w:tcPr>
          <w:p>
            <w:pPr>
              <w:jc w:val="right"/>
              <w:ind w:right="20"/>
              <w:spacing w:after="0"/>
              <w:rPr>
                <w:sz w:val="20"/>
                <w:szCs w:val="20"/>
                <w:color w:val="auto"/>
              </w:rPr>
            </w:pPr>
            <w:r>
              <w:rPr>
                <w:rFonts w:ascii="Arial" w:cs="Arial" w:eastAsia="Arial" w:hAnsi="Arial"/>
                <w:sz w:val="18"/>
                <w:szCs w:val="18"/>
                <w:color w:val="auto"/>
              </w:rPr>
              <w:t>75,074</w:t>
            </w:r>
          </w:p>
        </w:tc>
        <w:tc>
          <w:tcPr>
            <w:tcW w:w="540" w:type="dxa"/>
            <w:vAlign w:val="bottom"/>
            <w:gridSpan w:val="2"/>
          </w:tcPr>
          <w:p>
            <w:pPr>
              <w:jc w:val="right"/>
              <w:ind w:right="43"/>
              <w:spacing w:after="0"/>
              <w:rPr>
                <w:sz w:val="20"/>
                <w:szCs w:val="20"/>
                <w:color w:val="auto"/>
              </w:rPr>
            </w:pPr>
            <w:r>
              <w:rPr>
                <w:rFonts w:ascii="Arial" w:cs="Arial" w:eastAsia="Arial" w:hAnsi="Arial"/>
                <w:sz w:val="18"/>
                <w:szCs w:val="18"/>
                <w:color w:val="auto"/>
              </w:rPr>
              <w:t>$</w:t>
            </w:r>
          </w:p>
        </w:tc>
        <w:tc>
          <w:tcPr>
            <w:tcW w:w="1800" w:type="dxa"/>
            <w:vAlign w:val="bottom"/>
          </w:tcPr>
          <w:p>
            <w:pPr>
              <w:jc w:val="right"/>
              <w:spacing w:after="0"/>
              <w:rPr>
                <w:sz w:val="20"/>
                <w:szCs w:val="20"/>
                <w:color w:val="auto"/>
              </w:rPr>
            </w:pPr>
            <w:r>
              <w:rPr>
                <w:rFonts w:ascii="Arial" w:cs="Arial" w:eastAsia="Arial" w:hAnsi="Arial"/>
                <w:sz w:val="18"/>
                <w:szCs w:val="18"/>
                <w:color w:val="auto"/>
              </w:rPr>
              <w:t>36,183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gridSpan w:val="2"/>
            <w:shd w:val="clear" w:color="auto" w:fill="EAF9E8"/>
          </w:tcPr>
          <w:p>
            <w:pPr>
              <w:ind w:left="140"/>
              <w:spacing w:after="0"/>
              <w:rPr>
                <w:sz w:val="20"/>
                <w:szCs w:val="20"/>
                <w:color w:val="auto"/>
              </w:rPr>
            </w:pPr>
            <w:r>
              <w:rPr>
                <w:rFonts w:ascii="Arial" w:cs="Arial" w:eastAsia="Arial" w:hAnsi="Arial"/>
                <w:sz w:val="18"/>
                <w:szCs w:val="18"/>
                <w:color w:val="auto"/>
              </w:rPr>
              <w:t>Taxes and insurance</w:t>
            </w:r>
          </w:p>
        </w:tc>
        <w:tc>
          <w:tcPr>
            <w:tcW w:w="280" w:type="dxa"/>
            <w:vAlign w:val="bottom"/>
            <w:shd w:val="clear" w:color="auto" w:fill="EAF9E8"/>
          </w:tcPr>
          <w:p>
            <w:pPr>
              <w:spacing w:after="0"/>
              <w:rPr>
                <w:sz w:val="18"/>
                <w:szCs w:val="18"/>
                <w:color w:val="auto"/>
              </w:rPr>
            </w:pPr>
          </w:p>
        </w:tc>
        <w:tc>
          <w:tcPr>
            <w:tcW w:w="174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57,658</w:t>
            </w:r>
          </w:p>
        </w:tc>
        <w:tc>
          <w:tcPr>
            <w:tcW w:w="34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8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32,812</w:t>
            </w:r>
          </w:p>
        </w:tc>
        <w:tc>
          <w:tcPr>
            <w:tcW w:w="12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gridSpan w:val="2"/>
          </w:tcPr>
          <w:p>
            <w:pPr>
              <w:ind w:left="140"/>
              <w:spacing w:after="0"/>
              <w:rPr>
                <w:sz w:val="20"/>
                <w:szCs w:val="20"/>
                <w:color w:val="auto"/>
              </w:rPr>
            </w:pPr>
            <w:r>
              <w:rPr>
                <w:rFonts w:ascii="Arial" w:cs="Arial" w:eastAsia="Arial" w:hAnsi="Arial"/>
                <w:sz w:val="18"/>
                <w:szCs w:val="18"/>
                <w:color w:val="auto"/>
              </w:rPr>
              <w:t>Foreclosures and bankruptcy costs</w:t>
            </w:r>
          </w:p>
        </w:tc>
        <w:tc>
          <w:tcPr>
            <w:tcW w:w="280" w:type="dxa"/>
            <w:vAlign w:val="bottom"/>
          </w:tcPr>
          <w:p>
            <w:pPr>
              <w:spacing w:after="0"/>
              <w:rPr>
                <w:sz w:val="18"/>
                <w:szCs w:val="18"/>
                <w:color w:val="auto"/>
              </w:rPr>
            </w:pPr>
          </w:p>
        </w:tc>
        <w:tc>
          <w:tcPr>
            <w:tcW w:w="1740" w:type="dxa"/>
            <w:vAlign w:val="bottom"/>
            <w:gridSpan w:val="2"/>
          </w:tcPr>
          <w:p>
            <w:pPr>
              <w:jc w:val="right"/>
              <w:ind w:right="20"/>
              <w:spacing w:after="0"/>
              <w:rPr>
                <w:sz w:val="20"/>
                <w:szCs w:val="20"/>
                <w:color w:val="auto"/>
              </w:rPr>
            </w:pPr>
            <w:r>
              <w:rPr>
                <w:rFonts w:ascii="Arial" w:cs="Arial" w:eastAsia="Arial" w:hAnsi="Arial"/>
                <w:sz w:val="18"/>
                <w:szCs w:val="18"/>
                <w:color w:val="auto"/>
              </w:rPr>
              <w:t>33,605</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23,122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gridSpan w:val="2"/>
            <w:shd w:val="clear" w:color="auto" w:fill="EAF9E8"/>
          </w:tcPr>
          <w:p>
            <w:pPr>
              <w:ind w:left="140"/>
              <w:spacing w:after="0"/>
              <w:rPr>
                <w:sz w:val="20"/>
                <w:szCs w:val="20"/>
                <w:color w:val="auto"/>
              </w:rPr>
            </w:pPr>
            <w:r>
              <w:rPr>
                <w:rFonts w:ascii="Arial" w:cs="Arial" w:eastAsia="Arial" w:hAnsi="Arial"/>
                <w:sz w:val="18"/>
                <w:szCs w:val="18"/>
                <w:color w:val="auto"/>
              </w:rPr>
              <w:t>Real estate servicing costs</w:t>
            </w:r>
          </w:p>
        </w:tc>
        <w:tc>
          <w:tcPr>
            <w:tcW w:w="280" w:type="dxa"/>
            <w:vAlign w:val="bottom"/>
            <w:shd w:val="clear" w:color="auto" w:fill="EAF9E8"/>
          </w:tcPr>
          <w:p>
            <w:pPr>
              <w:spacing w:after="0"/>
              <w:rPr>
                <w:sz w:val="18"/>
                <w:szCs w:val="18"/>
                <w:color w:val="auto"/>
              </w:rPr>
            </w:pPr>
          </w:p>
        </w:tc>
        <w:tc>
          <w:tcPr>
            <w:tcW w:w="174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231</w:t>
            </w:r>
          </w:p>
        </w:tc>
        <w:tc>
          <w:tcPr>
            <w:tcW w:w="34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8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225</w:t>
            </w:r>
          </w:p>
        </w:tc>
        <w:tc>
          <w:tcPr>
            <w:tcW w:w="12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40" w:type="dxa"/>
            <w:vAlign w:val="bottom"/>
          </w:tcPr>
          <w:p>
            <w:pPr>
              <w:ind w:left="140"/>
              <w:spacing w:after="0"/>
              <w:rPr>
                <w:sz w:val="20"/>
                <w:szCs w:val="20"/>
                <w:color w:val="auto"/>
              </w:rPr>
            </w:pPr>
            <w:r>
              <w:rPr>
                <w:rFonts w:ascii="Arial" w:cs="Arial" w:eastAsia="Arial" w:hAnsi="Arial"/>
                <w:sz w:val="18"/>
                <w:szCs w:val="18"/>
                <w:color w:val="auto"/>
              </w:rPr>
              <w:t>Other</w:t>
            </w:r>
          </w:p>
        </w:tc>
        <w:tc>
          <w:tcPr>
            <w:tcW w:w="5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40" w:type="dxa"/>
            <w:vAlign w:val="bottom"/>
            <w:gridSpan w:val="2"/>
          </w:tcPr>
          <w:p>
            <w:pPr>
              <w:jc w:val="right"/>
              <w:ind w:right="20"/>
              <w:spacing w:after="0"/>
              <w:rPr>
                <w:sz w:val="20"/>
                <w:szCs w:val="20"/>
                <w:color w:val="auto"/>
              </w:rPr>
            </w:pPr>
            <w:r>
              <w:rPr>
                <w:rFonts w:ascii="Arial" w:cs="Arial" w:eastAsia="Arial" w:hAnsi="Arial"/>
                <w:sz w:val="18"/>
                <w:szCs w:val="18"/>
                <w:color w:val="auto"/>
              </w:rPr>
              <w:t>1,076</w:t>
            </w: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4,756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8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2"/>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40" w:type="dxa"/>
            <w:vAlign w:val="bottom"/>
            <w:shd w:val="clear" w:color="auto" w:fill="EAF9E8"/>
          </w:tcPr>
          <w:p>
            <w:pPr>
              <w:spacing w:after="0"/>
              <w:rPr>
                <w:sz w:val="18"/>
                <w:szCs w:val="18"/>
                <w:color w:val="auto"/>
              </w:rPr>
            </w:pPr>
          </w:p>
        </w:tc>
        <w:tc>
          <w:tcPr>
            <w:tcW w:w="588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74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167,644</w:t>
            </w:r>
          </w:p>
        </w:tc>
        <w:tc>
          <w:tcPr>
            <w:tcW w:w="34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8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97,098</w:t>
            </w:r>
          </w:p>
        </w:tc>
        <w:tc>
          <w:tcPr>
            <w:tcW w:w="12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gridSpan w:val="2"/>
          </w:tcPr>
          <w:p>
            <w:pPr>
              <w:spacing w:after="0"/>
              <w:rPr>
                <w:sz w:val="20"/>
                <w:szCs w:val="20"/>
                <w:color w:val="auto"/>
              </w:rPr>
            </w:pPr>
            <w:r>
              <w:rPr>
                <w:rFonts w:ascii="Arial" w:cs="Arial" w:eastAsia="Arial" w:hAnsi="Arial"/>
                <w:sz w:val="18"/>
                <w:szCs w:val="18"/>
                <w:color w:val="auto"/>
              </w:rPr>
              <w:t>Loans and Residuals</w:t>
            </w:r>
          </w:p>
        </w:tc>
        <w:tc>
          <w:tcPr>
            <w:tcW w:w="280" w:type="dxa"/>
            <w:vAlign w:val="bottom"/>
          </w:tcPr>
          <w:p>
            <w:pPr>
              <w:spacing w:after="0"/>
              <w:rPr>
                <w:sz w:val="18"/>
                <w:szCs w:val="18"/>
                <w:color w:val="auto"/>
              </w:rPr>
            </w:pPr>
          </w:p>
        </w:tc>
        <w:tc>
          <w:tcPr>
            <w:tcW w:w="1740" w:type="dxa"/>
            <w:vAlign w:val="bottom"/>
            <w:gridSpan w:val="2"/>
          </w:tcPr>
          <w:p>
            <w:pPr>
              <w:jc w:val="right"/>
              <w:ind w:right="20"/>
              <w:spacing w:after="0"/>
              <w:rPr>
                <w:sz w:val="20"/>
                <w:szCs w:val="20"/>
                <w:color w:val="auto"/>
              </w:rPr>
            </w:pPr>
            <w:r>
              <w:rPr>
                <w:rFonts w:ascii="Arial" w:cs="Arial" w:eastAsia="Arial" w:hAnsi="Arial"/>
                <w:sz w:val="18"/>
                <w:szCs w:val="18"/>
                <w:color w:val="auto"/>
              </w:rPr>
              <w:t>4,689</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4,867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Corporate Items and Other</w:t>
            </w:r>
          </w:p>
        </w:tc>
        <w:tc>
          <w:tcPr>
            <w:tcW w:w="280" w:type="dxa"/>
            <w:vAlign w:val="bottom"/>
            <w:shd w:val="clear" w:color="auto" w:fill="EAF9E8"/>
          </w:tcPr>
          <w:p>
            <w:pPr>
              <w:spacing w:after="0"/>
              <w:rPr>
                <w:sz w:val="18"/>
                <w:szCs w:val="18"/>
                <w:color w:val="auto"/>
              </w:rPr>
            </w:pPr>
          </w:p>
        </w:tc>
        <w:tc>
          <w:tcPr>
            <w:tcW w:w="174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126</w:t>
            </w:r>
          </w:p>
        </w:tc>
        <w:tc>
          <w:tcPr>
            <w:tcW w:w="34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8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120</w:t>
            </w:r>
          </w:p>
        </w:tc>
        <w:tc>
          <w:tcPr>
            <w:tcW w:w="12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8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740" w:type="dxa"/>
            <w:vAlign w:val="bottom"/>
            <w:gridSpan w:val="2"/>
          </w:tcPr>
          <w:p>
            <w:pPr>
              <w:spacing w:after="0"/>
              <w:rPr>
                <w:sz w:val="21"/>
                <w:szCs w:val="21"/>
                <w:color w:val="auto"/>
              </w:rPr>
            </w:pPr>
          </w:p>
        </w:tc>
        <w:tc>
          <w:tcPr>
            <w:tcW w:w="540" w:type="dxa"/>
            <w:vAlign w:val="bottom"/>
            <w:gridSpan w:val="2"/>
          </w:tcPr>
          <w:p>
            <w:pPr>
              <w:spacing w:after="0"/>
              <w:rPr>
                <w:sz w:val="21"/>
                <w:szCs w:val="21"/>
                <w:color w:val="auto"/>
              </w:rPr>
            </w:pPr>
          </w:p>
        </w:tc>
        <w:tc>
          <w:tcPr>
            <w:tcW w:w="1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880" w:type="dxa"/>
            <w:vAlign w:val="bottom"/>
          </w:tcPr>
          <w:p>
            <w:pPr>
              <w:spacing w:after="0"/>
              <w:rPr>
                <w:sz w:val="18"/>
                <w:szCs w:val="18"/>
                <w:color w:val="auto"/>
              </w:rPr>
            </w:pPr>
          </w:p>
        </w:tc>
        <w:tc>
          <w:tcPr>
            <w:tcW w:w="280" w:type="dxa"/>
            <w:vAlign w:val="bottom"/>
            <w:tcBorders>
              <w:top w:val="single" w:sz="8" w:color="auto"/>
            </w:tcBorders>
          </w:tcPr>
          <w:p>
            <w:pPr>
              <w:jc w:val="right"/>
              <w:ind w:right="92"/>
              <w:spacing w:after="0"/>
              <w:rPr>
                <w:sz w:val="20"/>
                <w:szCs w:val="20"/>
                <w:color w:val="auto"/>
              </w:rPr>
            </w:pPr>
            <w:r>
              <w:rPr>
                <w:rFonts w:ascii="Arial" w:cs="Arial" w:eastAsia="Arial" w:hAnsi="Arial"/>
                <w:sz w:val="18"/>
                <w:szCs w:val="18"/>
                <w:color w:val="auto"/>
                <w:w w:val="79"/>
              </w:rPr>
              <w:t>$</w:t>
            </w:r>
          </w:p>
        </w:tc>
        <w:tc>
          <w:tcPr>
            <w:tcW w:w="1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172,459</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Borders>
              <w:top w:val="single" w:sz="8" w:color="auto"/>
            </w:tcBorders>
          </w:tcPr>
          <w:p>
            <w:pPr>
              <w:jc w:val="right"/>
              <w:ind w:right="43"/>
              <w:spacing w:after="0"/>
              <w:rPr>
                <w:sz w:val="20"/>
                <w:szCs w:val="20"/>
                <w:color w:val="auto"/>
              </w:rPr>
            </w:pPr>
            <w:r>
              <w:rPr>
                <w:rFonts w:ascii="Arial" w:cs="Arial" w:eastAsia="Arial" w:hAnsi="Arial"/>
                <w:sz w:val="15"/>
                <w:szCs w:val="15"/>
                <w:color w:val="auto"/>
                <w:w w:val="71"/>
              </w:rPr>
              <w:t>$</w:t>
            </w:r>
          </w:p>
        </w:tc>
        <w:tc>
          <w:tcPr>
            <w:tcW w:w="1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102,085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0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NOTE 7</w:t>
            </w:r>
          </w:p>
        </w:tc>
        <w:tc>
          <w:tcPr>
            <w:tcW w:w="5880" w:type="dxa"/>
            <w:vAlign w:val="bottom"/>
            <w:vMerge w:val="restart"/>
          </w:tcPr>
          <w:p>
            <w:pPr>
              <w:ind w:left="320"/>
              <w:spacing w:after="0"/>
              <w:rPr>
                <w:sz w:val="20"/>
                <w:szCs w:val="20"/>
                <w:color w:val="auto"/>
              </w:rPr>
            </w:pPr>
            <w:r>
              <w:rPr>
                <w:rFonts w:ascii="Arial" w:cs="Arial" w:eastAsia="Arial" w:hAnsi="Arial"/>
                <w:sz w:val="18"/>
                <w:szCs w:val="18"/>
                <w:b w:val="1"/>
                <w:bCs w:val="1"/>
                <w:color w:val="auto"/>
              </w:rPr>
              <w:t>MATCH FUNDED ADVANCES</w:t>
            </w:r>
          </w:p>
        </w:tc>
        <w:tc>
          <w:tcPr>
            <w:tcW w:w="28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060" w:type="dxa"/>
            <w:vAlign w:val="bottom"/>
            <w:gridSpan w:val="2"/>
            <w:vMerge w:val="continue"/>
          </w:tcPr>
          <w:p>
            <w:pPr>
              <w:spacing w:after="0" w:line="20" w:lineRule="exact"/>
              <w:rPr>
                <w:sz w:val="1"/>
                <w:szCs w:val="1"/>
                <w:color w:val="auto"/>
              </w:rPr>
            </w:pPr>
          </w:p>
        </w:tc>
        <w:tc>
          <w:tcPr>
            <w:tcW w:w="5880" w:type="dxa"/>
            <w:vAlign w:val="bottom"/>
            <w:vMerge w:val="continue"/>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1"/>
        </w:trPr>
        <w:tc>
          <w:tcPr>
            <w:tcW w:w="1060" w:type="dxa"/>
            <w:vAlign w:val="bottom"/>
            <w:gridSpan w:val="2"/>
            <w:vMerge w:val="continue"/>
          </w:tcPr>
          <w:p>
            <w:pPr>
              <w:spacing w:after="0"/>
              <w:rPr>
                <w:sz w:val="24"/>
                <w:szCs w:val="24"/>
                <w:color w:val="auto"/>
              </w:rPr>
            </w:pPr>
          </w:p>
        </w:tc>
        <w:tc>
          <w:tcPr>
            <w:tcW w:w="588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1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Match funded advances on residential loans we service for others are comprised of the following at the dates indicated:</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4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60" w:type="dxa"/>
            <w:vAlign w:val="bottom"/>
            <w:gridSpan w:val="5"/>
          </w:tcPr>
          <w:p>
            <w:pPr>
              <w:jc w:val="right"/>
              <w:ind w:right="700"/>
              <w:spacing w:after="0"/>
              <w:rPr>
                <w:sz w:val="20"/>
                <w:szCs w:val="20"/>
                <w:color w:val="auto"/>
              </w:rPr>
            </w:pPr>
            <w:r>
              <w:rPr>
                <w:rFonts w:ascii="Arial" w:cs="Arial" w:eastAsia="Arial" w:hAnsi="Arial"/>
                <w:sz w:val="18"/>
                <w:szCs w:val="18"/>
                <w:color w:val="auto"/>
              </w:rPr>
              <w:t>March 31, 2009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900" w:type="dxa"/>
            <w:vAlign w:val="bottom"/>
            <w:gridSpan w:val="4"/>
          </w:tcPr>
          <w:p>
            <w:pPr>
              <w:jc w:val="right"/>
              <w:ind w:right="440"/>
              <w:spacing w:after="0"/>
              <w:rPr>
                <w:sz w:val="20"/>
                <w:szCs w:val="20"/>
                <w:color w:val="auto"/>
              </w:rPr>
            </w:pPr>
            <w:r>
              <w:rPr>
                <w:rFonts w:ascii="Arial" w:cs="Arial" w:eastAsia="Arial" w:hAnsi="Arial"/>
                <w:sz w:val="18"/>
                <w:szCs w:val="18"/>
                <w:color w:val="auto"/>
                <w:w w:val="91"/>
              </w:rPr>
              <w:t>December 31, 2008</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6100" w:type="dxa"/>
            <w:vAlign w:val="bottom"/>
            <w:gridSpan w:val="2"/>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gridSpan w:val="2"/>
          </w:tcPr>
          <w:p>
            <w:pPr>
              <w:spacing w:after="0"/>
              <w:rPr>
                <w:sz w:val="21"/>
                <w:szCs w:val="21"/>
                <w:color w:val="auto"/>
              </w:rPr>
            </w:pPr>
          </w:p>
        </w:tc>
        <w:tc>
          <w:tcPr>
            <w:tcW w:w="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gridSpan w:val="2"/>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00" w:type="dxa"/>
            <w:vAlign w:val="bottom"/>
            <w:gridSpan w:val="2"/>
            <w:shd w:val="clear" w:color="auto" w:fill="EAF9E8"/>
          </w:tcPr>
          <w:p>
            <w:pPr>
              <w:ind w:left="140"/>
              <w:spacing w:after="0"/>
              <w:rPr>
                <w:sz w:val="20"/>
                <w:szCs w:val="20"/>
                <w:color w:val="auto"/>
              </w:rPr>
            </w:pPr>
            <w:r>
              <w:rPr>
                <w:rFonts w:ascii="Arial" w:cs="Arial" w:eastAsia="Arial" w:hAnsi="Arial"/>
                <w:sz w:val="18"/>
                <w:szCs w:val="18"/>
                <w:color w:val="auto"/>
              </w:rPr>
              <w:t>Principal and interest</w:t>
            </w:r>
          </w:p>
        </w:tc>
        <w:tc>
          <w:tcPr>
            <w:tcW w:w="220" w:type="dxa"/>
            <w:vAlign w:val="bottom"/>
            <w:shd w:val="clear" w:color="auto" w:fill="EAF9E8"/>
          </w:tcPr>
          <w:p>
            <w:pPr>
              <w:spacing w:after="0"/>
              <w:rPr>
                <w:sz w:val="18"/>
                <w:szCs w:val="18"/>
                <w:color w:val="auto"/>
              </w:rPr>
            </w:pPr>
          </w:p>
        </w:tc>
        <w:tc>
          <w:tcPr>
            <w:tcW w:w="600" w:type="dxa"/>
            <w:vAlign w:val="bottom"/>
            <w:shd w:val="clear" w:color="auto" w:fill="EAF9E8"/>
          </w:tcPr>
          <w:p>
            <w:pPr>
              <w:spacing w:after="0"/>
              <w:rPr>
                <w:sz w:val="18"/>
                <w:szCs w:val="18"/>
                <w:color w:val="auto"/>
              </w:rPr>
            </w:pPr>
          </w:p>
        </w:tc>
        <w:tc>
          <w:tcPr>
            <w:tcW w:w="680" w:type="dxa"/>
            <w:vAlign w:val="bottom"/>
            <w:tcBorders>
              <w:top w:val="single" w:sz="8" w:color="auto"/>
            </w:tcBorders>
            <w:shd w:val="clear" w:color="auto" w:fill="EAF9E8"/>
          </w:tcPr>
          <w:p>
            <w:pPr>
              <w:jc w:val="right"/>
              <w:ind w:right="492"/>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tcBorders>
            <w:shd w:val="clear" w:color="auto" w:fill="EAF9E8"/>
          </w:tcPr>
          <w:p>
            <w:pPr>
              <w:spacing w:after="0"/>
              <w:rPr>
                <w:sz w:val="18"/>
                <w:szCs w:val="18"/>
                <w:color w:val="auto"/>
              </w:rPr>
            </w:pPr>
          </w:p>
        </w:tc>
        <w:tc>
          <w:tcPr>
            <w:tcW w:w="220" w:type="dxa"/>
            <w:vAlign w:val="bottom"/>
            <w:tcBorders>
              <w:top w:val="single" w:sz="8" w:color="auto"/>
            </w:tcBorders>
            <w:shd w:val="clear" w:color="auto" w:fill="EAF9E8"/>
          </w:tcPr>
          <w:p>
            <w:pPr>
              <w:spacing w:after="0"/>
              <w:rPr>
                <w:sz w:val="18"/>
                <w:szCs w:val="18"/>
                <w:color w:val="auto"/>
              </w:rPr>
            </w:pPr>
          </w:p>
        </w:tc>
        <w:tc>
          <w:tcPr>
            <w:tcW w:w="78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446,138</w:t>
            </w:r>
          </w:p>
        </w:tc>
        <w:tc>
          <w:tcPr>
            <w:tcW w:w="26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4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5"/>
                <w:szCs w:val="15"/>
                <w:color w:val="auto"/>
                <w:w w:val="71"/>
              </w:rPr>
              <w:t>$</w:t>
            </w:r>
          </w:p>
        </w:tc>
        <w:tc>
          <w:tcPr>
            <w:tcW w:w="80" w:type="dxa"/>
            <w:vAlign w:val="bottom"/>
            <w:tcBorders>
              <w:top w:val="single" w:sz="8" w:color="auto"/>
            </w:tcBorders>
            <w:shd w:val="clear" w:color="auto" w:fill="EAF9E8"/>
          </w:tcPr>
          <w:p>
            <w:pPr>
              <w:spacing w:after="0"/>
              <w:rPr>
                <w:sz w:val="18"/>
                <w:szCs w:val="18"/>
                <w:color w:val="auto"/>
              </w:rPr>
            </w:pPr>
          </w:p>
        </w:tc>
        <w:tc>
          <w:tcPr>
            <w:tcW w:w="260" w:type="dxa"/>
            <w:vAlign w:val="bottom"/>
            <w:tcBorders>
              <w:top w:val="single" w:sz="8" w:color="auto"/>
            </w:tcBorders>
            <w:shd w:val="clear" w:color="auto" w:fill="EAF9E8"/>
          </w:tcPr>
          <w:p>
            <w:pPr>
              <w:spacing w:after="0"/>
              <w:rPr>
                <w:sz w:val="18"/>
                <w:szCs w:val="18"/>
                <w:color w:val="auto"/>
              </w:rPr>
            </w:pPr>
          </w:p>
        </w:tc>
        <w:tc>
          <w:tcPr>
            <w:tcW w:w="340" w:type="dxa"/>
            <w:vAlign w:val="bottom"/>
            <w:tcBorders>
              <w:top w:val="single" w:sz="8" w:color="auto"/>
            </w:tcBorders>
            <w:shd w:val="clear" w:color="auto" w:fill="EAF9E8"/>
          </w:tcPr>
          <w:p>
            <w:pPr>
              <w:spacing w:after="0"/>
              <w:rPr>
                <w:sz w:val="18"/>
                <w:szCs w:val="18"/>
                <w:color w:val="auto"/>
              </w:rPr>
            </w:pPr>
          </w:p>
        </w:tc>
        <w:tc>
          <w:tcPr>
            <w:tcW w:w="118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615,344</w:t>
            </w:r>
          </w:p>
        </w:tc>
        <w:tc>
          <w:tcPr>
            <w:tcW w:w="12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gridSpan w:val="2"/>
          </w:tcPr>
          <w:p>
            <w:pPr>
              <w:ind w:left="140"/>
              <w:spacing w:after="0"/>
              <w:rPr>
                <w:sz w:val="20"/>
                <w:szCs w:val="20"/>
                <w:color w:val="auto"/>
              </w:rPr>
            </w:pPr>
            <w:r>
              <w:rPr>
                <w:rFonts w:ascii="Arial" w:cs="Arial" w:eastAsia="Arial" w:hAnsi="Arial"/>
                <w:sz w:val="18"/>
                <w:szCs w:val="18"/>
                <w:color w:val="auto"/>
              </w:rPr>
              <w:t>Taxes and insurance</w:t>
            </w: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291,991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324,605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gridSpan w:val="2"/>
            <w:shd w:val="clear" w:color="auto" w:fill="EAF9E8"/>
          </w:tcPr>
          <w:p>
            <w:pPr>
              <w:ind w:left="140"/>
              <w:spacing w:after="0"/>
              <w:rPr>
                <w:sz w:val="20"/>
                <w:szCs w:val="20"/>
                <w:color w:val="auto"/>
              </w:rPr>
            </w:pPr>
            <w:r>
              <w:rPr>
                <w:rFonts w:ascii="Arial" w:cs="Arial" w:eastAsia="Arial" w:hAnsi="Arial"/>
                <w:sz w:val="18"/>
                <w:szCs w:val="18"/>
                <w:color w:val="auto"/>
              </w:rPr>
              <w:t>Foreclosures and bankruptcy costs</w:t>
            </w:r>
          </w:p>
        </w:tc>
        <w:tc>
          <w:tcPr>
            <w:tcW w:w="220" w:type="dxa"/>
            <w:vAlign w:val="bottom"/>
            <w:shd w:val="clear" w:color="auto" w:fill="EAF9E8"/>
          </w:tcPr>
          <w:p>
            <w:pPr>
              <w:spacing w:after="0"/>
              <w:rPr>
                <w:sz w:val="18"/>
                <w:szCs w:val="18"/>
                <w:color w:val="auto"/>
              </w:rPr>
            </w:pPr>
          </w:p>
        </w:tc>
        <w:tc>
          <w:tcPr>
            <w:tcW w:w="600" w:type="dxa"/>
            <w:vAlign w:val="bottom"/>
            <w:shd w:val="clear" w:color="auto" w:fill="EAF9E8"/>
          </w:tcPr>
          <w:p>
            <w:pPr>
              <w:spacing w:after="0"/>
              <w:rPr>
                <w:sz w:val="18"/>
                <w:szCs w:val="18"/>
                <w:color w:val="auto"/>
              </w:rPr>
            </w:pPr>
          </w:p>
        </w:tc>
        <w:tc>
          <w:tcPr>
            <w:tcW w:w="68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04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66,023</w:t>
            </w:r>
          </w:p>
        </w:tc>
        <w:tc>
          <w:tcPr>
            <w:tcW w:w="1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11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70,142</w:t>
            </w:r>
          </w:p>
        </w:tc>
        <w:tc>
          <w:tcPr>
            <w:tcW w:w="12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gridSpan w:val="2"/>
          </w:tcPr>
          <w:p>
            <w:pPr>
              <w:ind w:left="140"/>
              <w:spacing w:after="0"/>
              <w:rPr>
                <w:sz w:val="20"/>
                <w:szCs w:val="20"/>
                <w:color w:val="auto"/>
              </w:rPr>
            </w:pPr>
            <w:r>
              <w:rPr>
                <w:rFonts w:ascii="Arial" w:cs="Arial" w:eastAsia="Arial" w:hAnsi="Arial"/>
                <w:sz w:val="18"/>
                <w:szCs w:val="18"/>
                <w:color w:val="auto"/>
              </w:rPr>
              <w:t>Real estate servicing costs</w:t>
            </w: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59,175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70,658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shd w:val="clear" w:color="auto" w:fill="EAF9E8"/>
          </w:tcPr>
          <w:p>
            <w:pPr>
              <w:ind w:left="140"/>
              <w:spacing w:after="0"/>
              <w:rPr>
                <w:sz w:val="20"/>
                <w:szCs w:val="20"/>
                <w:color w:val="auto"/>
              </w:rPr>
            </w:pPr>
            <w:r>
              <w:rPr>
                <w:rFonts w:ascii="Arial" w:cs="Arial" w:eastAsia="Arial" w:hAnsi="Arial"/>
                <w:sz w:val="18"/>
                <w:szCs w:val="18"/>
                <w:color w:val="auto"/>
              </w:rPr>
              <w:t>Other</w:t>
            </w:r>
          </w:p>
        </w:tc>
        <w:tc>
          <w:tcPr>
            <w:tcW w:w="476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600" w:type="dxa"/>
            <w:vAlign w:val="bottom"/>
            <w:shd w:val="clear" w:color="auto" w:fill="EAF9E8"/>
          </w:tcPr>
          <w:p>
            <w:pPr>
              <w:spacing w:after="0"/>
              <w:rPr>
                <w:sz w:val="18"/>
                <w:szCs w:val="18"/>
                <w:color w:val="auto"/>
              </w:rPr>
            </w:pPr>
          </w:p>
        </w:tc>
        <w:tc>
          <w:tcPr>
            <w:tcW w:w="68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04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17,917</w:t>
            </w:r>
          </w:p>
        </w:tc>
        <w:tc>
          <w:tcPr>
            <w:tcW w:w="1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11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19,806</w:t>
            </w:r>
          </w:p>
        </w:tc>
        <w:tc>
          <w:tcPr>
            <w:tcW w:w="12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47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gridSpan w:val="2"/>
          </w:tcPr>
          <w:p>
            <w:pPr>
              <w:spacing w:after="0"/>
              <w:rPr>
                <w:sz w:val="21"/>
                <w:szCs w:val="21"/>
                <w:color w:val="auto"/>
              </w:rPr>
            </w:pPr>
          </w:p>
        </w:tc>
        <w:tc>
          <w:tcPr>
            <w:tcW w:w="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gridSpan w:val="2"/>
          </w:tcPr>
          <w:p>
            <w:pPr>
              <w:spacing w:after="0"/>
              <w:rPr>
                <w:sz w:val="21"/>
                <w:szCs w:val="21"/>
                <w:color w:val="auto"/>
              </w:rPr>
            </w:pPr>
          </w:p>
        </w:tc>
        <w:tc>
          <w:tcPr>
            <w:tcW w:w="240" w:type="dxa"/>
            <w:vAlign w:val="bottom"/>
            <w:gridSpan w:val="2"/>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80" w:type="dxa"/>
            <w:vAlign w:val="bottom"/>
            <w:tcBorders>
              <w:top w:val="single" w:sz="8" w:color="auto"/>
            </w:tcBorders>
          </w:tcPr>
          <w:p>
            <w:pPr>
              <w:jc w:val="right"/>
              <w:ind w:right="492"/>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881,244</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1,100,555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3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NOTE 8</w:t>
            </w:r>
          </w:p>
        </w:tc>
        <w:tc>
          <w:tcPr>
            <w:tcW w:w="47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MORTGAGE SERVICING RIGHTS</w:t>
            </w:r>
          </w:p>
        </w:tc>
        <w:tc>
          <w:tcPr>
            <w:tcW w:w="2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360" w:type="dxa"/>
            <w:vAlign w:val="bottom"/>
            <w:gridSpan w:val="2"/>
            <w:vMerge w:val="continue"/>
          </w:tcPr>
          <w:p>
            <w:pPr>
              <w:spacing w:after="0" w:line="20" w:lineRule="exact"/>
              <w:rPr>
                <w:sz w:val="1"/>
                <w:szCs w:val="1"/>
                <w:color w:val="auto"/>
              </w:rPr>
            </w:pPr>
          </w:p>
        </w:tc>
        <w:tc>
          <w:tcPr>
            <w:tcW w:w="4760" w:type="dxa"/>
            <w:vAlign w:val="bottom"/>
            <w:vMerge w:val="continu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1"/>
        </w:trPr>
        <w:tc>
          <w:tcPr>
            <w:tcW w:w="1360" w:type="dxa"/>
            <w:vAlign w:val="bottom"/>
            <w:gridSpan w:val="2"/>
            <w:vMerge w:val="continue"/>
          </w:tcPr>
          <w:p>
            <w:pPr>
              <w:spacing w:after="0"/>
              <w:rPr>
                <w:sz w:val="24"/>
                <w:szCs w:val="24"/>
                <w:color w:val="auto"/>
              </w:rPr>
            </w:pPr>
          </w:p>
        </w:tc>
        <w:tc>
          <w:tcPr>
            <w:tcW w:w="476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3"/>
        </w:trPr>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0" w:type="dxa"/>
            <w:vAlign w:val="bottom"/>
            <w:gridSpan w:val="3"/>
          </w:tcPr>
          <w:p>
            <w:pPr>
              <w:jc w:val="right"/>
              <w:ind w:right="680"/>
              <w:spacing w:after="0"/>
              <w:rPr>
                <w:sz w:val="20"/>
                <w:szCs w:val="20"/>
                <w:color w:val="auto"/>
              </w:rPr>
            </w:pPr>
            <w:r>
              <w:rPr>
                <w:rFonts w:ascii="Arial" w:cs="Arial" w:eastAsia="Arial" w:hAnsi="Arial"/>
                <w:sz w:val="18"/>
                <w:szCs w:val="18"/>
                <w:color w:val="auto"/>
              </w:rPr>
              <w:t>Residential</w:t>
            </w:r>
          </w:p>
        </w:tc>
        <w:tc>
          <w:tcPr>
            <w:tcW w:w="220" w:type="dxa"/>
            <w:vAlign w:val="bottom"/>
          </w:tcPr>
          <w:p>
            <w:pPr>
              <w:spacing w:after="0"/>
              <w:rPr>
                <w:sz w:val="24"/>
                <w:szCs w:val="24"/>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Commercial</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00" w:type="dxa"/>
            <w:vAlign w:val="bottom"/>
            <w:gridSpan w:val="2"/>
          </w:tcPr>
          <w:p>
            <w:pPr>
              <w:jc w:val="right"/>
              <w:ind w:right="70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45"/>
        </w:trPr>
        <w:tc>
          <w:tcPr>
            <w:tcW w:w="6120" w:type="dxa"/>
            <w:vAlign w:val="bottom"/>
            <w:gridSpan w:val="3"/>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3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0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Carrying value of MSRs:</w:t>
            </w:r>
          </w:p>
        </w:tc>
        <w:tc>
          <w:tcPr>
            <w:tcW w:w="220" w:type="dxa"/>
            <w:vAlign w:val="bottom"/>
            <w:shd w:val="clear" w:color="auto" w:fill="EAF9E8"/>
          </w:tcPr>
          <w:p>
            <w:pPr>
              <w:spacing w:after="0"/>
              <w:rPr>
                <w:sz w:val="18"/>
                <w:szCs w:val="18"/>
                <w:color w:val="auto"/>
              </w:rPr>
            </w:pPr>
          </w:p>
        </w:tc>
        <w:tc>
          <w:tcPr>
            <w:tcW w:w="600" w:type="dxa"/>
            <w:vAlign w:val="bottom"/>
            <w:shd w:val="clear" w:color="auto" w:fill="EAF9E8"/>
          </w:tcPr>
          <w:p>
            <w:pPr>
              <w:spacing w:after="0"/>
              <w:rPr>
                <w:sz w:val="18"/>
                <w:szCs w:val="18"/>
                <w:color w:val="auto"/>
              </w:rPr>
            </w:pPr>
          </w:p>
        </w:tc>
        <w:tc>
          <w:tcPr>
            <w:tcW w:w="68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78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118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gridSpan w:val="2"/>
          </w:tcPr>
          <w:p>
            <w:pPr>
              <w:ind w:left="140"/>
              <w:spacing w:after="0"/>
              <w:rPr>
                <w:sz w:val="20"/>
                <w:szCs w:val="20"/>
                <w:color w:val="auto"/>
              </w:rPr>
            </w:pPr>
            <w:r>
              <w:rPr>
                <w:rFonts w:ascii="Arial" w:cs="Arial" w:eastAsia="Arial" w:hAnsi="Arial"/>
                <w:sz w:val="18"/>
                <w:szCs w:val="18"/>
                <w:color w:val="auto"/>
              </w:rPr>
              <w:t>Balance at December 31, 2008</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139,500</w:t>
            </w:r>
          </w:p>
        </w:tc>
        <w:tc>
          <w:tcPr>
            <w:tcW w:w="320" w:type="dxa"/>
            <w:vAlign w:val="bottom"/>
          </w:tcPr>
          <w:p>
            <w:pPr>
              <w:spacing w:after="0"/>
              <w:rPr>
                <w:sz w:val="18"/>
                <w:szCs w:val="18"/>
                <w:color w:val="auto"/>
              </w:rPr>
            </w:pP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52"/>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139,500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shd w:val="clear" w:color="auto" w:fill="EAF9E8"/>
          </w:tcPr>
          <w:p>
            <w:pPr>
              <w:ind w:left="140"/>
              <w:spacing w:after="0"/>
              <w:rPr>
                <w:sz w:val="20"/>
                <w:szCs w:val="20"/>
                <w:color w:val="auto"/>
              </w:rPr>
            </w:pPr>
            <w:r>
              <w:rPr>
                <w:rFonts w:ascii="Arial" w:cs="Arial" w:eastAsia="Arial" w:hAnsi="Arial"/>
                <w:sz w:val="18"/>
                <w:szCs w:val="18"/>
                <w:color w:val="auto"/>
              </w:rPr>
              <w:t>Purchases</w:t>
            </w:r>
          </w:p>
        </w:tc>
        <w:tc>
          <w:tcPr>
            <w:tcW w:w="476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28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10,241</w:t>
            </w:r>
          </w:p>
        </w:tc>
        <w:tc>
          <w:tcPr>
            <w:tcW w:w="32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78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320" w:type="dxa"/>
            <w:vAlign w:val="bottom"/>
            <w:gridSpan w:val="3"/>
            <w:shd w:val="clear" w:color="auto" w:fill="EAF9E8"/>
          </w:tcPr>
          <w:p>
            <w:pPr>
              <w:jc w:val="right"/>
              <w:ind w:right="80"/>
              <w:spacing w:after="0"/>
              <w:rPr>
                <w:sz w:val="20"/>
                <w:szCs w:val="20"/>
                <w:color w:val="auto"/>
              </w:rPr>
            </w:pPr>
            <w:r>
              <w:rPr>
                <w:rFonts w:ascii="Arial" w:cs="Arial" w:eastAsia="Arial" w:hAnsi="Arial"/>
                <w:sz w:val="18"/>
                <w:szCs w:val="18"/>
                <w:color w:val="auto"/>
              </w:rPr>
              <w:t>—</w:t>
            </w:r>
          </w:p>
        </w:tc>
        <w:tc>
          <w:tcPr>
            <w:tcW w:w="26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11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10,241</w:t>
            </w:r>
          </w:p>
        </w:tc>
        <w:tc>
          <w:tcPr>
            <w:tcW w:w="12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gridSpan w:val="2"/>
          </w:tcPr>
          <w:p>
            <w:pPr>
              <w:ind w:left="140"/>
              <w:spacing w:after="0"/>
              <w:rPr>
                <w:sz w:val="20"/>
                <w:szCs w:val="20"/>
                <w:color w:val="auto"/>
              </w:rPr>
            </w:pPr>
            <w:r>
              <w:rPr>
                <w:rFonts w:ascii="Arial" w:cs="Arial" w:eastAsia="Arial" w:hAnsi="Arial"/>
                <w:sz w:val="18"/>
                <w:szCs w:val="18"/>
                <w:color w:val="auto"/>
              </w:rPr>
              <w:t>Servicing transfers and adjustments</w:t>
            </w:r>
          </w:p>
        </w:tc>
        <w:tc>
          <w:tcPr>
            <w:tcW w:w="220" w:type="dxa"/>
            <w:vAlign w:val="bottom"/>
          </w:tcPr>
          <w:p>
            <w:pPr>
              <w:spacing w:after="0"/>
              <w:rPr>
                <w:sz w:val="18"/>
                <w:szCs w:val="18"/>
                <w:color w:val="auto"/>
              </w:rPr>
            </w:pPr>
          </w:p>
        </w:tc>
        <w:tc>
          <w:tcPr>
            <w:tcW w:w="1600" w:type="dxa"/>
            <w:vAlign w:val="bottom"/>
            <w:gridSpan w:val="3"/>
          </w:tcPr>
          <w:p>
            <w:pPr>
              <w:jc w:val="right"/>
              <w:ind w:right="260"/>
              <w:spacing w:after="0"/>
              <w:rPr>
                <w:sz w:val="20"/>
                <w:szCs w:val="20"/>
                <w:color w:val="auto"/>
              </w:rPr>
            </w:pPr>
            <w:r>
              <w:rPr>
                <w:rFonts w:ascii="Arial" w:cs="Arial" w:eastAsia="Arial" w:hAnsi="Arial"/>
                <w:sz w:val="18"/>
                <w:szCs w:val="18"/>
                <w:color w:val="auto"/>
              </w:rPr>
              <w:t>(12)</w:t>
            </w: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shd w:val="clear" w:color="auto" w:fill="EAF9E8"/>
          </w:tcPr>
          <w:p>
            <w:pPr>
              <w:ind w:left="140"/>
              <w:spacing w:after="0"/>
              <w:rPr>
                <w:sz w:val="20"/>
                <w:szCs w:val="20"/>
                <w:color w:val="auto"/>
              </w:rPr>
            </w:pPr>
            <w:r>
              <w:rPr>
                <w:rFonts w:ascii="Arial" w:cs="Arial" w:eastAsia="Arial" w:hAnsi="Arial"/>
                <w:sz w:val="18"/>
                <w:szCs w:val="18"/>
                <w:color w:val="auto"/>
              </w:rPr>
              <w:t>Amortization</w:t>
            </w:r>
          </w:p>
        </w:tc>
        <w:tc>
          <w:tcPr>
            <w:tcW w:w="476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600" w:type="dxa"/>
            <w:vAlign w:val="bottom"/>
            <w:gridSpan w:val="3"/>
            <w:shd w:val="clear" w:color="auto" w:fill="EAF9E8"/>
          </w:tcPr>
          <w:p>
            <w:pPr>
              <w:jc w:val="right"/>
              <w:ind w:right="260"/>
              <w:spacing w:after="0"/>
              <w:rPr>
                <w:sz w:val="20"/>
                <w:szCs w:val="20"/>
                <w:color w:val="auto"/>
              </w:rPr>
            </w:pPr>
            <w:r>
              <w:rPr>
                <w:rFonts w:ascii="Arial" w:cs="Arial" w:eastAsia="Arial" w:hAnsi="Arial"/>
                <w:sz w:val="18"/>
                <w:szCs w:val="18"/>
                <w:color w:val="auto"/>
              </w:rPr>
              <w:t>(9,126)</w:t>
            </w:r>
          </w:p>
        </w:tc>
        <w:tc>
          <w:tcPr>
            <w:tcW w:w="220" w:type="dxa"/>
            <w:vAlign w:val="bottom"/>
            <w:shd w:val="clear" w:color="auto" w:fill="EAF9E8"/>
          </w:tcPr>
          <w:p>
            <w:pPr>
              <w:spacing w:after="0"/>
              <w:rPr>
                <w:sz w:val="18"/>
                <w:szCs w:val="18"/>
                <w:color w:val="auto"/>
              </w:rPr>
            </w:pPr>
          </w:p>
        </w:tc>
        <w:tc>
          <w:tcPr>
            <w:tcW w:w="78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320" w:type="dxa"/>
            <w:vAlign w:val="bottom"/>
            <w:gridSpan w:val="3"/>
            <w:shd w:val="clear" w:color="auto" w:fill="EAF9E8"/>
          </w:tcPr>
          <w:p>
            <w:pPr>
              <w:jc w:val="right"/>
              <w:ind w:right="80"/>
              <w:spacing w:after="0"/>
              <w:rPr>
                <w:sz w:val="20"/>
                <w:szCs w:val="20"/>
                <w:color w:val="auto"/>
              </w:rPr>
            </w:pPr>
            <w:r>
              <w:rPr>
                <w:rFonts w:ascii="Arial" w:cs="Arial" w:eastAsia="Arial" w:hAnsi="Arial"/>
                <w:sz w:val="18"/>
                <w:szCs w:val="18"/>
                <w:color w:val="auto"/>
              </w:rPr>
              <w:t>—</w:t>
            </w:r>
          </w:p>
        </w:tc>
        <w:tc>
          <w:tcPr>
            <w:tcW w:w="26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1300" w:type="dxa"/>
            <w:vAlign w:val="bottom"/>
            <w:gridSpan w:val="2"/>
            <w:shd w:val="clear" w:color="auto" w:fill="EAF9E8"/>
          </w:tcPr>
          <w:p>
            <w:pPr>
              <w:jc w:val="right"/>
              <w:ind w:right="60"/>
              <w:spacing w:after="0"/>
              <w:rPr>
                <w:sz w:val="20"/>
                <w:szCs w:val="20"/>
                <w:color w:val="auto"/>
              </w:rPr>
            </w:pPr>
            <w:r>
              <w:rPr>
                <w:rFonts w:ascii="Arial" w:cs="Arial" w:eastAsia="Arial" w:hAnsi="Arial"/>
                <w:sz w:val="18"/>
                <w:szCs w:val="18"/>
                <w:color w:val="auto"/>
              </w:rPr>
              <w:t>(9,126)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100" w:type="dxa"/>
            <w:vAlign w:val="bottom"/>
            <w:gridSpan w:val="2"/>
            <w:vMerge w:val="restart"/>
          </w:tcPr>
          <w:p>
            <w:pPr>
              <w:ind w:left="140"/>
              <w:spacing w:after="0"/>
              <w:rPr>
                <w:sz w:val="20"/>
                <w:szCs w:val="20"/>
                <w:color w:val="auto"/>
              </w:rPr>
            </w:pPr>
            <w:r>
              <w:rPr>
                <w:rFonts w:ascii="Arial" w:cs="Arial" w:eastAsia="Arial" w:hAnsi="Arial"/>
                <w:sz w:val="18"/>
                <w:szCs w:val="18"/>
                <w:color w:val="auto"/>
              </w:rPr>
              <w:t>Balance at March 31, 2009</w:t>
            </w:r>
          </w:p>
        </w:tc>
        <w:tc>
          <w:tcPr>
            <w:tcW w:w="220" w:type="dxa"/>
            <w:vAlign w:val="bottom"/>
          </w:tcPr>
          <w:p>
            <w:pPr>
              <w:spacing w:after="0"/>
              <w:rPr>
                <w:sz w:val="21"/>
                <w:szCs w:val="21"/>
                <w:color w:val="auto"/>
              </w:rPr>
            </w:pPr>
          </w:p>
        </w:tc>
        <w:tc>
          <w:tcPr>
            <w:tcW w:w="1280" w:type="dxa"/>
            <w:vAlign w:val="bottom"/>
            <w:gridSpan w:val="2"/>
          </w:tcPr>
          <w:p>
            <w:pPr>
              <w:spacing w:after="0"/>
              <w:rPr>
                <w:sz w:val="21"/>
                <w:szCs w:val="21"/>
                <w:color w:val="auto"/>
              </w:rPr>
            </w:pPr>
          </w:p>
        </w:tc>
        <w:tc>
          <w:tcPr>
            <w:tcW w:w="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20" w:type="dxa"/>
            <w:vAlign w:val="bottom"/>
            <w:gridSpan w:val="3"/>
          </w:tcPr>
          <w:p>
            <w:pPr>
              <w:spacing w:after="0"/>
              <w:rPr>
                <w:sz w:val="21"/>
                <w:szCs w:val="21"/>
                <w:color w:val="auto"/>
              </w:rPr>
            </w:pPr>
          </w:p>
        </w:tc>
        <w:tc>
          <w:tcPr>
            <w:tcW w:w="600" w:type="dxa"/>
            <w:vAlign w:val="bottom"/>
            <w:gridSpan w:val="2"/>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gridSpan w:val="2"/>
            <w:vMerge w:val="continue"/>
          </w:tcPr>
          <w:p>
            <w:pPr>
              <w:spacing w:after="0"/>
              <w:rPr>
                <w:sz w:val="18"/>
                <w:szCs w:val="18"/>
                <w:color w:val="auto"/>
              </w:rPr>
            </w:pPr>
          </w:p>
        </w:tc>
        <w:tc>
          <w:tcPr>
            <w:tcW w:w="2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140,603</w:t>
            </w:r>
          </w:p>
        </w:tc>
        <w:tc>
          <w:tcPr>
            <w:tcW w:w="320" w:type="dxa"/>
            <w:vAlign w:val="bottom"/>
          </w:tcPr>
          <w:p>
            <w:pPr>
              <w:spacing w:after="0"/>
              <w:rPr>
                <w:sz w:val="18"/>
                <w:szCs w:val="18"/>
                <w:color w:val="auto"/>
              </w:rPr>
            </w:pPr>
          </w:p>
        </w:tc>
        <w:tc>
          <w:tcPr>
            <w:tcW w:w="2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Borders>
              <w:top w:val="single" w:sz="8" w:color="auto"/>
            </w:tcBorders>
          </w:tcPr>
          <w:p>
            <w:pPr>
              <w:jc w:val="right"/>
              <w:ind w:right="152"/>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140,603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6120" w:type="dxa"/>
            <w:vAlign w:val="bottom"/>
            <w:gridSpan w:val="3"/>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120" w:type="dxa"/>
            <w:vAlign w:val="bottom"/>
            <w:gridSpan w:val="3"/>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restart"/>
          </w:tcPr>
          <w:p>
            <w:pPr>
              <w:spacing w:after="0"/>
              <w:rPr>
                <w:sz w:val="11"/>
                <w:szCs w:val="11"/>
                <w:color w:val="auto"/>
              </w:rPr>
            </w:pPr>
          </w:p>
        </w:tc>
        <w:tc>
          <w:tcPr>
            <w:tcW w:w="6100" w:type="dxa"/>
            <w:vAlign w:val="bottom"/>
            <w:gridSpan w:val="2"/>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0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Estimated fair value of MSRs:</w:t>
            </w:r>
          </w:p>
        </w:tc>
        <w:tc>
          <w:tcPr>
            <w:tcW w:w="220" w:type="dxa"/>
            <w:vAlign w:val="bottom"/>
            <w:shd w:val="clear" w:color="auto" w:fill="EAF9E8"/>
          </w:tcPr>
          <w:p>
            <w:pPr>
              <w:spacing w:after="0"/>
              <w:rPr>
                <w:sz w:val="18"/>
                <w:szCs w:val="18"/>
                <w:color w:val="auto"/>
              </w:rPr>
            </w:pPr>
          </w:p>
        </w:tc>
        <w:tc>
          <w:tcPr>
            <w:tcW w:w="600" w:type="dxa"/>
            <w:vAlign w:val="bottom"/>
            <w:shd w:val="clear" w:color="auto" w:fill="EAF9E8"/>
          </w:tcPr>
          <w:p>
            <w:pPr>
              <w:spacing w:after="0"/>
              <w:rPr>
                <w:sz w:val="18"/>
                <w:szCs w:val="18"/>
                <w:color w:val="auto"/>
              </w:rPr>
            </w:pPr>
          </w:p>
        </w:tc>
        <w:tc>
          <w:tcPr>
            <w:tcW w:w="68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78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118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tcPr>
          <w:p>
            <w:pPr>
              <w:ind w:left="140"/>
              <w:spacing w:after="0"/>
              <w:rPr>
                <w:sz w:val="20"/>
                <w:szCs w:val="20"/>
                <w:color w:val="auto"/>
              </w:rPr>
            </w:pPr>
            <w:r>
              <w:rPr>
                <w:rFonts w:ascii="Arial" w:cs="Arial" w:eastAsia="Arial" w:hAnsi="Arial"/>
                <w:sz w:val="18"/>
                <w:szCs w:val="18"/>
                <w:color w:val="auto"/>
                <w:w w:val="94"/>
              </w:rPr>
              <w:t>March 31, 2009</w:t>
            </w:r>
          </w:p>
        </w:tc>
        <w:tc>
          <w:tcPr>
            <w:tcW w:w="4760" w:type="dxa"/>
            <w:vAlign w:val="bottom"/>
          </w:tcPr>
          <w:p>
            <w:pPr>
              <w:spacing w:after="0"/>
              <w:rPr>
                <w:sz w:val="18"/>
                <w:szCs w:val="18"/>
                <w:color w:val="auto"/>
              </w:rPr>
            </w:pP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146,876</w:t>
            </w:r>
          </w:p>
        </w:tc>
        <w:tc>
          <w:tcPr>
            <w:tcW w:w="320" w:type="dxa"/>
            <w:vAlign w:val="bottom"/>
          </w:tcPr>
          <w:p>
            <w:pPr>
              <w:spacing w:after="0"/>
              <w:rPr>
                <w:sz w:val="18"/>
                <w:szCs w:val="18"/>
                <w:color w:val="auto"/>
              </w:rPr>
            </w:pP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52"/>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146,876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gridSpan w:val="2"/>
            <w:shd w:val="clear" w:color="auto" w:fill="EAF9E8"/>
          </w:tcPr>
          <w:p>
            <w:pPr>
              <w:ind w:left="140"/>
              <w:spacing w:after="0"/>
              <w:rPr>
                <w:sz w:val="20"/>
                <w:szCs w:val="20"/>
                <w:color w:val="auto"/>
              </w:rPr>
            </w:pPr>
            <w:r>
              <w:rPr>
                <w:rFonts w:ascii="Arial" w:cs="Arial" w:eastAsia="Arial" w:hAnsi="Arial"/>
                <w:sz w:val="18"/>
                <w:szCs w:val="18"/>
                <w:color w:val="auto"/>
              </w:rPr>
              <w:t>December 31, 2008</w:t>
            </w:r>
          </w:p>
        </w:tc>
        <w:tc>
          <w:tcPr>
            <w:tcW w:w="220" w:type="dxa"/>
            <w:vAlign w:val="bottom"/>
            <w:shd w:val="clear" w:color="auto" w:fill="EAF9E8"/>
          </w:tcPr>
          <w:p>
            <w:pPr>
              <w:jc w:val="right"/>
              <w:ind w:right="32"/>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148,135</w:t>
            </w:r>
          </w:p>
        </w:tc>
        <w:tc>
          <w:tcPr>
            <w:tcW w:w="320" w:type="dxa"/>
            <w:vAlign w:val="bottom"/>
            <w:shd w:val="clear" w:color="auto" w:fill="EAF9E8"/>
          </w:tcPr>
          <w:p>
            <w:pPr>
              <w:spacing w:after="0"/>
              <w:rPr>
                <w:sz w:val="18"/>
                <w:szCs w:val="18"/>
                <w:color w:val="auto"/>
              </w:rPr>
            </w:pPr>
          </w:p>
        </w:tc>
        <w:tc>
          <w:tcPr>
            <w:tcW w:w="220" w:type="dxa"/>
            <w:vAlign w:val="bottom"/>
            <w:shd w:val="clear" w:color="auto" w:fill="EAF9E8"/>
          </w:tcPr>
          <w:p>
            <w:pPr>
              <w:jc w:val="right"/>
              <w:ind w:right="32"/>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320" w:type="dxa"/>
            <w:vAlign w:val="bottom"/>
            <w:gridSpan w:val="3"/>
            <w:shd w:val="clear" w:color="auto" w:fill="EAF9E8"/>
          </w:tcPr>
          <w:p>
            <w:pPr>
              <w:jc w:val="right"/>
              <w:ind w:right="8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EAF9E8"/>
          </w:tcPr>
          <w:p>
            <w:pPr>
              <w:jc w:val="right"/>
              <w:ind w:right="152"/>
              <w:spacing w:after="0"/>
              <w:rPr>
                <w:sz w:val="20"/>
                <w:szCs w:val="20"/>
                <w:color w:val="auto"/>
              </w:rPr>
            </w:pPr>
            <w:r>
              <w:rPr>
                <w:rFonts w:ascii="Arial" w:cs="Arial" w:eastAsia="Arial" w:hAnsi="Arial"/>
                <w:sz w:val="18"/>
                <w:szCs w:val="18"/>
                <w:color w:val="auto"/>
              </w:rPr>
              <w:t>$</w:t>
            </w:r>
          </w:p>
        </w:tc>
        <w:tc>
          <w:tcPr>
            <w:tcW w:w="11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148,135</w:t>
            </w:r>
          </w:p>
        </w:tc>
        <w:tc>
          <w:tcPr>
            <w:tcW w:w="12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364"/>
        </w:trPr>
        <w:tc>
          <w:tcPr>
            <w:tcW w:w="6120" w:type="dxa"/>
            <w:vAlign w:val="bottom"/>
            <w:gridSpan w:val="3"/>
          </w:tcPr>
          <w:p>
            <w:pPr>
              <w:spacing w:after="0"/>
              <w:rPr>
                <w:sz w:val="20"/>
                <w:szCs w:val="20"/>
                <w:color w:val="auto"/>
              </w:rPr>
            </w:pPr>
            <w:r>
              <w:rPr>
                <w:rFonts w:ascii="Arial" w:cs="Arial" w:eastAsia="Arial" w:hAnsi="Arial"/>
                <w:sz w:val="18"/>
                <w:szCs w:val="18"/>
                <w:color w:val="auto"/>
              </w:rPr>
              <w:t>Unpaid principal balance of assets serviced:</w:t>
            </w: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340" w:type="dxa"/>
            <w:vAlign w:val="bottom"/>
            <w:shd w:val="clear" w:color="auto" w:fill="EAF9E8"/>
          </w:tcPr>
          <w:p>
            <w:pPr>
              <w:ind w:left="140"/>
              <w:spacing w:after="0"/>
              <w:rPr>
                <w:sz w:val="20"/>
                <w:szCs w:val="20"/>
                <w:color w:val="auto"/>
              </w:rPr>
            </w:pPr>
            <w:r>
              <w:rPr>
                <w:rFonts w:ascii="Arial" w:cs="Arial" w:eastAsia="Arial" w:hAnsi="Arial"/>
                <w:sz w:val="18"/>
                <w:szCs w:val="18"/>
                <w:color w:val="auto"/>
                <w:w w:val="90"/>
              </w:rPr>
              <w:t>March 31, 2009:</w:t>
            </w:r>
          </w:p>
        </w:tc>
        <w:tc>
          <w:tcPr>
            <w:tcW w:w="476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600" w:type="dxa"/>
            <w:vAlign w:val="bottom"/>
            <w:shd w:val="clear" w:color="auto" w:fill="EAF9E8"/>
          </w:tcPr>
          <w:p>
            <w:pPr>
              <w:spacing w:after="0"/>
              <w:rPr>
                <w:sz w:val="18"/>
                <w:szCs w:val="18"/>
                <w:color w:val="auto"/>
              </w:rPr>
            </w:pPr>
          </w:p>
        </w:tc>
        <w:tc>
          <w:tcPr>
            <w:tcW w:w="68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78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118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tcPr>
          <w:p>
            <w:pPr>
              <w:ind w:left="300"/>
              <w:spacing w:after="0"/>
              <w:rPr>
                <w:sz w:val="20"/>
                <w:szCs w:val="20"/>
                <w:color w:val="auto"/>
              </w:rPr>
            </w:pPr>
            <w:r>
              <w:rPr>
                <w:rFonts w:ascii="Arial" w:cs="Arial" w:eastAsia="Arial" w:hAnsi="Arial"/>
                <w:sz w:val="18"/>
                <w:szCs w:val="18"/>
                <w:color w:val="auto"/>
              </w:rPr>
              <w:t>Servicing</w:t>
            </w:r>
          </w:p>
        </w:tc>
        <w:tc>
          <w:tcPr>
            <w:tcW w:w="4760" w:type="dxa"/>
            <w:vAlign w:val="bottom"/>
          </w:tcPr>
          <w:p>
            <w:pPr>
              <w:spacing w:after="0"/>
              <w:rPr>
                <w:sz w:val="18"/>
                <w:szCs w:val="18"/>
                <w:color w:val="auto"/>
              </w:rPr>
            </w:pP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30,360,145</w:t>
            </w:r>
          </w:p>
        </w:tc>
        <w:tc>
          <w:tcPr>
            <w:tcW w:w="320" w:type="dxa"/>
            <w:vAlign w:val="bottom"/>
          </w:tcPr>
          <w:p>
            <w:pPr>
              <w:spacing w:after="0"/>
              <w:rPr>
                <w:sz w:val="18"/>
                <w:szCs w:val="18"/>
                <w:color w:val="auto"/>
              </w:rPr>
            </w:pP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52"/>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30,360,145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gridSpan w:val="2"/>
            <w:shd w:val="clear" w:color="auto" w:fill="EAF9E8"/>
          </w:tcPr>
          <w:p>
            <w:pPr>
              <w:ind w:left="300"/>
              <w:spacing w:after="0"/>
              <w:rPr>
                <w:sz w:val="20"/>
                <w:szCs w:val="20"/>
                <w:color w:val="auto"/>
              </w:rPr>
            </w:pPr>
            <w:r>
              <w:rPr>
                <w:rFonts w:ascii="Arial" w:cs="Arial" w:eastAsia="Arial" w:hAnsi="Arial"/>
                <w:sz w:val="18"/>
                <w:szCs w:val="18"/>
                <w:color w:val="auto"/>
              </w:rPr>
              <w:t>Subservicing(1)</w:t>
            </w:r>
          </w:p>
        </w:tc>
        <w:tc>
          <w:tcPr>
            <w:tcW w:w="220" w:type="dxa"/>
            <w:vAlign w:val="bottom"/>
            <w:shd w:val="clear" w:color="auto" w:fill="EAF9E8"/>
          </w:tcPr>
          <w:p>
            <w:pPr>
              <w:spacing w:after="0"/>
              <w:rPr>
                <w:sz w:val="18"/>
                <w:szCs w:val="18"/>
                <w:color w:val="auto"/>
              </w:rPr>
            </w:pPr>
          </w:p>
        </w:tc>
        <w:tc>
          <w:tcPr>
            <w:tcW w:w="128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10,428,990</w:t>
            </w:r>
          </w:p>
        </w:tc>
        <w:tc>
          <w:tcPr>
            <w:tcW w:w="32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360" w:type="dxa"/>
            <w:vAlign w:val="bottom"/>
            <w:gridSpan w:val="5"/>
            <w:shd w:val="clear" w:color="auto" w:fill="EAF9E8"/>
          </w:tcPr>
          <w:p>
            <w:pPr>
              <w:jc w:val="right"/>
              <w:ind w:right="80"/>
              <w:spacing w:after="0"/>
              <w:rPr>
                <w:sz w:val="20"/>
                <w:szCs w:val="20"/>
                <w:color w:val="auto"/>
              </w:rPr>
            </w:pPr>
            <w:r>
              <w:rPr>
                <w:rFonts w:ascii="Arial" w:cs="Arial" w:eastAsia="Arial" w:hAnsi="Arial"/>
                <w:sz w:val="18"/>
                <w:szCs w:val="18"/>
                <w:color w:val="auto"/>
              </w:rPr>
              <w:t>1,248,553</w:t>
            </w:r>
          </w:p>
        </w:tc>
        <w:tc>
          <w:tcPr>
            <w:tcW w:w="26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11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11,677,543</w:t>
            </w:r>
          </w:p>
        </w:tc>
        <w:tc>
          <w:tcPr>
            <w:tcW w:w="12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47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gridSpan w:val="2"/>
          </w:tcPr>
          <w:p>
            <w:pPr>
              <w:spacing w:after="0"/>
              <w:rPr>
                <w:sz w:val="21"/>
                <w:szCs w:val="21"/>
                <w:color w:val="auto"/>
              </w:rPr>
            </w:pPr>
          </w:p>
        </w:tc>
        <w:tc>
          <w:tcPr>
            <w:tcW w:w="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gridSpan w:val="5"/>
          </w:tcPr>
          <w:p>
            <w:pPr>
              <w:spacing w:after="0"/>
              <w:rPr>
                <w:sz w:val="21"/>
                <w:szCs w:val="21"/>
                <w:color w:val="auto"/>
              </w:rPr>
            </w:pPr>
          </w:p>
        </w:tc>
        <w:tc>
          <w:tcPr>
            <w:tcW w:w="600" w:type="dxa"/>
            <w:vAlign w:val="bottom"/>
            <w:gridSpan w:val="2"/>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760" w:type="dxa"/>
            <w:vAlign w:val="bottom"/>
          </w:tcPr>
          <w:p>
            <w:pPr>
              <w:spacing w:after="0"/>
              <w:rPr>
                <w:sz w:val="18"/>
                <w:szCs w:val="18"/>
                <w:color w:val="auto"/>
              </w:rPr>
            </w:pPr>
          </w:p>
        </w:tc>
        <w:tc>
          <w:tcPr>
            <w:tcW w:w="2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40,789,135</w:t>
            </w:r>
          </w:p>
        </w:tc>
        <w:tc>
          <w:tcPr>
            <w:tcW w:w="320" w:type="dxa"/>
            <w:vAlign w:val="bottom"/>
          </w:tcPr>
          <w:p>
            <w:pPr>
              <w:spacing w:after="0"/>
              <w:rPr>
                <w:sz w:val="18"/>
                <w:szCs w:val="18"/>
                <w:color w:val="auto"/>
              </w:rPr>
            </w:pPr>
          </w:p>
        </w:tc>
        <w:tc>
          <w:tcPr>
            <w:tcW w:w="2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gridSpan w:val="4"/>
          </w:tcPr>
          <w:p>
            <w:pPr>
              <w:jc w:val="right"/>
              <w:spacing w:after="0"/>
              <w:rPr>
                <w:sz w:val="20"/>
                <w:szCs w:val="20"/>
                <w:color w:val="auto"/>
              </w:rPr>
            </w:pPr>
            <w:r>
              <w:rPr>
                <w:rFonts w:ascii="Arial" w:cs="Arial" w:eastAsia="Arial" w:hAnsi="Arial"/>
                <w:sz w:val="18"/>
                <w:szCs w:val="18"/>
                <w:color w:val="auto"/>
              </w:rPr>
              <w:t>1,248,553</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Borders>
              <w:top w:val="single" w:sz="8" w:color="auto"/>
            </w:tcBorders>
          </w:tcPr>
          <w:p>
            <w:pPr>
              <w:jc w:val="right"/>
              <w:ind w:right="152"/>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42,037,688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100" w:type="dxa"/>
            <w:vAlign w:val="bottom"/>
            <w:gridSpan w:val="2"/>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00" w:type="dxa"/>
            <w:vAlign w:val="bottom"/>
            <w:gridSpan w:val="2"/>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6100" w:type="dxa"/>
            <w:vAlign w:val="bottom"/>
            <w:gridSpan w:val="2"/>
            <w:shd w:val="clear" w:color="auto" w:fill="EAF9E8"/>
          </w:tcPr>
          <w:p>
            <w:pPr>
              <w:ind w:left="140"/>
              <w:spacing w:after="0" w:line="196" w:lineRule="exact"/>
              <w:rPr>
                <w:sz w:val="20"/>
                <w:szCs w:val="20"/>
                <w:color w:val="auto"/>
              </w:rPr>
            </w:pPr>
            <w:r>
              <w:rPr>
                <w:rFonts w:ascii="Arial" w:cs="Arial" w:eastAsia="Arial" w:hAnsi="Arial"/>
                <w:sz w:val="18"/>
                <w:szCs w:val="18"/>
                <w:color w:val="auto"/>
              </w:rPr>
              <w:t>December 31, 2008:</w:t>
            </w:r>
          </w:p>
        </w:tc>
        <w:tc>
          <w:tcPr>
            <w:tcW w:w="220" w:type="dxa"/>
            <w:vAlign w:val="bottom"/>
            <w:shd w:val="clear" w:color="auto" w:fill="EAF9E8"/>
          </w:tcPr>
          <w:p>
            <w:pPr>
              <w:spacing w:after="0"/>
              <w:rPr>
                <w:sz w:val="17"/>
                <w:szCs w:val="17"/>
                <w:color w:val="auto"/>
              </w:rPr>
            </w:pPr>
          </w:p>
        </w:tc>
        <w:tc>
          <w:tcPr>
            <w:tcW w:w="600" w:type="dxa"/>
            <w:vAlign w:val="bottom"/>
            <w:shd w:val="clear" w:color="auto" w:fill="EAF9E8"/>
          </w:tcPr>
          <w:p>
            <w:pPr>
              <w:spacing w:after="0"/>
              <w:rPr>
                <w:sz w:val="17"/>
                <w:szCs w:val="17"/>
                <w:color w:val="auto"/>
              </w:rPr>
            </w:pPr>
          </w:p>
        </w:tc>
        <w:tc>
          <w:tcPr>
            <w:tcW w:w="680" w:type="dxa"/>
            <w:vAlign w:val="bottom"/>
            <w:shd w:val="clear" w:color="auto" w:fill="EAF9E8"/>
          </w:tcPr>
          <w:p>
            <w:pPr>
              <w:spacing w:after="0"/>
              <w:rPr>
                <w:sz w:val="17"/>
                <w:szCs w:val="17"/>
                <w:color w:val="auto"/>
              </w:rPr>
            </w:pPr>
          </w:p>
        </w:tc>
        <w:tc>
          <w:tcPr>
            <w:tcW w:w="320" w:type="dxa"/>
            <w:vAlign w:val="bottom"/>
            <w:shd w:val="clear" w:color="auto" w:fill="EAF9E8"/>
          </w:tcPr>
          <w:p>
            <w:pPr>
              <w:spacing w:after="0"/>
              <w:rPr>
                <w:sz w:val="17"/>
                <w:szCs w:val="17"/>
                <w:color w:val="auto"/>
              </w:rPr>
            </w:pPr>
          </w:p>
        </w:tc>
        <w:tc>
          <w:tcPr>
            <w:tcW w:w="220" w:type="dxa"/>
            <w:vAlign w:val="bottom"/>
            <w:shd w:val="clear" w:color="auto" w:fill="EAF9E8"/>
          </w:tcPr>
          <w:p>
            <w:pPr>
              <w:spacing w:after="0"/>
              <w:rPr>
                <w:sz w:val="17"/>
                <w:szCs w:val="17"/>
                <w:color w:val="auto"/>
              </w:rPr>
            </w:pPr>
          </w:p>
        </w:tc>
        <w:tc>
          <w:tcPr>
            <w:tcW w:w="780" w:type="dxa"/>
            <w:vAlign w:val="bottom"/>
            <w:shd w:val="clear" w:color="auto" w:fill="EAF9E8"/>
          </w:tcPr>
          <w:p>
            <w:pPr>
              <w:spacing w:after="0"/>
              <w:rPr>
                <w:sz w:val="17"/>
                <w:szCs w:val="17"/>
                <w:color w:val="auto"/>
              </w:rPr>
            </w:pPr>
          </w:p>
        </w:tc>
        <w:tc>
          <w:tcPr>
            <w:tcW w:w="26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140" w:type="dxa"/>
            <w:vAlign w:val="bottom"/>
            <w:shd w:val="clear" w:color="auto" w:fill="EAF9E8"/>
          </w:tcPr>
          <w:p>
            <w:pPr>
              <w:spacing w:after="0"/>
              <w:rPr>
                <w:sz w:val="17"/>
                <w:szCs w:val="17"/>
                <w:color w:val="auto"/>
              </w:rPr>
            </w:pPr>
          </w:p>
        </w:tc>
        <w:tc>
          <w:tcPr>
            <w:tcW w:w="80" w:type="dxa"/>
            <w:vAlign w:val="bottom"/>
            <w:shd w:val="clear" w:color="auto" w:fill="EAF9E8"/>
          </w:tcPr>
          <w:p>
            <w:pPr>
              <w:spacing w:after="0"/>
              <w:rPr>
                <w:sz w:val="17"/>
                <w:szCs w:val="17"/>
                <w:color w:val="auto"/>
              </w:rPr>
            </w:pPr>
          </w:p>
        </w:tc>
        <w:tc>
          <w:tcPr>
            <w:tcW w:w="260" w:type="dxa"/>
            <w:vAlign w:val="bottom"/>
            <w:shd w:val="clear" w:color="auto" w:fill="EAF9E8"/>
          </w:tcPr>
          <w:p>
            <w:pPr>
              <w:spacing w:after="0"/>
              <w:rPr>
                <w:sz w:val="17"/>
                <w:szCs w:val="17"/>
                <w:color w:val="auto"/>
              </w:rPr>
            </w:pPr>
          </w:p>
        </w:tc>
        <w:tc>
          <w:tcPr>
            <w:tcW w:w="340" w:type="dxa"/>
            <w:vAlign w:val="bottom"/>
            <w:shd w:val="clear" w:color="auto" w:fill="EAF9E8"/>
          </w:tcPr>
          <w:p>
            <w:pPr>
              <w:spacing w:after="0"/>
              <w:rPr>
                <w:sz w:val="17"/>
                <w:szCs w:val="17"/>
                <w:color w:val="auto"/>
              </w:rPr>
            </w:pPr>
          </w:p>
        </w:tc>
        <w:tc>
          <w:tcPr>
            <w:tcW w:w="118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tcPr>
          <w:p>
            <w:pPr>
              <w:ind w:left="300"/>
              <w:spacing w:after="0"/>
              <w:rPr>
                <w:sz w:val="20"/>
                <w:szCs w:val="20"/>
                <w:color w:val="auto"/>
              </w:rPr>
            </w:pPr>
            <w:r>
              <w:rPr>
                <w:rFonts w:ascii="Arial" w:cs="Arial" w:eastAsia="Arial" w:hAnsi="Arial"/>
                <w:sz w:val="18"/>
                <w:szCs w:val="18"/>
                <w:color w:val="auto"/>
              </w:rPr>
              <w:t>Servicing</w:t>
            </w:r>
          </w:p>
        </w:tc>
        <w:tc>
          <w:tcPr>
            <w:tcW w:w="4760" w:type="dxa"/>
            <w:vAlign w:val="bottom"/>
          </w:tcPr>
          <w:p>
            <w:pPr>
              <w:spacing w:after="0"/>
              <w:rPr>
                <w:sz w:val="18"/>
                <w:szCs w:val="18"/>
                <w:color w:val="auto"/>
              </w:rPr>
            </w:pP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29,830,654</w:t>
            </w:r>
          </w:p>
        </w:tc>
        <w:tc>
          <w:tcPr>
            <w:tcW w:w="320" w:type="dxa"/>
            <w:vAlign w:val="bottom"/>
          </w:tcPr>
          <w:p>
            <w:pPr>
              <w:spacing w:after="0"/>
              <w:rPr>
                <w:sz w:val="18"/>
                <w:szCs w:val="18"/>
                <w:color w:val="auto"/>
              </w:rPr>
            </w:pP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52"/>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29,830,654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shd w:val="clear" w:color="auto" w:fill="EAF9E8"/>
          </w:tcPr>
          <w:p>
            <w:pPr>
              <w:ind w:left="300"/>
              <w:spacing w:after="0"/>
              <w:rPr>
                <w:sz w:val="20"/>
                <w:szCs w:val="20"/>
                <w:color w:val="auto"/>
              </w:rPr>
            </w:pPr>
            <w:r>
              <w:rPr>
                <w:rFonts w:ascii="Arial" w:cs="Arial" w:eastAsia="Arial" w:hAnsi="Arial"/>
                <w:sz w:val="18"/>
                <w:szCs w:val="18"/>
                <w:color w:val="auto"/>
                <w:w w:val="98"/>
              </w:rPr>
              <w:t>Subservicing</w:t>
            </w:r>
          </w:p>
        </w:tc>
        <w:tc>
          <w:tcPr>
            <w:tcW w:w="476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28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10,340,878</w:t>
            </w:r>
          </w:p>
        </w:tc>
        <w:tc>
          <w:tcPr>
            <w:tcW w:w="32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360" w:type="dxa"/>
            <w:vAlign w:val="bottom"/>
            <w:gridSpan w:val="5"/>
            <w:shd w:val="clear" w:color="auto" w:fill="EAF9E8"/>
          </w:tcPr>
          <w:p>
            <w:pPr>
              <w:jc w:val="right"/>
              <w:ind w:right="80"/>
              <w:spacing w:after="0"/>
              <w:rPr>
                <w:sz w:val="20"/>
                <w:szCs w:val="20"/>
                <w:color w:val="auto"/>
              </w:rPr>
            </w:pPr>
            <w:r>
              <w:rPr>
                <w:rFonts w:ascii="Arial" w:cs="Arial" w:eastAsia="Arial" w:hAnsi="Arial"/>
                <w:sz w:val="18"/>
                <w:szCs w:val="18"/>
                <w:color w:val="auto"/>
              </w:rPr>
              <w:t>1,319,175</w:t>
            </w:r>
          </w:p>
        </w:tc>
        <w:tc>
          <w:tcPr>
            <w:tcW w:w="26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11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11,660,053</w:t>
            </w:r>
          </w:p>
        </w:tc>
        <w:tc>
          <w:tcPr>
            <w:tcW w:w="12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47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gridSpan w:val="2"/>
          </w:tcPr>
          <w:p>
            <w:pPr>
              <w:spacing w:after="0"/>
              <w:rPr>
                <w:sz w:val="21"/>
                <w:szCs w:val="21"/>
                <w:color w:val="auto"/>
              </w:rPr>
            </w:pPr>
          </w:p>
        </w:tc>
        <w:tc>
          <w:tcPr>
            <w:tcW w:w="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gridSpan w:val="5"/>
          </w:tcPr>
          <w:p>
            <w:pPr>
              <w:spacing w:after="0"/>
              <w:rPr>
                <w:sz w:val="21"/>
                <w:szCs w:val="21"/>
                <w:color w:val="auto"/>
              </w:rPr>
            </w:pPr>
          </w:p>
        </w:tc>
        <w:tc>
          <w:tcPr>
            <w:tcW w:w="600" w:type="dxa"/>
            <w:vAlign w:val="bottom"/>
            <w:gridSpan w:val="2"/>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760" w:type="dxa"/>
            <w:vAlign w:val="bottom"/>
          </w:tcPr>
          <w:p>
            <w:pPr>
              <w:spacing w:after="0"/>
              <w:rPr>
                <w:sz w:val="18"/>
                <w:szCs w:val="18"/>
                <w:color w:val="auto"/>
              </w:rPr>
            </w:pPr>
          </w:p>
        </w:tc>
        <w:tc>
          <w:tcPr>
            <w:tcW w:w="2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40,171,532</w:t>
            </w:r>
          </w:p>
        </w:tc>
        <w:tc>
          <w:tcPr>
            <w:tcW w:w="320" w:type="dxa"/>
            <w:vAlign w:val="bottom"/>
          </w:tcPr>
          <w:p>
            <w:pPr>
              <w:spacing w:after="0"/>
              <w:rPr>
                <w:sz w:val="18"/>
                <w:szCs w:val="18"/>
                <w:color w:val="auto"/>
              </w:rPr>
            </w:pPr>
          </w:p>
        </w:tc>
        <w:tc>
          <w:tcPr>
            <w:tcW w:w="2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gridSpan w:val="4"/>
          </w:tcPr>
          <w:p>
            <w:pPr>
              <w:jc w:val="right"/>
              <w:spacing w:after="0"/>
              <w:rPr>
                <w:sz w:val="20"/>
                <w:szCs w:val="20"/>
                <w:color w:val="auto"/>
              </w:rPr>
            </w:pPr>
            <w:r>
              <w:rPr>
                <w:rFonts w:ascii="Arial" w:cs="Arial" w:eastAsia="Arial" w:hAnsi="Arial"/>
                <w:sz w:val="18"/>
                <w:szCs w:val="18"/>
                <w:color w:val="auto"/>
              </w:rPr>
              <w:t>1,319,175</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Borders>
              <w:top w:val="single" w:sz="8" w:color="auto"/>
            </w:tcBorders>
          </w:tcPr>
          <w:p>
            <w:pPr>
              <w:jc w:val="right"/>
              <w:ind w:right="152"/>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41,490,707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47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ind w:left="580" w:hanging="572"/>
        <w:spacing w:after="0"/>
        <w:tabs>
          <w:tab w:leader="none" w:pos="5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Includes non-performing loans serviced for Freddie Mac under a high risk loan pilot program that it announced on February 3, 2009.</w:t>
      </w:r>
    </w:p>
    <w:p>
      <w:pPr>
        <w:sectPr>
          <w:pgSz w:w="11900" w:h="16838" w:orient="portrait"/>
          <w:cols w:equalWidth="0" w:num="1">
            <w:col w:w="11420"/>
          </w:cols>
          <w:pgMar w:left="240" w:top="139" w:right="239" w:bottom="130" w:gutter="0" w:footer="0" w:header="0"/>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67575"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39" w:right="239" w:bottom="130" w:gutter="0" w:footer="0" w:header="0"/>
          <w:type w:val="continuous"/>
        </w:sectPr>
      </w:pPr>
    </w:p>
    <w:bookmarkStart w:id="18" w:name="page19"/>
    <w:bookmarkEnd w:id="18"/>
    <w:p>
      <w:pPr>
        <w:jc w:val="both"/>
        <w:ind w:firstLine="453"/>
        <w:spacing w:after="0" w:line="312" w:lineRule="auto"/>
        <w:rPr>
          <w:sz w:val="20"/>
          <w:szCs w:val="20"/>
          <w:color w:val="auto"/>
        </w:rPr>
      </w:pPr>
      <w:r>
        <w:rPr>
          <w:rFonts w:ascii="Arial" w:cs="Arial" w:eastAsia="Arial" w:hAnsi="Arial"/>
          <w:sz w:val="15"/>
          <w:szCs w:val="15"/>
          <w:color w:val="auto"/>
        </w:rPr>
        <w:t>We service residential mortgage loans and real estate that we do not own under contractual servicing agreements. We generally obtain MSRs by purchasing them from the owners of the mortgages. We also enter into subservicing agreements with entities that own the servicing rights. Residential assets serviced consist almost entirely of mortgage loans, primarily subprime, but also include real estate. An agreement between the various parties to a mortgage securitization transaction typically specifies the rights and obligations of the holder of the servicing rights which include guidelines and procedures for servicing the loans including remittance and reporting requirements, among other provisions. Assets serviced for others are excluded from our balance sheet. Custodial accounts, which hold funds representing collections of principal and interest that we have received from borrowers, are escrowed with an unaffiliated bank and excluded from our balance sheet. Custodial accounts amounted to approximately $345,400 and $370,200 at March 31, 2009 and December 31, 2008, respectively.</w:t>
      </w:r>
    </w:p>
    <w:p>
      <w:pPr>
        <w:spacing w:after="0" w:line="159" w:lineRule="exact"/>
        <w:rPr>
          <w:sz w:val="20"/>
          <w:szCs w:val="20"/>
          <w:color w:val="auto"/>
        </w:rPr>
      </w:pPr>
    </w:p>
    <w:p>
      <w:pPr>
        <w:jc w:val="both"/>
        <w:ind w:right="20" w:firstLine="570"/>
        <w:spacing w:after="0" w:line="255" w:lineRule="auto"/>
        <w:rPr>
          <w:sz w:val="20"/>
          <w:szCs w:val="20"/>
          <w:color w:val="auto"/>
        </w:rPr>
      </w:pPr>
      <w:r>
        <w:rPr>
          <w:rFonts w:ascii="Arial" w:cs="Arial" w:eastAsia="Arial" w:hAnsi="Arial"/>
          <w:sz w:val="18"/>
          <w:szCs w:val="18"/>
          <w:color w:val="auto"/>
        </w:rPr>
        <w:t>During 2008, we established a valuation allowance for impairment of $3,624 on the high-loan-to-value stratum of our mortgage servicing rights as the external valuation that we consider in our impairment analysis fell below the carrying value due primarily to the declining market value for rights to service second liens. The external valuation reflects industry averages for delinquencies on loans in the second lien position that are higher than those currently experienced by our servicing portfolio. Net of the valuation allowance, the carrying value of this stratum was zero at March 31, 2009. For all other strata, the external valuation was above the carrying value at March 31, 2009.</w:t>
      </w:r>
    </w:p>
    <w:p>
      <w:pPr>
        <w:spacing w:after="0" w:line="197" w:lineRule="exact"/>
        <w:rPr>
          <w:sz w:val="20"/>
          <w:szCs w:val="20"/>
          <w:color w:val="auto"/>
        </w:rPr>
      </w:pPr>
    </w:p>
    <w:p>
      <w:pPr>
        <w:jc w:val="both"/>
        <w:ind w:firstLine="505"/>
        <w:spacing w:after="0" w:line="332" w:lineRule="auto"/>
        <w:rPr>
          <w:sz w:val="20"/>
          <w:szCs w:val="20"/>
          <w:color w:val="auto"/>
        </w:rPr>
      </w:pPr>
      <w:r>
        <w:rPr>
          <w:rFonts w:ascii="Arial" w:cs="Arial" w:eastAsia="Arial" w:hAnsi="Arial"/>
          <w:sz w:val="16"/>
          <w:szCs w:val="16"/>
          <w:color w:val="auto"/>
        </w:rPr>
        <w:t>As of March 31, 2009, MSRs with a carrying value of $125,770 had been pledged as collateral for borrowings under the senior secured credit agreement that was converted to a term note secured by MSRs in August 2008. See Note 13 for additional information regarding this agreement.</w:t>
      </w:r>
    </w:p>
    <w:p>
      <w:pPr>
        <w:spacing w:after="0" w:line="139" w:lineRule="exact"/>
        <w:rPr>
          <w:sz w:val="20"/>
          <w:szCs w:val="20"/>
          <w:color w:val="auto"/>
        </w:rPr>
      </w:pPr>
    </w:p>
    <w:p>
      <w:pPr>
        <w:jc w:val="both"/>
        <w:ind w:firstLine="532"/>
        <w:spacing w:after="0" w:line="298" w:lineRule="auto"/>
        <w:rPr>
          <w:sz w:val="20"/>
          <w:szCs w:val="20"/>
          <w:color w:val="auto"/>
        </w:rPr>
      </w:pPr>
      <w:r>
        <w:rPr>
          <w:rFonts w:ascii="Arial" w:cs="Arial" w:eastAsia="Arial" w:hAnsi="Arial"/>
          <w:sz w:val="16"/>
          <w:szCs w:val="16"/>
          <w:color w:val="auto"/>
        </w:rPr>
        <w:t>We have recognized a servicing liability for those agreements that are not expected to adequately compensate us for performing the servicing. Servicing liabilities were $4,154 and $3,239 at March 31, 2009 and December 31, 2008, respectively, and are included in other liabilities on the balance sheet. During the three months ended March 31, 2009, the amount of charges we recognized to increase our servicing liability obligations exceeded amortization by $915, and we have reported this net expense as amortization of servicing rights in the statement of operations.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380" w:type="dxa"/>
            <w:vAlign w:val="bottom"/>
          </w:tcPr>
          <w:p>
            <w:pPr>
              <w:spacing w:after="0"/>
              <w:rPr>
                <w:sz w:val="20"/>
                <w:szCs w:val="20"/>
                <w:color w:val="auto"/>
              </w:rPr>
            </w:pPr>
            <w:r>
              <w:rPr>
                <w:rFonts w:ascii="Arial" w:cs="Arial" w:eastAsia="Arial" w:hAnsi="Arial"/>
                <w:sz w:val="18"/>
                <w:szCs w:val="18"/>
                <w:b w:val="1"/>
                <w:bCs w:val="1"/>
                <w:color w:val="auto"/>
              </w:rPr>
              <w:t>NOTE 9</w:t>
            </w:r>
          </w:p>
        </w:tc>
        <w:tc>
          <w:tcPr>
            <w:tcW w:w="5840" w:type="dxa"/>
            <w:vAlign w:val="bottom"/>
            <w:gridSpan w:val="2"/>
          </w:tcPr>
          <w:p>
            <w:pPr>
              <w:jc w:val="right"/>
              <w:ind w:right="4512"/>
              <w:spacing w:after="0"/>
              <w:rPr>
                <w:sz w:val="20"/>
                <w:szCs w:val="20"/>
                <w:color w:val="auto"/>
              </w:rPr>
            </w:pPr>
            <w:r>
              <w:rPr>
                <w:rFonts w:ascii="Arial" w:cs="Arial" w:eastAsia="Arial" w:hAnsi="Arial"/>
                <w:sz w:val="18"/>
                <w:szCs w:val="18"/>
                <w:b w:val="1"/>
                <w:bCs w:val="1"/>
                <w:color w:val="auto"/>
                <w:w w:val="95"/>
              </w:rPr>
              <w:t>RECEIVABLES</w:t>
            </w:r>
          </w:p>
        </w:tc>
        <w:tc>
          <w:tcPr>
            <w:tcW w:w="17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432"/>
        </w:trPr>
        <w:tc>
          <w:tcPr>
            <w:tcW w:w="7220" w:type="dxa"/>
            <w:vAlign w:val="bottom"/>
            <w:gridSpan w:val="3"/>
          </w:tcPr>
          <w:p>
            <w:pPr>
              <w:ind w:left="440"/>
              <w:spacing w:after="0"/>
              <w:rPr>
                <w:sz w:val="20"/>
                <w:szCs w:val="20"/>
                <w:color w:val="auto"/>
              </w:rPr>
            </w:pPr>
            <w:r>
              <w:rPr>
                <w:rFonts w:ascii="Arial" w:cs="Arial" w:eastAsia="Arial" w:hAnsi="Arial"/>
                <w:sz w:val="18"/>
                <w:szCs w:val="18"/>
                <w:color w:val="auto"/>
              </w:rPr>
              <w:t>Receivables consisted of the following at the dates indicated:</w:t>
            </w:r>
          </w:p>
        </w:tc>
        <w:tc>
          <w:tcPr>
            <w:tcW w:w="1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46"/>
        </w:trPr>
        <w:tc>
          <w:tcPr>
            <w:tcW w:w="1380" w:type="dxa"/>
            <w:vAlign w:val="bottom"/>
          </w:tcPr>
          <w:p>
            <w:pPr>
              <w:spacing w:after="0"/>
              <w:rPr>
                <w:sz w:val="24"/>
                <w:szCs w:val="24"/>
                <w:color w:val="auto"/>
              </w:rPr>
            </w:pPr>
          </w:p>
        </w:tc>
        <w:tc>
          <w:tcPr>
            <w:tcW w:w="5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20" w:type="dxa"/>
            <w:vAlign w:val="bottom"/>
          </w:tcPr>
          <w:p>
            <w:pPr>
              <w:jc w:val="right"/>
              <w:ind w:right="352"/>
              <w:spacing w:after="0"/>
              <w:rPr>
                <w:sz w:val="20"/>
                <w:szCs w:val="20"/>
                <w:color w:val="auto"/>
              </w:rPr>
            </w:pPr>
            <w:r>
              <w:rPr>
                <w:rFonts w:ascii="Arial" w:cs="Arial" w:eastAsia="Arial" w:hAnsi="Arial"/>
                <w:sz w:val="18"/>
                <w:szCs w:val="18"/>
                <w:color w:val="auto"/>
              </w:rPr>
              <w:t>March 31, 2009</w:t>
            </w: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0" w:type="dxa"/>
            <w:vAlign w:val="bottom"/>
          </w:tcPr>
          <w:p>
            <w:pPr>
              <w:jc w:val="right"/>
              <w:ind w:right="232"/>
              <w:spacing w:after="0"/>
              <w:rPr>
                <w:sz w:val="20"/>
                <w:szCs w:val="20"/>
                <w:color w:val="auto"/>
              </w:rPr>
            </w:pPr>
            <w:r>
              <w:rPr>
                <w:rFonts w:ascii="Arial" w:cs="Arial" w:eastAsia="Arial" w:hAnsi="Arial"/>
                <w:sz w:val="18"/>
                <w:szCs w:val="18"/>
                <w:color w:val="auto"/>
                <w:w w:val="92"/>
              </w:rPr>
              <w:t>December 31, 2008</w:t>
            </w:r>
          </w:p>
        </w:tc>
        <w:tc>
          <w:tcPr>
            <w:tcW w:w="120" w:type="dxa"/>
            <w:vAlign w:val="bottom"/>
          </w:tcPr>
          <w:p>
            <w:pPr>
              <w:spacing w:after="0"/>
              <w:rPr>
                <w:sz w:val="24"/>
                <w:szCs w:val="24"/>
                <w:color w:val="auto"/>
              </w:rPr>
            </w:pPr>
          </w:p>
        </w:tc>
      </w:tr>
      <w:tr>
        <w:trPr>
          <w:trHeight w:val="245"/>
        </w:trPr>
        <w:tc>
          <w:tcPr>
            <w:tcW w:w="7220" w:type="dxa"/>
            <w:vAlign w:val="bottom"/>
            <w:gridSpan w:val="3"/>
          </w:tcPr>
          <w:p>
            <w:pPr>
              <w:spacing w:after="0"/>
              <w:rPr>
                <w:sz w:val="21"/>
                <w:szCs w:val="21"/>
                <w:color w:val="auto"/>
              </w:rPr>
            </w:pPr>
          </w:p>
        </w:tc>
        <w:tc>
          <w:tcPr>
            <w:tcW w:w="17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10"/>
        </w:trPr>
        <w:tc>
          <w:tcPr>
            <w:tcW w:w="694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Accounts receivable by segment:</w:t>
            </w:r>
          </w:p>
        </w:tc>
        <w:tc>
          <w:tcPr>
            <w:tcW w:w="280" w:type="dxa"/>
            <w:vAlign w:val="bottom"/>
            <w:tcBorders>
              <w:top w:val="single" w:sz="8" w:color="auto"/>
            </w:tcBorders>
            <w:shd w:val="clear" w:color="auto" w:fill="EAF9E8"/>
          </w:tcPr>
          <w:p>
            <w:pPr>
              <w:spacing w:after="0"/>
              <w:rPr>
                <w:sz w:val="18"/>
                <w:szCs w:val="18"/>
                <w:color w:val="auto"/>
              </w:rPr>
            </w:pPr>
          </w:p>
        </w:tc>
        <w:tc>
          <w:tcPr>
            <w:tcW w:w="1720" w:type="dxa"/>
            <w:vAlign w:val="bottom"/>
            <w:tcBorders>
              <w:top w:val="single" w:sz="8" w:color="auto"/>
            </w:tcBorders>
            <w:shd w:val="clear" w:color="auto" w:fill="EAF9E8"/>
          </w:tcPr>
          <w:p>
            <w:pPr>
              <w:spacing w:after="0"/>
              <w:rPr>
                <w:sz w:val="18"/>
                <w:szCs w:val="18"/>
                <w:color w:val="auto"/>
              </w:rPr>
            </w:pPr>
          </w:p>
        </w:tc>
        <w:tc>
          <w:tcPr>
            <w:tcW w:w="360" w:type="dxa"/>
            <w:vAlign w:val="bottom"/>
            <w:shd w:val="clear" w:color="auto" w:fill="EAF9E8"/>
          </w:tcPr>
          <w:p>
            <w:pPr>
              <w:spacing w:after="0"/>
              <w:rPr>
                <w:sz w:val="18"/>
                <w:szCs w:val="18"/>
                <w:color w:val="auto"/>
              </w:rPr>
            </w:pPr>
          </w:p>
        </w:tc>
        <w:tc>
          <w:tcPr>
            <w:tcW w:w="200" w:type="dxa"/>
            <w:vAlign w:val="bottom"/>
            <w:tcBorders>
              <w:top w:val="single" w:sz="8" w:color="auto"/>
            </w:tcBorders>
            <w:shd w:val="clear" w:color="auto" w:fill="EAF9E8"/>
          </w:tcPr>
          <w:p>
            <w:pPr>
              <w:spacing w:after="0"/>
              <w:rPr>
                <w:sz w:val="18"/>
                <w:szCs w:val="18"/>
                <w:color w:val="auto"/>
              </w:rPr>
            </w:pPr>
          </w:p>
        </w:tc>
        <w:tc>
          <w:tcPr>
            <w:tcW w:w="1800" w:type="dxa"/>
            <w:vAlign w:val="bottom"/>
            <w:tcBorders>
              <w:top w:val="single" w:sz="8" w:color="auto"/>
            </w:tcBorders>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r>
      <w:tr>
        <w:trPr>
          <w:trHeight w:val="216"/>
        </w:trPr>
        <w:tc>
          <w:tcPr>
            <w:tcW w:w="1380" w:type="dxa"/>
            <w:vAlign w:val="bottom"/>
          </w:tcPr>
          <w:p>
            <w:pPr>
              <w:ind w:left="160"/>
              <w:spacing w:after="0"/>
              <w:rPr>
                <w:sz w:val="20"/>
                <w:szCs w:val="20"/>
                <w:color w:val="auto"/>
              </w:rPr>
            </w:pPr>
            <w:r>
              <w:rPr>
                <w:rFonts w:ascii="Arial" w:cs="Arial" w:eastAsia="Arial" w:hAnsi="Arial"/>
                <w:sz w:val="18"/>
                <w:szCs w:val="18"/>
                <w:color w:val="auto"/>
                <w:w w:val="88"/>
              </w:rPr>
              <w:t>Servicing, net (1)</w:t>
            </w:r>
          </w:p>
        </w:tc>
        <w:tc>
          <w:tcPr>
            <w:tcW w:w="5840" w:type="dxa"/>
            <w:vAlign w:val="bottom"/>
            <w:gridSpan w:val="2"/>
          </w:tcPr>
          <w:p>
            <w:pPr>
              <w:jc w:val="right"/>
              <w:ind w:right="92"/>
              <w:spacing w:after="0"/>
              <w:rPr>
                <w:sz w:val="20"/>
                <w:szCs w:val="20"/>
                <w:color w:val="auto"/>
              </w:rPr>
            </w:pPr>
            <w:r>
              <w:rPr>
                <w:rFonts w:ascii="Arial" w:cs="Arial" w:eastAsia="Arial" w:hAnsi="Arial"/>
                <w:sz w:val="18"/>
                <w:szCs w:val="18"/>
                <w:color w:val="auto"/>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6,474</w:t>
            </w:r>
          </w:p>
        </w:tc>
        <w:tc>
          <w:tcPr>
            <w:tcW w:w="560" w:type="dxa"/>
            <w:vAlign w:val="bottom"/>
            <w:gridSpan w:val="2"/>
          </w:tcPr>
          <w:p>
            <w:pPr>
              <w:jc w:val="right"/>
              <w:ind w:right="43"/>
              <w:spacing w:after="0"/>
              <w:rPr>
                <w:sz w:val="20"/>
                <w:szCs w:val="20"/>
                <w:color w:val="auto"/>
              </w:rPr>
            </w:pPr>
            <w:r>
              <w:rPr>
                <w:rFonts w:ascii="Arial" w:cs="Arial" w:eastAsia="Arial" w:hAnsi="Arial"/>
                <w:sz w:val="18"/>
                <w:szCs w:val="18"/>
                <w:color w:val="auto"/>
              </w:rPr>
              <w:t>$</w:t>
            </w:r>
          </w:p>
        </w:tc>
        <w:tc>
          <w:tcPr>
            <w:tcW w:w="1800" w:type="dxa"/>
            <w:vAlign w:val="bottom"/>
          </w:tcPr>
          <w:p>
            <w:pPr>
              <w:jc w:val="right"/>
              <w:spacing w:after="0"/>
              <w:rPr>
                <w:sz w:val="20"/>
                <w:szCs w:val="20"/>
                <w:color w:val="auto"/>
              </w:rPr>
            </w:pPr>
            <w:r>
              <w:rPr>
                <w:rFonts w:ascii="Arial" w:cs="Arial" w:eastAsia="Arial" w:hAnsi="Arial"/>
                <w:sz w:val="18"/>
                <w:szCs w:val="18"/>
                <w:color w:val="auto"/>
              </w:rPr>
              <w:t>6,495</w:t>
            </w:r>
          </w:p>
        </w:tc>
        <w:tc>
          <w:tcPr>
            <w:tcW w:w="120" w:type="dxa"/>
            <w:vAlign w:val="bottom"/>
          </w:tcPr>
          <w:p>
            <w:pPr>
              <w:spacing w:after="0"/>
              <w:rPr>
                <w:sz w:val="18"/>
                <w:szCs w:val="18"/>
                <w:color w:val="auto"/>
              </w:rPr>
            </w:pPr>
          </w:p>
        </w:tc>
      </w:tr>
      <w:tr>
        <w:trPr>
          <w:trHeight w:val="216"/>
        </w:trPr>
        <w:tc>
          <w:tcPr>
            <w:tcW w:w="7220" w:type="dxa"/>
            <w:vAlign w:val="bottom"/>
            <w:gridSpan w:val="3"/>
            <w:shd w:val="clear" w:color="auto" w:fill="EAF9E8"/>
          </w:tcPr>
          <w:p>
            <w:pPr>
              <w:ind w:left="160"/>
              <w:spacing w:after="0"/>
              <w:rPr>
                <w:sz w:val="20"/>
                <w:szCs w:val="20"/>
                <w:color w:val="auto"/>
              </w:rPr>
            </w:pPr>
            <w:r>
              <w:rPr>
                <w:rFonts w:ascii="Arial" w:cs="Arial" w:eastAsia="Arial" w:hAnsi="Arial"/>
                <w:sz w:val="18"/>
                <w:szCs w:val="18"/>
                <w:color w:val="auto"/>
              </w:rPr>
              <w:t>Loans and Residuals</w:t>
            </w:r>
          </w:p>
        </w:tc>
        <w:tc>
          <w:tcPr>
            <w:tcW w:w="17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1,169</w:t>
            </w:r>
          </w:p>
        </w:tc>
        <w:tc>
          <w:tcPr>
            <w:tcW w:w="36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8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1,169</w:t>
            </w:r>
          </w:p>
        </w:tc>
        <w:tc>
          <w:tcPr>
            <w:tcW w:w="120" w:type="dxa"/>
            <w:vAlign w:val="bottom"/>
            <w:shd w:val="clear" w:color="auto" w:fill="EAF9E8"/>
          </w:tcPr>
          <w:p>
            <w:pPr>
              <w:spacing w:after="0"/>
              <w:rPr>
                <w:sz w:val="18"/>
                <w:szCs w:val="18"/>
                <w:color w:val="auto"/>
              </w:rPr>
            </w:pPr>
          </w:p>
        </w:tc>
      </w:tr>
      <w:tr>
        <w:trPr>
          <w:trHeight w:val="216"/>
        </w:trPr>
        <w:tc>
          <w:tcPr>
            <w:tcW w:w="7220" w:type="dxa"/>
            <w:vAlign w:val="bottom"/>
            <w:gridSpan w:val="3"/>
          </w:tcPr>
          <w:p>
            <w:pPr>
              <w:ind w:left="160"/>
              <w:spacing w:after="0"/>
              <w:rPr>
                <w:sz w:val="20"/>
                <w:szCs w:val="20"/>
                <w:color w:val="auto"/>
              </w:rPr>
            </w:pPr>
            <w:r>
              <w:rPr>
                <w:rFonts w:ascii="Arial" w:cs="Arial" w:eastAsia="Arial" w:hAnsi="Arial"/>
                <w:sz w:val="18"/>
                <w:szCs w:val="18"/>
                <w:color w:val="auto"/>
              </w:rPr>
              <w:t>Asset Management Vehicles</w:t>
            </w:r>
          </w:p>
        </w:tc>
        <w:tc>
          <w:tcPr>
            <w:tcW w:w="1720" w:type="dxa"/>
            <w:vAlign w:val="bottom"/>
          </w:tcPr>
          <w:p>
            <w:pPr>
              <w:jc w:val="right"/>
              <w:spacing w:after="0"/>
              <w:rPr>
                <w:sz w:val="20"/>
                <w:szCs w:val="20"/>
                <w:color w:val="auto"/>
              </w:rPr>
            </w:pPr>
            <w:r>
              <w:rPr>
                <w:rFonts w:ascii="Arial" w:cs="Arial" w:eastAsia="Arial" w:hAnsi="Arial"/>
                <w:sz w:val="18"/>
                <w:szCs w:val="18"/>
                <w:color w:val="auto"/>
              </w:rPr>
              <w:t>854</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1,171</w:t>
            </w:r>
          </w:p>
        </w:tc>
        <w:tc>
          <w:tcPr>
            <w:tcW w:w="120" w:type="dxa"/>
            <w:vAlign w:val="bottom"/>
          </w:tcPr>
          <w:p>
            <w:pPr>
              <w:spacing w:after="0"/>
              <w:rPr>
                <w:sz w:val="18"/>
                <w:szCs w:val="18"/>
                <w:color w:val="auto"/>
              </w:rPr>
            </w:pPr>
          </w:p>
        </w:tc>
      </w:tr>
      <w:tr>
        <w:trPr>
          <w:trHeight w:val="216"/>
        </w:trPr>
        <w:tc>
          <w:tcPr>
            <w:tcW w:w="7220" w:type="dxa"/>
            <w:vAlign w:val="bottom"/>
            <w:gridSpan w:val="3"/>
            <w:shd w:val="clear" w:color="auto" w:fill="EAF9E8"/>
          </w:tcPr>
          <w:p>
            <w:pPr>
              <w:ind w:left="160"/>
              <w:spacing w:after="0"/>
              <w:rPr>
                <w:sz w:val="20"/>
                <w:szCs w:val="20"/>
                <w:color w:val="auto"/>
              </w:rPr>
            </w:pPr>
            <w:r>
              <w:rPr>
                <w:rFonts w:ascii="Arial" w:cs="Arial" w:eastAsia="Arial" w:hAnsi="Arial"/>
                <w:sz w:val="18"/>
                <w:szCs w:val="18"/>
                <w:color w:val="auto"/>
              </w:rPr>
              <w:t>Mortgage Services</w:t>
            </w:r>
          </w:p>
        </w:tc>
        <w:tc>
          <w:tcPr>
            <w:tcW w:w="17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3,695</w:t>
            </w:r>
          </w:p>
        </w:tc>
        <w:tc>
          <w:tcPr>
            <w:tcW w:w="36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8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2,668</w:t>
            </w:r>
          </w:p>
        </w:tc>
        <w:tc>
          <w:tcPr>
            <w:tcW w:w="120" w:type="dxa"/>
            <w:vAlign w:val="bottom"/>
            <w:shd w:val="clear" w:color="auto" w:fill="EAF9E8"/>
          </w:tcPr>
          <w:p>
            <w:pPr>
              <w:spacing w:after="0"/>
              <w:rPr>
                <w:sz w:val="18"/>
                <w:szCs w:val="18"/>
                <w:color w:val="auto"/>
              </w:rPr>
            </w:pPr>
          </w:p>
        </w:tc>
      </w:tr>
      <w:tr>
        <w:trPr>
          <w:trHeight w:val="216"/>
        </w:trPr>
        <w:tc>
          <w:tcPr>
            <w:tcW w:w="7220" w:type="dxa"/>
            <w:vAlign w:val="bottom"/>
            <w:gridSpan w:val="3"/>
          </w:tcPr>
          <w:p>
            <w:pPr>
              <w:ind w:left="160"/>
              <w:spacing w:after="0"/>
              <w:rPr>
                <w:sz w:val="20"/>
                <w:szCs w:val="20"/>
                <w:color w:val="auto"/>
              </w:rPr>
            </w:pPr>
            <w:r>
              <w:rPr>
                <w:rFonts w:ascii="Arial" w:cs="Arial" w:eastAsia="Arial" w:hAnsi="Arial"/>
                <w:sz w:val="18"/>
                <w:szCs w:val="18"/>
                <w:color w:val="auto"/>
              </w:rPr>
              <w:t>Financial Services</w:t>
            </w:r>
          </w:p>
        </w:tc>
        <w:tc>
          <w:tcPr>
            <w:tcW w:w="1720" w:type="dxa"/>
            <w:vAlign w:val="bottom"/>
          </w:tcPr>
          <w:p>
            <w:pPr>
              <w:jc w:val="right"/>
              <w:spacing w:after="0"/>
              <w:rPr>
                <w:sz w:val="20"/>
                <w:szCs w:val="20"/>
                <w:color w:val="auto"/>
              </w:rPr>
            </w:pPr>
            <w:r>
              <w:rPr>
                <w:rFonts w:ascii="Arial" w:cs="Arial" w:eastAsia="Arial" w:hAnsi="Arial"/>
                <w:sz w:val="18"/>
                <w:szCs w:val="18"/>
                <w:color w:val="auto"/>
              </w:rPr>
              <w:t>5,600</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5,747</w:t>
            </w:r>
          </w:p>
        </w:tc>
        <w:tc>
          <w:tcPr>
            <w:tcW w:w="120" w:type="dxa"/>
            <w:vAlign w:val="bottom"/>
          </w:tcPr>
          <w:p>
            <w:pPr>
              <w:spacing w:after="0"/>
              <w:rPr>
                <w:sz w:val="18"/>
                <w:szCs w:val="18"/>
                <w:color w:val="auto"/>
              </w:rPr>
            </w:pPr>
          </w:p>
        </w:tc>
      </w:tr>
      <w:tr>
        <w:trPr>
          <w:trHeight w:val="216"/>
        </w:trPr>
        <w:tc>
          <w:tcPr>
            <w:tcW w:w="7220" w:type="dxa"/>
            <w:vAlign w:val="bottom"/>
            <w:gridSpan w:val="3"/>
            <w:shd w:val="clear" w:color="auto" w:fill="EAF9E8"/>
          </w:tcPr>
          <w:p>
            <w:pPr>
              <w:ind w:left="160"/>
              <w:spacing w:after="0"/>
              <w:rPr>
                <w:sz w:val="20"/>
                <w:szCs w:val="20"/>
                <w:color w:val="auto"/>
              </w:rPr>
            </w:pPr>
            <w:r>
              <w:rPr>
                <w:rFonts w:ascii="Arial" w:cs="Arial" w:eastAsia="Arial" w:hAnsi="Arial"/>
                <w:sz w:val="18"/>
                <w:szCs w:val="18"/>
                <w:color w:val="auto"/>
              </w:rPr>
              <w:t>Technology Products</w:t>
            </w:r>
          </w:p>
        </w:tc>
        <w:tc>
          <w:tcPr>
            <w:tcW w:w="17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776</w:t>
            </w:r>
          </w:p>
        </w:tc>
        <w:tc>
          <w:tcPr>
            <w:tcW w:w="36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8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975</w:t>
            </w:r>
          </w:p>
        </w:tc>
        <w:tc>
          <w:tcPr>
            <w:tcW w:w="120" w:type="dxa"/>
            <w:vAlign w:val="bottom"/>
            <w:shd w:val="clear" w:color="auto" w:fill="EAF9E8"/>
          </w:tcPr>
          <w:p>
            <w:pPr>
              <w:spacing w:after="0"/>
              <w:rPr>
                <w:sz w:val="18"/>
                <w:szCs w:val="18"/>
                <w:color w:val="auto"/>
              </w:rPr>
            </w:pPr>
          </w:p>
        </w:tc>
      </w:tr>
      <w:tr>
        <w:trPr>
          <w:trHeight w:val="222"/>
        </w:trPr>
        <w:tc>
          <w:tcPr>
            <w:tcW w:w="7220" w:type="dxa"/>
            <w:vAlign w:val="bottom"/>
            <w:gridSpan w:val="3"/>
          </w:tcPr>
          <w:p>
            <w:pPr>
              <w:ind w:left="160"/>
              <w:spacing w:after="0"/>
              <w:rPr>
                <w:sz w:val="20"/>
                <w:szCs w:val="20"/>
                <w:color w:val="auto"/>
              </w:rPr>
            </w:pPr>
            <w:r>
              <w:rPr>
                <w:rFonts w:ascii="Arial" w:cs="Arial" w:eastAsia="Arial" w:hAnsi="Arial"/>
                <w:sz w:val="18"/>
                <w:szCs w:val="18"/>
                <w:color w:val="auto"/>
              </w:rPr>
              <w:t>Corporate Items and Other, net (2)</w:t>
            </w:r>
          </w:p>
        </w:tc>
        <w:tc>
          <w:tcPr>
            <w:tcW w:w="1720" w:type="dxa"/>
            <w:vAlign w:val="bottom"/>
          </w:tcPr>
          <w:p>
            <w:pPr>
              <w:jc w:val="right"/>
              <w:spacing w:after="0"/>
              <w:rPr>
                <w:sz w:val="20"/>
                <w:szCs w:val="20"/>
                <w:color w:val="auto"/>
              </w:rPr>
            </w:pPr>
            <w:r>
              <w:rPr>
                <w:rFonts w:ascii="Arial" w:cs="Arial" w:eastAsia="Arial" w:hAnsi="Arial"/>
                <w:sz w:val="18"/>
                <w:szCs w:val="18"/>
                <w:color w:val="auto"/>
              </w:rPr>
              <w:t>11,705</w:t>
            </w: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13,593</w:t>
            </w:r>
          </w:p>
        </w:tc>
        <w:tc>
          <w:tcPr>
            <w:tcW w:w="120" w:type="dxa"/>
            <w:vAlign w:val="bottom"/>
          </w:tcPr>
          <w:p>
            <w:pPr>
              <w:spacing w:after="0"/>
              <w:rPr>
                <w:sz w:val="19"/>
                <w:szCs w:val="19"/>
                <w:color w:val="auto"/>
              </w:rPr>
            </w:pPr>
          </w:p>
        </w:tc>
      </w:tr>
      <w:tr>
        <w:trPr>
          <w:trHeight w:val="237"/>
        </w:trPr>
        <w:tc>
          <w:tcPr>
            <w:tcW w:w="1380" w:type="dxa"/>
            <w:vAlign w:val="bottom"/>
          </w:tcPr>
          <w:p>
            <w:pPr>
              <w:spacing w:after="0"/>
              <w:rPr>
                <w:sz w:val="20"/>
                <w:szCs w:val="20"/>
                <w:color w:val="auto"/>
              </w:rPr>
            </w:pPr>
          </w:p>
        </w:tc>
        <w:tc>
          <w:tcPr>
            <w:tcW w:w="55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10"/>
        </w:trPr>
        <w:tc>
          <w:tcPr>
            <w:tcW w:w="1380" w:type="dxa"/>
            <w:vAlign w:val="bottom"/>
            <w:shd w:val="clear" w:color="auto" w:fill="EAF9E8"/>
          </w:tcPr>
          <w:p>
            <w:pPr>
              <w:spacing w:after="0"/>
              <w:rPr>
                <w:sz w:val="18"/>
                <w:szCs w:val="18"/>
                <w:color w:val="auto"/>
              </w:rPr>
            </w:pPr>
          </w:p>
        </w:tc>
        <w:tc>
          <w:tcPr>
            <w:tcW w:w="556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7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30,273</w:t>
            </w:r>
          </w:p>
        </w:tc>
        <w:tc>
          <w:tcPr>
            <w:tcW w:w="36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8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31,818</w:t>
            </w:r>
          </w:p>
        </w:tc>
        <w:tc>
          <w:tcPr>
            <w:tcW w:w="120" w:type="dxa"/>
            <w:vAlign w:val="bottom"/>
            <w:shd w:val="clear" w:color="auto" w:fill="EAF9E8"/>
          </w:tcPr>
          <w:p>
            <w:pPr>
              <w:spacing w:after="0"/>
              <w:rPr>
                <w:sz w:val="18"/>
                <w:szCs w:val="18"/>
                <w:color w:val="auto"/>
              </w:rPr>
            </w:pP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w w:val="93"/>
              </w:rPr>
              <w:t>Other receivables:</w:t>
            </w:r>
          </w:p>
        </w:tc>
        <w:tc>
          <w:tcPr>
            <w:tcW w:w="5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1380" w:type="dxa"/>
            <w:vAlign w:val="bottom"/>
            <w:shd w:val="clear" w:color="auto" w:fill="EAF9E8"/>
          </w:tcPr>
          <w:p>
            <w:pPr>
              <w:ind w:left="160"/>
              <w:spacing w:after="0"/>
              <w:rPr>
                <w:sz w:val="20"/>
                <w:szCs w:val="20"/>
                <w:color w:val="auto"/>
              </w:rPr>
            </w:pPr>
            <w:r>
              <w:rPr>
                <w:rFonts w:ascii="Arial" w:cs="Arial" w:eastAsia="Arial" w:hAnsi="Arial"/>
                <w:sz w:val="18"/>
                <w:szCs w:val="18"/>
                <w:color w:val="auto"/>
              </w:rPr>
              <w:t>Income taxes</w:t>
            </w:r>
          </w:p>
        </w:tc>
        <w:tc>
          <w:tcPr>
            <w:tcW w:w="556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7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5,426</w:t>
            </w:r>
          </w:p>
        </w:tc>
        <w:tc>
          <w:tcPr>
            <w:tcW w:w="36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8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5,386</w:t>
            </w:r>
          </w:p>
        </w:tc>
        <w:tc>
          <w:tcPr>
            <w:tcW w:w="120" w:type="dxa"/>
            <w:vAlign w:val="bottom"/>
            <w:shd w:val="clear" w:color="auto" w:fill="EAF9E8"/>
          </w:tcPr>
          <w:p>
            <w:pPr>
              <w:spacing w:after="0"/>
              <w:rPr>
                <w:sz w:val="18"/>
                <w:szCs w:val="18"/>
                <w:color w:val="auto"/>
              </w:rPr>
            </w:pPr>
          </w:p>
        </w:tc>
      </w:tr>
      <w:tr>
        <w:trPr>
          <w:trHeight w:val="216"/>
        </w:trPr>
        <w:tc>
          <w:tcPr>
            <w:tcW w:w="1380" w:type="dxa"/>
            <w:vAlign w:val="bottom"/>
          </w:tcPr>
          <w:p>
            <w:pPr>
              <w:ind w:left="160"/>
              <w:spacing w:after="0"/>
              <w:rPr>
                <w:sz w:val="20"/>
                <w:szCs w:val="20"/>
                <w:color w:val="auto"/>
              </w:rPr>
            </w:pPr>
            <w:r>
              <w:rPr>
                <w:rFonts w:ascii="Arial" w:cs="Arial" w:eastAsia="Arial" w:hAnsi="Arial"/>
                <w:sz w:val="18"/>
                <w:szCs w:val="18"/>
                <w:color w:val="auto"/>
              </w:rPr>
              <w:t>Term note (3)</w:t>
            </w:r>
          </w:p>
        </w:tc>
        <w:tc>
          <w:tcPr>
            <w:tcW w:w="5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7,000</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r>
      <w:tr>
        <w:trPr>
          <w:trHeight w:val="216"/>
        </w:trPr>
        <w:tc>
          <w:tcPr>
            <w:tcW w:w="1380" w:type="dxa"/>
            <w:vAlign w:val="bottom"/>
            <w:shd w:val="clear" w:color="auto" w:fill="EAF9E8"/>
          </w:tcPr>
          <w:p>
            <w:pPr>
              <w:ind w:left="160"/>
              <w:spacing w:after="0"/>
              <w:rPr>
                <w:sz w:val="20"/>
                <w:szCs w:val="20"/>
                <w:color w:val="auto"/>
              </w:rPr>
            </w:pPr>
            <w:r>
              <w:rPr>
                <w:rFonts w:ascii="Arial" w:cs="Arial" w:eastAsia="Arial" w:hAnsi="Arial"/>
                <w:sz w:val="18"/>
                <w:szCs w:val="18"/>
                <w:color w:val="auto"/>
                <w:w w:val="87"/>
              </w:rPr>
              <w:t>Security deposits</w:t>
            </w:r>
          </w:p>
        </w:tc>
        <w:tc>
          <w:tcPr>
            <w:tcW w:w="556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7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4,570</w:t>
            </w:r>
          </w:p>
        </w:tc>
        <w:tc>
          <w:tcPr>
            <w:tcW w:w="36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8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4,645</w:t>
            </w:r>
          </w:p>
        </w:tc>
        <w:tc>
          <w:tcPr>
            <w:tcW w:w="120" w:type="dxa"/>
            <w:vAlign w:val="bottom"/>
            <w:shd w:val="clear" w:color="auto" w:fill="EAF9E8"/>
          </w:tcPr>
          <w:p>
            <w:pPr>
              <w:spacing w:after="0"/>
              <w:rPr>
                <w:sz w:val="18"/>
                <w:szCs w:val="18"/>
                <w:color w:val="auto"/>
              </w:rPr>
            </w:pPr>
          </w:p>
        </w:tc>
      </w:tr>
      <w:tr>
        <w:trPr>
          <w:trHeight w:val="222"/>
        </w:trPr>
        <w:tc>
          <w:tcPr>
            <w:tcW w:w="1380" w:type="dxa"/>
            <w:vAlign w:val="bottom"/>
          </w:tcPr>
          <w:p>
            <w:pPr>
              <w:ind w:left="160"/>
              <w:spacing w:after="0"/>
              <w:rPr>
                <w:sz w:val="20"/>
                <w:szCs w:val="20"/>
                <w:color w:val="auto"/>
              </w:rPr>
            </w:pPr>
            <w:r>
              <w:rPr>
                <w:rFonts w:ascii="Arial" w:cs="Arial" w:eastAsia="Arial" w:hAnsi="Arial"/>
                <w:sz w:val="18"/>
                <w:szCs w:val="18"/>
                <w:color w:val="auto"/>
              </w:rPr>
              <w:t>Other</w:t>
            </w:r>
          </w:p>
        </w:tc>
        <w:tc>
          <w:tcPr>
            <w:tcW w:w="5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2,164</w:t>
            </w: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949</w:t>
            </w:r>
          </w:p>
        </w:tc>
        <w:tc>
          <w:tcPr>
            <w:tcW w:w="120" w:type="dxa"/>
            <w:vAlign w:val="bottom"/>
          </w:tcPr>
          <w:p>
            <w:pPr>
              <w:spacing w:after="0"/>
              <w:rPr>
                <w:sz w:val="19"/>
                <w:szCs w:val="19"/>
                <w:color w:val="auto"/>
              </w:rPr>
            </w:pPr>
          </w:p>
        </w:tc>
      </w:tr>
      <w:tr>
        <w:trPr>
          <w:trHeight w:val="237"/>
        </w:trPr>
        <w:tc>
          <w:tcPr>
            <w:tcW w:w="1380" w:type="dxa"/>
            <w:vAlign w:val="bottom"/>
          </w:tcPr>
          <w:p>
            <w:pPr>
              <w:spacing w:after="0"/>
              <w:rPr>
                <w:sz w:val="20"/>
                <w:szCs w:val="20"/>
                <w:color w:val="auto"/>
              </w:rPr>
            </w:pPr>
          </w:p>
        </w:tc>
        <w:tc>
          <w:tcPr>
            <w:tcW w:w="5840" w:type="dxa"/>
            <w:vAlign w:val="bottom"/>
            <w:gridSpan w:val="2"/>
          </w:tcPr>
          <w:p>
            <w:pPr>
              <w:spacing w:after="0"/>
              <w:rPr>
                <w:sz w:val="20"/>
                <w:szCs w:val="20"/>
                <w:color w:val="auto"/>
              </w:rPr>
            </w:pPr>
          </w:p>
        </w:tc>
        <w:tc>
          <w:tcPr>
            <w:tcW w:w="1720" w:type="dxa"/>
            <w:vAlign w:val="bottom"/>
          </w:tcPr>
          <w:p>
            <w:pPr>
              <w:spacing w:after="0"/>
              <w:rPr>
                <w:sz w:val="20"/>
                <w:szCs w:val="20"/>
                <w:color w:val="auto"/>
              </w:rPr>
            </w:pPr>
          </w:p>
        </w:tc>
        <w:tc>
          <w:tcPr>
            <w:tcW w:w="560" w:type="dxa"/>
            <w:vAlign w:val="bottom"/>
            <w:gridSpan w:val="2"/>
          </w:tcPr>
          <w:p>
            <w:pPr>
              <w:spacing w:after="0"/>
              <w:rPr>
                <w:sz w:val="20"/>
                <w:szCs w:val="20"/>
                <w:color w:val="auto"/>
              </w:rPr>
            </w:pPr>
          </w:p>
        </w:tc>
        <w:tc>
          <w:tcPr>
            <w:tcW w:w="180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10"/>
        </w:trPr>
        <w:tc>
          <w:tcPr>
            <w:tcW w:w="1380" w:type="dxa"/>
            <w:vAlign w:val="bottom"/>
            <w:shd w:val="clear" w:color="auto" w:fill="EAF9E8"/>
          </w:tcPr>
          <w:p>
            <w:pPr>
              <w:spacing w:after="0"/>
              <w:rPr>
                <w:sz w:val="18"/>
                <w:szCs w:val="18"/>
                <w:color w:val="auto"/>
              </w:rPr>
            </w:pPr>
          </w:p>
        </w:tc>
        <w:tc>
          <w:tcPr>
            <w:tcW w:w="5560" w:type="dxa"/>
            <w:vAlign w:val="bottom"/>
            <w:shd w:val="clear" w:color="auto" w:fill="EAF9E8"/>
          </w:tcPr>
          <w:p>
            <w:pPr>
              <w:spacing w:after="0"/>
              <w:rPr>
                <w:sz w:val="18"/>
                <w:szCs w:val="18"/>
                <w:color w:val="auto"/>
              </w:rPr>
            </w:pPr>
          </w:p>
        </w:tc>
        <w:tc>
          <w:tcPr>
            <w:tcW w:w="280" w:type="dxa"/>
            <w:vAlign w:val="bottom"/>
            <w:tcBorders>
              <w:top w:val="single" w:sz="8" w:color="auto"/>
            </w:tcBorders>
            <w:shd w:val="clear" w:color="auto" w:fill="EAF9E8"/>
          </w:tcPr>
          <w:p>
            <w:pPr>
              <w:jc w:val="right"/>
              <w:ind w:right="92"/>
              <w:spacing w:after="0"/>
              <w:rPr>
                <w:sz w:val="20"/>
                <w:szCs w:val="20"/>
                <w:color w:val="auto"/>
              </w:rPr>
            </w:pPr>
            <w:r>
              <w:rPr>
                <w:rFonts w:ascii="Arial" w:cs="Arial" w:eastAsia="Arial" w:hAnsi="Arial"/>
                <w:sz w:val="18"/>
                <w:szCs w:val="18"/>
                <w:color w:val="auto"/>
                <w:w w:val="79"/>
              </w:rPr>
              <w:t>$</w:t>
            </w:r>
          </w:p>
        </w:tc>
        <w:tc>
          <w:tcPr>
            <w:tcW w:w="172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49,433</w:t>
            </w:r>
          </w:p>
        </w:tc>
        <w:tc>
          <w:tcPr>
            <w:tcW w:w="360" w:type="dxa"/>
            <w:vAlign w:val="bottom"/>
            <w:shd w:val="clear" w:color="auto" w:fill="EAF9E8"/>
          </w:tcPr>
          <w:p>
            <w:pPr>
              <w:spacing w:after="0"/>
              <w:rPr>
                <w:sz w:val="18"/>
                <w:szCs w:val="18"/>
                <w:color w:val="auto"/>
              </w:rPr>
            </w:pPr>
          </w:p>
        </w:tc>
        <w:tc>
          <w:tcPr>
            <w:tcW w:w="200" w:type="dxa"/>
            <w:vAlign w:val="bottom"/>
            <w:tcBorders>
              <w:top w:val="single" w:sz="8" w:color="auto"/>
            </w:tcBorders>
            <w:shd w:val="clear" w:color="auto" w:fill="EAF9E8"/>
          </w:tcPr>
          <w:p>
            <w:pPr>
              <w:jc w:val="right"/>
              <w:ind w:right="43"/>
              <w:spacing w:after="0"/>
              <w:rPr>
                <w:sz w:val="20"/>
                <w:szCs w:val="20"/>
                <w:color w:val="auto"/>
              </w:rPr>
            </w:pPr>
            <w:r>
              <w:rPr>
                <w:rFonts w:ascii="Arial" w:cs="Arial" w:eastAsia="Arial" w:hAnsi="Arial"/>
                <w:sz w:val="15"/>
                <w:szCs w:val="15"/>
                <w:color w:val="auto"/>
                <w:w w:val="71"/>
              </w:rPr>
              <w:t>$</w:t>
            </w:r>
          </w:p>
        </w:tc>
        <w:tc>
          <w:tcPr>
            <w:tcW w:w="180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42,798</w:t>
            </w:r>
          </w:p>
        </w:tc>
        <w:tc>
          <w:tcPr>
            <w:tcW w:w="120" w:type="dxa"/>
            <w:vAlign w:val="bottom"/>
            <w:shd w:val="clear" w:color="auto" w:fill="EAF9E8"/>
          </w:tcPr>
          <w:p>
            <w:pPr>
              <w:spacing w:after="0"/>
              <w:rPr>
                <w:sz w:val="18"/>
                <w:szCs w:val="18"/>
                <w:color w:val="auto"/>
              </w:rPr>
            </w:pPr>
          </w:p>
        </w:tc>
      </w:tr>
      <w:tr>
        <w:trPr>
          <w:trHeight w:val="243"/>
        </w:trPr>
        <w:tc>
          <w:tcPr>
            <w:tcW w:w="1380" w:type="dxa"/>
            <w:vAlign w:val="bottom"/>
          </w:tcPr>
          <w:p>
            <w:pPr>
              <w:spacing w:after="0"/>
              <w:rPr>
                <w:sz w:val="21"/>
                <w:szCs w:val="21"/>
                <w:color w:val="auto"/>
              </w:rPr>
            </w:pPr>
          </w:p>
        </w:tc>
        <w:tc>
          <w:tcPr>
            <w:tcW w:w="556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tcPr>
          <w:p>
            <w:pPr>
              <w:spacing w:after="0"/>
              <w:rPr>
                <w:sz w:val="21"/>
                <w:szCs w:val="21"/>
                <w:color w:val="auto"/>
              </w:rPr>
            </w:pPr>
          </w:p>
        </w:tc>
        <w:tc>
          <w:tcPr>
            <w:tcW w:w="36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80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r>
      <w:tr>
        <w:trPr>
          <w:trHeight w:val="20"/>
        </w:trPr>
        <w:tc>
          <w:tcPr>
            <w:tcW w:w="138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8" w:lineRule="exact"/>
        <w:rPr>
          <w:sz w:val="20"/>
          <w:szCs w:val="20"/>
          <w:color w:val="auto"/>
        </w:rPr>
      </w:pPr>
    </w:p>
    <w:p>
      <w:pPr>
        <w:ind w:left="580" w:hanging="572"/>
        <w:spacing w:after="0" w:line="254" w:lineRule="auto"/>
        <w:tabs>
          <w:tab w:leader="none" w:pos="5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balances at March 31, 2009 and December 31, 2008 primarily include reimbursable expenses due from investors. The total balance of receivables for this segment is net of reserves of $1,733 and $1,604 at March 31, 2009 and December 31, 2008, respectively.</w:t>
      </w:r>
    </w:p>
    <w:p>
      <w:pPr>
        <w:jc w:val="both"/>
        <w:ind w:left="580" w:hanging="572"/>
        <w:spacing w:after="0" w:line="281" w:lineRule="auto"/>
        <w:tabs>
          <w:tab w:leader="none" w:pos="5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balances at March 31, 2009 and December 31, 2008 include receivables totaling $3,324 that primarily represent payments to be received in future years (through June 2014) of proceeds from the sales of investments in affordable housing properties. These affordable housing receivables are net of reserves for doubtful accounts of $6,400. The balances at March 31, 2009 and December 31, 2008 also include $6,746 and $8,286, respectively, of mortgage loans originated by BOK. These loans were net of allowances of $1,336 and $1,392, respectively.</w:t>
      </w:r>
    </w:p>
    <w:p>
      <w:pPr>
        <w:spacing w:after="0" w:line="2" w:lineRule="exact"/>
        <w:rPr>
          <w:rFonts w:ascii="Arial" w:cs="Arial" w:eastAsia="Arial" w:hAnsi="Arial"/>
          <w:sz w:val="16"/>
          <w:szCs w:val="16"/>
          <w:color w:val="auto"/>
        </w:rPr>
      </w:pPr>
    </w:p>
    <w:p>
      <w:pPr>
        <w:jc w:val="both"/>
        <w:ind w:left="580" w:hanging="572"/>
        <w:spacing w:after="0" w:line="254" w:lineRule="auto"/>
        <w:tabs>
          <w:tab w:leader="none" w:pos="5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 March 2009, we issued a note receivable, maturing on April 1, 2014, in connection with advances funded by the Ocwen Servicer Advance Funding, LLC (OSAF) term note pledged as collateral, as described in Note 13. We receive 1-Month LIBOR plus 300 bps under the terms of this note receivable. We are obligated to pay 1-Month LIBOR plus 350 bps under the terms of a five- year note payable to the same counterparty. We do not have a contractual right to offset these payments.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228"/>
        </w:trPr>
        <w:tc>
          <w:tcPr>
            <w:tcW w:w="1060" w:type="dxa"/>
            <w:vAlign w:val="bottom"/>
            <w:gridSpan w:val="2"/>
          </w:tcPr>
          <w:p>
            <w:pPr>
              <w:spacing w:after="0"/>
              <w:rPr>
                <w:sz w:val="20"/>
                <w:szCs w:val="20"/>
                <w:color w:val="auto"/>
              </w:rPr>
            </w:pPr>
            <w:r>
              <w:rPr>
                <w:rFonts w:ascii="Arial" w:cs="Arial" w:eastAsia="Arial" w:hAnsi="Arial"/>
                <w:sz w:val="18"/>
                <w:szCs w:val="18"/>
                <w:b w:val="1"/>
                <w:bCs w:val="1"/>
                <w:color w:val="auto"/>
              </w:rPr>
              <w:t>NOTE 10</w:t>
            </w:r>
          </w:p>
        </w:tc>
        <w:tc>
          <w:tcPr>
            <w:tcW w:w="5880" w:type="dxa"/>
            <w:vAlign w:val="bottom"/>
          </w:tcPr>
          <w:p>
            <w:pPr>
              <w:ind w:left="320"/>
              <w:spacing w:after="0"/>
              <w:rPr>
                <w:sz w:val="20"/>
                <w:szCs w:val="20"/>
                <w:color w:val="auto"/>
              </w:rPr>
            </w:pPr>
            <w:r>
              <w:rPr>
                <w:rFonts w:ascii="Arial" w:cs="Arial" w:eastAsia="Arial" w:hAnsi="Arial"/>
                <w:sz w:val="18"/>
                <w:szCs w:val="18"/>
                <w:b w:val="1"/>
                <w:bCs w:val="1"/>
                <w:color w:val="auto"/>
              </w:rPr>
              <w:t>INVESTMENT IN UNCONSOLIDATED ENTITIES</w:t>
            </w:r>
          </w:p>
        </w:tc>
        <w:tc>
          <w:tcPr>
            <w:tcW w:w="28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3"/>
        </w:trPr>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900" w:type="dxa"/>
            <w:vAlign w:val="bottom"/>
            <w:gridSpan w:val="2"/>
          </w:tcPr>
          <w:p>
            <w:pPr>
              <w:jc w:val="right"/>
              <w:ind w:right="620"/>
              <w:spacing w:after="0"/>
              <w:rPr>
                <w:sz w:val="20"/>
                <w:szCs w:val="20"/>
                <w:color w:val="auto"/>
              </w:rPr>
            </w:pPr>
            <w:r>
              <w:rPr>
                <w:rFonts w:ascii="Arial" w:cs="Arial" w:eastAsia="Arial" w:hAnsi="Arial"/>
                <w:sz w:val="18"/>
                <w:szCs w:val="18"/>
                <w:color w:val="auto"/>
              </w:rPr>
              <w:t>March 31, 2009</w:t>
            </w: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0" w:type="dxa"/>
            <w:vAlign w:val="bottom"/>
          </w:tcPr>
          <w:p>
            <w:pPr>
              <w:jc w:val="right"/>
              <w:ind w:right="232"/>
              <w:spacing w:after="0"/>
              <w:rPr>
                <w:sz w:val="20"/>
                <w:szCs w:val="20"/>
                <w:color w:val="auto"/>
              </w:rPr>
            </w:pPr>
            <w:r>
              <w:rPr>
                <w:rFonts w:ascii="Arial" w:cs="Arial" w:eastAsia="Arial" w:hAnsi="Arial"/>
                <w:sz w:val="18"/>
                <w:szCs w:val="18"/>
                <w:color w:val="auto"/>
                <w:w w:val="92"/>
              </w:rPr>
              <w:t>December 31, 2008</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6920" w:type="dxa"/>
            <w:vAlign w:val="bottom"/>
            <w:gridSpan w:val="2"/>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80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2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Asset Management Vehicles:</w:t>
            </w:r>
          </w:p>
        </w:tc>
        <w:tc>
          <w:tcPr>
            <w:tcW w:w="280" w:type="dxa"/>
            <w:vAlign w:val="bottom"/>
            <w:shd w:val="clear" w:color="auto" w:fill="EAF9E8"/>
          </w:tcPr>
          <w:p>
            <w:pPr>
              <w:spacing w:after="0"/>
              <w:rPr>
                <w:sz w:val="18"/>
                <w:szCs w:val="18"/>
                <w:color w:val="auto"/>
              </w:rPr>
            </w:pPr>
          </w:p>
        </w:tc>
        <w:tc>
          <w:tcPr>
            <w:tcW w:w="17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80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gridSpan w:val="2"/>
          </w:tcPr>
          <w:p>
            <w:pPr>
              <w:ind w:left="140"/>
              <w:spacing w:after="0"/>
              <w:rPr>
                <w:sz w:val="20"/>
                <w:szCs w:val="20"/>
                <w:color w:val="auto"/>
              </w:rPr>
            </w:pPr>
            <w:r>
              <w:rPr>
                <w:rFonts w:ascii="Arial" w:cs="Arial" w:eastAsia="Arial" w:hAnsi="Arial"/>
                <w:sz w:val="18"/>
                <w:szCs w:val="18"/>
                <w:color w:val="auto"/>
              </w:rPr>
              <w:t>Investment in OSI (1)</w:t>
            </w: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1900" w:type="dxa"/>
            <w:vAlign w:val="bottom"/>
            <w:gridSpan w:val="2"/>
          </w:tcPr>
          <w:p>
            <w:pPr>
              <w:jc w:val="right"/>
              <w:ind w:right="180"/>
              <w:spacing w:after="0"/>
              <w:rPr>
                <w:sz w:val="20"/>
                <w:szCs w:val="20"/>
                <w:color w:val="auto"/>
              </w:rPr>
            </w:pPr>
            <w:r>
              <w:rPr>
                <w:rFonts w:ascii="Arial" w:cs="Arial" w:eastAsia="Arial" w:hAnsi="Arial"/>
                <w:sz w:val="18"/>
                <w:szCs w:val="18"/>
                <w:color w:val="auto"/>
              </w:rPr>
              <w:t>12,933</w:t>
            </w:r>
          </w:p>
        </w:tc>
        <w:tc>
          <w:tcPr>
            <w:tcW w:w="380" w:type="dxa"/>
            <w:vAlign w:val="bottom"/>
            <w:gridSpan w:val="2"/>
          </w:tcPr>
          <w:p>
            <w:pPr>
              <w:jc w:val="right"/>
              <w:ind w:right="43"/>
              <w:spacing w:after="0"/>
              <w:rPr>
                <w:sz w:val="20"/>
                <w:szCs w:val="20"/>
                <w:color w:val="auto"/>
              </w:rPr>
            </w:pPr>
            <w:r>
              <w:rPr>
                <w:rFonts w:ascii="Arial" w:cs="Arial" w:eastAsia="Arial" w:hAnsi="Arial"/>
                <w:sz w:val="18"/>
                <w:szCs w:val="18"/>
                <w:color w:val="auto"/>
              </w:rPr>
              <w:t>$</w:t>
            </w:r>
          </w:p>
        </w:tc>
        <w:tc>
          <w:tcPr>
            <w:tcW w:w="1800" w:type="dxa"/>
            <w:vAlign w:val="bottom"/>
          </w:tcPr>
          <w:p>
            <w:pPr>
              <w:jc w:val="right"/>
              <w:spacing w:after="0"/>
              <w:rPr>
                <w:sz w:val="20"/>
                <w:szCs w:val="20"/>
                <w:color w:val="auto"/>
              </w:rPr>
            </w:pPr>
            <w:r>
              <w:rPr>
                <w:rFonts w:ascii="Arial" w:cs="Arial" w:eastAsia="Arial" w:hAnsi="Arial"/>
                <w:sz w:val="18"/>
                <w:szCs w:val="18"/>
                <w:color w:val="auto"/>
              </w:rPr>
              <w:t>15,410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gridSpan w:val="2"/>
            <w:shd w:val="clear" w:color="auto" w:fill="EAF9E8"/>
          </w:tcPr>
          <w:p>
            <w:pPr>
              <w:ind w:left="140"/>
              <w:spacing w:after="0"/>
              <w:rPr>
                <w:sz w:val="20"/>
                <w:szCs w:val="20"/>
                <w:color w:val="auto"/>
              </w:rPr>
            </w:pPr>
            <w:r>
              <w:rPr>
                <w:rFonts w:ascii="Arial" w:cs="Arial" w:eastAsia="Arial" w:hAnsi="Arial"/>
                <w:sz w:val="18"/>
                <w:szCs w:val="18"/>
                <w:color w:val="auto"/>
              </w:rPr>
              <w:t>Investment in ONL and affiliates (2)</w:t>
            </w:r>
          </w:p>
        </w:tc>
        <w:tc>
          <w:tcPr>
            <w:tcW w:w="280" w:type="dxa"/>
            <w:vAlign w:val="bottom"/>
            <w:shd w:val="clear" w:color="auto" w:fill="EAF9E8"/>
          </w:tcPr>
          <w:p>
            <w:pPr>
              <w:spacing w:after="0"/>
              <w:rPr>
                <w:sz w:val="18"/>
                <w:szCs w:val="18"/>
                <w:color w:val="auto"/>
              </w:rPr>
            </w:pPr>
          </w:p>
        </w:tc>
        <w:tc>
          <w:tcPr>
            <w:tcW w:w="190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9,103</w:t>
            </w:r>
          </w:p>
        </w:tc>
        <w:tc>
          <w:tcPr>
            <w:tcW w:w="18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8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10,174</w:t>
            </w:r>
          </w:p>
        </w:tc>
        <w:tc>
          <w:tcPr>
            <w:tcW w:w="12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8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900" w:type="dxa"/>
            <w:vAlign w:val="bottom"/>
            <w:gridSpan w:val="2"/>
          </w:tcPr>
          <w:p>
            <w:pPr>
              <w:spacing w:after="0"/>
              <w:rPr>
                <w:sz w:val="21"/>
                <w:szCs w:val="21"/>
                <w:color w:val="auto"/>
              </w:rPr>
            </w:pP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8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22,036</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25,584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Technology Products:</w:t>
            </w:r>
          </w:p>
        </w:tc>
        <w:tc>
          <w:tcPr>
            <w:tcW w:w="280" w:type="dxa"/>
            <w:vAlign w:val="bottom"/>
            <w:shd w:val="clear" w:color="auto" w:fill="EAF9E8"/>
          </w:tcPr>
          <w:p>
            <w:pPr>
              <w:spacing w:after="0"/>
              <w:rPr>
                <w:sz w:val="18"/>
                <w:szCs w:val="18"/>
                <w:color w:val="auto"/>
              </w:rPr>
            </w:pPr>
          </w:p>
        </w:tc>
        <w:tc>
          <w:tcPr>
            <w:tcW w:w="17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80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920" w:type="dxa"/>
            <w:vAlign w:val="bottom"/>
            <w:gridSpan w:val="2"/>
          </w:tcPr>
          <w:p>
            <w:pPr>
              <w:ind w:left="140"/>
              <w:spacing w:after="0"/>
              <w:rPr>
                <w:sz w:val="20"/>
                <w:szCs w:val="20"/>
                <w:color w:val="auto"/>
              </w:rPr>
            </w:pPr>
            <w:r>
              <w:rPr>
                <w:rFonts w:ascii="Arial" w:cs="Arial" w:eastAsia="Arial" w:hAnsi="Arial"/>
                <w:sz w:val="18"/>
                <w:szCs w:val="18"/>
                <w:color w:val="auto"/>
              </w:rPr>
              <w:t>Investment in BMS Holdings (4)</w:t>
            </w:r>
          </w:p>
        </w:tc>
        <w:tc>
          <w:tcPr>
            <w:tcW w:w="280" w:type="dxa"/>
            <w:vAlign w:val="bottom"/>
          </w:tcPr>
          <w:p>
            <w:pPr>
              <w:spacing w:after="0"/>
              <w:rPr>
                <w:sz w:val="19"/>
                <w:szCs w:val="19"/>
                <w:color w:val="auto"/>
              </w:rPr>
            </w:pPr>
          </w:p>
        </w:tc>
        <w:tc>
          <w:tcPr>
            <w:tcW w:w="1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6920" w:type="dxa"/>
            <w:vAlign w:val="bottom"/>
            <w:gridSpan w:val="2"/>
          </w:tcPr>
          <w:p>
            <w:pPr>
              <w:spacing w:after="0"/>
              <w:rPr>
                <w:sz w:val="12"/>
                <w:szCs w:val="12"/>
                <w:color w:val="auto"/>
              </w:rPr>
            </w:pPr>
          </w:p>
        </w:tc>
        <w:tc>
          <w:tcPr>
            <w:tcW w:w="280" w:type="dxa"/>
            <w:vAlign w:val="bottom"/>
          </w:tcPr>
          <w:p>
            <w:pPr>
              <w:spacing w:after="0"/>
              <w:rPr>
                <w:sz w:val="12"/>
                <w:szCs w:val="12"/>
                <w:color w:val="auto"/>
              </w:rPr>
            </w:pPr>
          </w:p>
        </w:tc>
        <w:tc>
          <w:tcPr>
            <w:tcW w:w="1900" w:type="dxa"/>
            <w:vAlign w:val="bottom"/>
            <w:gridSpan w:val="2"/>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2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Corporate Items and Other</w:t>
            </w:r>
          </w:p>
        </w:tc>
        <w:tc>
          <w:tcPr>
            <w:tcW w:w="280" w:type="dxa"/>
            <w:vAlign w:val="bottom"/>
            <w:shd w:val="clear" w:color="auto" w:fill="EAF9E8"/>
          </w:tcPr>
          <w:p>
            <w:pPr>
              <w:spacing w:after="0"/>
              <w:rPr>
                <w:sz w:val="18"/>
                <w:szCs w:val="18"/>
                <w:color w:val="auto"/>
              </w:rPr>
            </w:pPr>
          </w:p>
        </w:tc>
        <w:tc>
          <w:tcPr>
            <w:tcW w:w="190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79</w:t>
            </w:r>
          </w:p>
        </w:tc>
        <w:tc>
          <w:tcPr>
            <w:tcW w:w="18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8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79</w:t>
            </w:r>
          </w:p>
        </w:tc>
        <w:tc>
          <w:tcPr>
            <w:tcW w:w="12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8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900" w:type="dxa"/>
            <w:vAlign w:val="bottom"/>
            <w:gridSpan w:val="2"/>
          </w:tcPr>
          <w:p>
            <w:pPr>
              <w:spacing w:after="0"/>
              <w:rPr>
                <w:sz w:val="21"/>
                <w:szCs w:val="21"/>
                <w:color w:val="auto"/>
              </w:rPr>
            </w:pPr>
          </w:p>
        </w:tc>
        <w:tc>
          <w:tcPr>
            <w:tcW w:w="380" w:type="dxa"/>
            <w:vAlign w:val="bottom"/>
            <w:gridSpan w:val="2"/>
          </w:tcPr>
          <w:p>
            <w:pPr>
              <w:spacing w:after="0"/>
              <w:rPr>
                <w:sz w:val="21"/>
                <w:szCs w:val="21"/>
                <w:color w:val="auto"/>
              </w:rPr>
            </w:pPr>
          </w:p>
        </w:tc>
        <w:tc>
          <w:tcPr>
            <w:tcW w:w="1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880" w:type="dxa"/>
            <w:vAlign w:val="bottom"/>
          </w:tcPr>
          <w:p>
            <w:pPr>
              <w:spacing w:after="0"/>
              <w:rPr>
                <w:sz w:val="18"/>
                <w:szCs w:val="18"/>
                <w:color w:val="auto"/>
              </w:rPr>
            </w:pPr>
          </w:p>
        </w:tc>
        <w:tc>
          <w:tcPr>
            <w:tcW w:w="280" w:type="dxa"/>
            <w:vAlign w:val="bottom"/>
            <w:tcBorders>
              <w:top w:val="single" w:sz="8" w:color="auto"/>
            </w:tcBorders>
          </w:tcPr>
          <w:p>
            <w:pPr>
              <w:jc w:val="right"/>
              <w:ind w:right="92"/>
              <w:spacing w:after="0"/>
              <w:rPr>
                <w:sz w:val="20"/>
                <w:szCs w:val="20"/>
                <w:color w:val="auto"/>
              </w:rPr>
            </w:pPr>
            <w:r>
              <w:rPr>
                <w:rFonts w:ascii="Arial" w:cs="Arial" w:eastAsia="Arial" w:hAnsi="Arial"/>
                <w:sz w:val="18"/>
                <w:szCs w:val="18"/>
                <w:color w:val="auto"/>
                <w:w w:val="79"/>
              </w:rPr>
              <w:t>$</w:t>
            </w:r>
          </w:p>
        </w:tc>
        <w:tc>
          <w:tcPr>
            <w:tcW w:w="1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22,115</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Borders>
              <w:top w:val="single" w:sz="8" w:color="auto"/>
            </w:tcBorders>
          </w:tcPr>
          <w:p>
            <w:pPr>
              <w:jc w:val="right"/>
              <w:ind w:right="43"/>
              <w:spacing w:after="0"/>
              <w:rPr>
                <w:sz w:val="20"/>
                <w:szCs w:val="20"/>
                <w:color w:val="auto"/>
              </w:rPr>
            </w:pPr>
            <w:r>
              <w:rPr>
                <w:rFonts w:ascii="Arial" w:cs="Arial" w:eastAsia="Arial" w:hAnsi="Arial"/>
                <w:sz w:val="15"/>
                <w:szCs w:val="15"/>
                <w:color w:val="auto"/>
                <w:w w:val="71"/>
              </w:rPr>
              <w:t>$</w:t>
            </w:r>
          </w:p>
        </w:tc>
        <w:tc>
          <w:tcPr>
            <w:tcW w:w="1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25,663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4413250</wp:posOffset>
            </wp:positionH>
            <wp:positionV relativeFrom="paragraph">
              <wp:posOffset>150495</wp:posOffset>
            </wp:positionV>
            <wp:extent cx="2761615"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761615" cy="26035"/>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Equity in earnings (losses) of unconsolidated entities was as follows for the three months ended March 31:</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940" w:type="dxa"/>
            <w:vAlign w:val="bottom"/>
          </w:tcPr>
          <w:p>
            <w:pPr>
              <w:spacing w:after="0"/>
              <w:rPr>
                <w:sz w:val="19"/>
                <w:szCs w:val="19"/>
                <w:color w:val="auto"/>
              </w:rPr>
            </w:pPr>
          </w:p>
        </w:tc>
        <w:tc>
          <w:tcPr>
            <w:tcW w:w="1440" w:type="dxa"/>
            <w:vAlign w:val="bottom"/>
          </w:tcPr>
          <w:p>
            <w:pPr>
              <w:jc w:val="right"/>
              <w:ind w:right="172"/>
              <w:spacing w:after="0"/>
              <w:rPr>
                <w:sz w:val="20"/>
                <w:szCs w:val="20"/>
                <w:color w:val="auto"/>
              </w:rPr>
            </w:pPr>
            <w:r>
              <w:rPr>
                <w:rFonts w:ascii="Arial" w:cs="Arial" w:eastAsia="Arial" w:hAnsi="Arial"/>
                <w:sz w:val="18"/>
                <w:szCs w:val="18"/>
                <w:color w:val="auto"/>
              </w:rPr>
              <w:t>2009</w:t>
            </w: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40" w:type="dxa"/>
            <w:vAlign w:val="bottom"/>
          </w:tcPr>
          <w:p>
            <w:pPr>
              <w:jc w:val="right"/>
              <w:ind w:right="732"/>
              <w:spacing w:after="0"/>
              <w:rPr>
                <w:sz w:val="20"/>
                <w:szCs w:val="20"/>
                <w:color w:val="auto"/>
              </w:rPr>
            </w:pPr>
            <w:r>
              <w:rPr>
                <w:rFonts w:ascii="Arial" w:cs="Arial" w:eastAsia="Arial" w:hAnsi="Arial"/>
                <w:sz w:val="18"/>
                <w:szCs w:val="18"/>
                <w:color w:val="auto"/>
              </w:rPr>
              <w:t>2008</w:t>
            </w:r>
          </w:p>
        </w:tc>
        <w:tc>
          <w:tcPr>
            <w:tcW w:w="120" w:type="dxa"/>
            <w:vAlign w:val="bottom"/>
          </w:tcPr>
          <w:p>
            <w:pPr>
              <w:spacing w:after="0"/>
              <w:rPr>
                <w:sz w:val="19"/>
                <w:szCs w:val="19"/>
                <w:color w:val="auto"/>
              </w:rPr>
            </w:pPr>
          </w:p>
        </w:tc>
      </w:tr>
      <w:tr>
        <w:trPr>
          <w:trHeight w:val="245"/>
        </w:trPr>
        <w:tc>
          <w:tcPr>
            <w:tcW w:w="694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580" w:type="dxa"/>
            <w:vAlign w:val="bottom"/>
            <w:gridSpan w:val="2"/>
          </w:tcPr>
          <w:p>
            <w:pPr>
              <w:spacing w:after="0"/>
              <w:rPr>
                <w:sz w:val="21"/>
                <w:szCs w:val="21"/>
                <w:color w:val="auto"/>
              </w:rPr>
            </w:pPr>
          </w:p>
        </w:tc>
        <w:tc>
          <w:tcPr>
            <w:tcW w:w="3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10"/>
        </w:trPr>
        <w:tc>
          <w:tcPr>
            <w:tcW w:w="6940" w:type="dxa"/>
            <w:vAlign w:val="bottom"/>
            <w:shd w:val="clear" w:color="auto" w:fill="EAF9E8"/>
          </w:tcPr>
          <w:p>
            <w:pPr>
              <w:ind w:left="320"/>
              <w:spacing w:after="0"/>
              <w:rPr>
                <w:sz w:val="20"/>
                <w:szCs w:val="20"/>
                <w:color w:val="auto"/>
              </w:rPr>
            </w:pPr>
            <w:r>
              <w:rPr>
                <w:rFonts w:ascii="Arial" w:cs="Arial" w:eastAsia="Arial" w:hAnsi="Arial"/>
                <w:sz w:val="18"/>
                <w:szCs w:val="18"/>
                <w:color w:val="auto"/>
              </w:rPr>
              <w:t>OSI (1) (3)</w:t>
            </w:r>
          </w:p>
        </w:tc>
        <w:tc>
          <w:tcPr>
            <w:tcW w:w="1440" w:type="dxa"/>
            <w:vAlign w:val="bottom"/>
            <w:tcBorders>
              <w:top w:val="single" w:sz="8" w:color="auto"/>
            </w:tcBorders>
            <w:shd w:val="clear" w:color="auto" w:fill="EAF9E8"/>
          </w:tcPr>
          <w:p>
            <w:pPr>
              <w:jc w:val="right"/>
              <w:ind w:right="1252"/>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520</w:t>
            </w:r>
          </w:p>
        </w:tc>
        <w:tc>
          <w:tcPr>
            <w:tcW w:w="2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460" w:type="dxa"/>
            <w:vAlign w:val="bottom"/>
            <w:tcBorders>
              <w:top w:val="single" w:sz="8" w:color="auto"/>
            </w:tcBorders>
            <w:shd w:val="clear" w:color="auto" w:fill="EAF9E8"/>
          </w:tcPr>
          <w:p>
            <w:pPr>
              <w:jc w:val="right"/>
              <w:ind w:right="303"/>
              <w:spacing w:after="0"/>
              <w:rPr>
                <w:sz w:val="20"/>
                <w:szCs w:val="20"/>
                <w:color w:val="auto"/>
              </w:rPr>
            </w:pPr>
            <w:r>
              <w:rPr>
                <w:rFonts w:ascii="Arial" w:cs="Arial" w:eastAsia="Arial" w:hAnsi="Arial"/>
                <w:sz w:val="15"/>
                <w:szCs w:val="15"/>
                <w:color w:val="auto"/>
                <w:w w:val="71"/>
              </w:rPr>
              <w:t>$</w:t>
            </w:r>
          </w:p>
        </w:tc>
        <w:tc>
          <w:tcPr>
            <w:tcW w:w="154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(332)</w:t>
            </w:r>
          </w:p>
        </w:tc>
        <w:tc>
          <w:tcPr>
            <w:tcW w:w="120" w:type="dxa"/>
            <w:vAlign w:val="bottom"/>
            <w:shd w:val="clear" w:color="auto" w:fill="EAF9E8"/>
          </w:tcPr>
          <w:p>
            <w:pPr>
              <w:spacing w:after="0"/>
              <w:rPr>
                <w:sz w:val="18"/>
                <w:szCs w:val="18"/>
                <w:color w:val="auto"/>
              </w:rPr>
            </w:pPr>
          </w:p>
        </w:tc>
      </w:tr>
      <w:tr>
        <w:trPr>
          <w:trHeight w:val="216"/>
        </w:trPr>
        <w:tc>
          <w:tcPr>
            <w:tcW w:w="6940" w:type="dxa"/>
            <w:vAlign w:val="bottom"/>
          </w:tcPr>
          <w:p>
            <w:pPr>
              <w:ind w:left="320"/>
              <w:spacing w:after="0"/>
              <w:rPr>
                <w:sz w:val="20"/>
                <w:szCs w:val="20"/>
                <w:color w:val="auto"/>
              </w:rPr>
            </w:pPr>
            <w:r>
              <w:rPr>
                <w:rFonts w:ascii="Arial" w:cs="Arial" w:eastAsia="Arial" w:hAnsi="Arial"/>
                <w:sz w:val="18"/>
                <w:szCs w:val="18"/>
                <w:color w:val="auto"/>
              </w:rPr>
              <w:t>ONL and affiliates (2) (3)</w:t>
            </w:r>
          </w:p>
        </w:tc>
        <w:tc>
          <w:tcPr>
            <w:tcW w:w="1440" w:type="dxa"/>
            <w:vAlign w:val="bottom"/>
          </w:tcPr>
          <w:p>
            <w:pPr>
              <w:spacing w:after="0"/>
              <w:rPr>
                <w:sz w:val="18"/>
                <w:szCs w:val="18"/>
                <w:color w:val="auto"/>
              </w:rPr>
            </w:pPr>
          </w:p>
        </w:tc>
        <w:tc>
          <w:tcPr>
            <w:tcW w:w="920" w:type="dxa"/>
            <w:vAlign w:val="bottom"/>
            <w:gridSpan w:val="3"/>
          </w:tcPr>
          <w:p>
            <w:pPr>
              <w:jc w:val="right"/>
              <w:ind w:right="300"/>
              <w:spacing w:after="0"/>
              <w:rPr>
                <w:sz w:val="20"/>
                <w:szCs w:val="20"/>
                <w:color w:val="auto"/>
              </w:rPr>
            </w:pPr>
            <w:r>
              <w:rPr>
                <w:rFonts w:ascii="Arial" w:cs="Arial" w:eastAsia="Arial" w:hAnsi="Arial"/>
                <w:sz w:val="18"/>
                <w:szCs w:val="18"/>
                <w:color w:val="auto"/>
              </w:rPr>
              <w:t>(493)</w:t>
            </w:r>
          </w:p>
        </w:tc>
        <w:tc>
          <w:tcPr>
            <w:tcW w:w="460" w:type="dxa"/>
            <w:vAlign w:val="bottom"/>
          </w:tcPr>
          <w:p>
            <w:pPr>
              <w:spacing w:after="0"/>
              <w:rPr>
                <w:sz w:val="18"/>
                <w:szCs w:val="18"/>
                <w:color w:val="auto"/>
              </w:rPr>
            </w:pPr>
          </w:p>
        </w:tc>
        <w:tc>
          <w:tcPr>
            <w:tcW w:w="1660" w:type="dxa"/>
            <w:vAlign w:val="bottom"/>
            <w:gridSpan w:val="2"/>
          </w:tcPr>
          <w:p>
            <w:pPr>
              <w:jc w:val="right"/>
              <w:ind w:right="60"/>
              <w:spacing w:after="0"/>
              <w:rPr>
                <w:sz w:val="20"/>
                <w:szCs w:val="20"/>
                <w:color w:val="auto"/>
              </w:rPr>
            </w:pPr>
            <w:r>
              <w:rPr>
                <w:rFonts w:ascii="Arial" w:cs="Arial" w:eastAsia="Arial" w:hAnsi="Arial"/>
                <w:sz w:val="18"/>
                <w:szCs w:val="18"/>
                <w:color w:val="auto"/>
              </w:rPr>
              <w:t>(599)</w:t>
            </w:r>
          </w:p>
        </w:tc>
      </w:tr>
      <w:tr>
        <w:trPr>
          <w:trHeight w:val="216"/>
        </w:trPr>
        <w:tc>
          <w:tcPr>
            <w:tcW w:w="6940" w:type="dxa"/>
            <w:vAlign w:val="bottom"/>
            <w:shd w:val="clear" w:color="auto" w:fill="EAF9E8"/>
          </w:tcPr>
          <w:p>
            <w:pPr>
              <w:ind w:left="320"/>
              <w:spacing w:after="0"/>
              <w:rPr>
                <w:sz w:val="20"/>
                <w:szCs w:val="20"/>
                <w:color w:val="auto"/>
              </w:rPr>
            </w:pPr>
            <w:r>
              <w:rPr>
                <w:rFonts w:ascii="Arial" w:cs="Arial" w:eastAsia="Arial" w:hAnsi="Arial"/>
                <w:sz w:val="18"/>
                <w:szCs w:val="18"/>
                <w:color w:val="auto"/>
              </w:rPr>
              <w:t>BMS Holdings (4)</w:t>
            </w:r>
          </w:p>
        </w:tc>
        <w:tc>
          <w:tcPr>
            <w:tcW w:w="1440" w:type="dxa"/>
            <w:vAlign w:val="bottom"/>
            <w:shd w:val="clear" w:color="auto" w:fill="EAF9E8"/>
          </w:tcPr>
          <w:p>
            <w:pPr>
              <w:spacing w:after="0"/>
              <w:rPr>
                <w:sz w:val="18"/>
                <w:szCs w:val="18"/>
                <w:color w:val="auto"/>
              </w:rPr>
            </w:pPr>
          </w:p>
        </w:tc>
        <w:tc>
          <w:tcPr>
            <w:tcW w:w="920" w:type="dxa"/>
            <w:vAlign w:val="bottom"/>
            <w:gridSpan w:val="3"/>
            <w:shd w:val="clear" w:color="auto" w:fill="EAF9E8"/>
          </w:tcPr>
          <w:p>
            <w:pPr>
              <w:jc w:val="right"/>
              <w:ind w:right="360"/>
              <w:spacing w:after="0"/>
              <w:rPr>
                <w:sz w:val="20"/>
                <w:szCs w:val="20"/>
                <w:color w:val="auto"/>
              </w:rPr>
            </w:pPr>
            <w:r>
              <w:rPr>
                <w:rFonts w:ascii="Arial" w:cs="Arial" w:eastAsia="Arial" w:hAnsi="Arial"/>
                <w:sz w:val="18"/>
                <w:szCs w:val="18"/>
                <w:color w:val="auto"/>
              </w:rPr>
              <w:t>—</w:t>
            </w:r>
          </w:p>
        </w:tc>
        <w:tc>
          <w:tcPr>
            <w:tcW w:w="460" w:type="dxa"/>
            <w:vAlign w:val="bottom"/>
            <w:shd w:val="clear" w:color="auto" w:fill="EAF9E8"/>
          </w:tcPr>
          <w:p>
            <w:pPr>
              <w:spacing w:after="0"/>
              <w:rPr>
                <w:sz w:val="18"/>
                <w:szCs w:val="18"/>
                <w:color w:val="auto"/>
              </w:rPr>
            </w:pPr>
          </w:p>
        </w:tc>
        <w:tc>
          <w:tcPr>
            <w:tcW w:w="15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7,886</w:t>
            </w:r>
          </w:p>
        </w:tc>
        <w:tc>
          <w:tcPr>
            <w:tcW w:w="120" w:type="dxa"/>
            <w:vAlign w:val="bottom"/>
            <w:shd w:val="clear" w:color="auto" w:fill="EAF9E8"/>
          </w:tcPr>
          <w:p>
            <w:pPr>
              <w:spacing w:after="0"/>
              <w:rPr>
                <w:sz w:val="18"/>
                <w:szCs w:val="18"/>
                <w:color w:val="auto"/>
              </w:rPr>
            </w:pPr>
          </w:p>
        </w:tc>
      </w:tr>
      <w:tr>
        <w:trPr>
          <w:trHeight w:val="243"/>
        </w:trPr>
        <w:tc>
          <w:tcPr>
            <w:tcW w:w="694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580" w:type="dxa"/>
            <w:vAlign w:val="bottom"/>
            <w:gridSpan w:val="2"/>
          </w:tcPr>
          <w:p>
            <w:pPr>
              <w:spacing w:after="0"/>
              <w:rPr>
                <w:sz w:val="21"/>
                <w:szCs w:val="21"/>
                <w:color w:val="auto"/>
              </w:rPr>
            </w:pPr>
          </w:p>
        </w:tc>
        <w:tc>
          <w:tcPr>
            <w:tcW w:w="3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16"/>
        </w:trPr>
        <w:tc>
          <w:tcPr>
            <w:tcW w:w="6940" w:type="dxa"/>
            <w:vAlign w:val="bottom"/>
          </w:tcPr>
          <w:p>
            <w:pPr>
              <w:spacing w:after="0"/>
              <w:rPr>
                <w:sz w:val="18"/>
                <w:szCs w:val="18"/>
                <w:color w:val="auto"/>
              </w:rPr>
            </w:pPr>
          </w:p>
        </w:tc>
        <w:tc>
          <w:tcPr>
            <w:tcW w:w="1440" w:type="dxa"/>
            <w:vAlign w:val="bottom"/>
            <w:tcBorders>
              <w:top w:val="single" w:sz="8" w:color="auto"/>
            </w:tcBorders>
          </w:tcPr>
          <w:p>
            <w:pPr>
              <w:jc w:val="right"/>
              <w:ind w:right="1252"/>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Borders>
              <w:top w:val="single" w:sz="8" w:color="auto"/>
            </w:tcBorders>
          </w:tcPr>
          <w:p>
            <w:pPr>
              <w:jc w:val="right"/>
              <w:ind w:right="303"/>
              <w:spacing w:after="0"/>
              <w:rPr>
                <w:sz w:val="20"/>
                <w:szCs w:val="20"/>
                <w:color w:val="auto"/>
              </w:rPr>
            </w:pPr>
            <w:r>
              <w:rPr>
                <w:rFonts w:ascii="Arial" w:cs="Arial" w:eastAsia="Arial" w:hAnsi="Arial"/>
                <w:sz w:val="15"/>
                <w:szCs w:val="15"/>
                <w:color w:val="auto"/>
                <w:w w:val="71"/>
              </w:rPr>
              <w:t>$</w:t>
            </w: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6,955</w:t>
            </w:r>
          </w:p>
        </w:tc>
        <w:tc>
          <w:tcPr>
            <w:tcW w:w="120" w:type="dxa"/>
            <w:vAlign w:val="bottom"/>
          </w:tcPr>
          <w:p>
            <w:pPr>
              <w:spacing w:after="0"/>
              <w:rPr>
                <w:sz w:val="18"/>
                <w:szCs w:val="18"/>
                <w:color w:val="auto"/>
              </w:rPr>
            </w:pPr>
          </w:p>
        </w:tc>
      </w:tr>
      <w:tr>
        <w:trPr>
          <w:trHeight w:val="237"/>
        </w:trPr>
        <w:tc>
          <w:tcPr>
            <w:tcW w:w="6940" w:type="dxa"/>
            <w:vAlign w:val="bottom"/>
          </w:tcPr>
          <w:p>
            <w:pPr>
              <w:spacing w:after="0"/>
              <w:rPr>
                <w:sz w:val="20"/>
                <w:szCs w:val="20"/>
                <w:color w:val="auto"/>
              </w:rPr>
            </w:pPr>
          </w:p>
        </w:tc>
        <w:tc>
          <w:tcPr>
            <w:tcW w:w="144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0"/>
        </w:trPr>
        <w:tc>
          <w:tcPr>
            <w:tcW w:w="694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8" w:lineRule="exact"/>
        <w:rPr>
          <w:sz w:val="20"/>
          <w:szCs w:val="20"/>
          <w:color w:val="auto"/>
        </w:rPr>
      </w:pPr>
    </w:p>
    <w:p>
      <w:pPr>
        <w:jc w:val="both"/>
        <w:ind w:left="580" w:hanging="572"/>
        <w:spacing w:after="0" w:line="253" w:lineRule="auto"/>
        <w:tabs>
          <w:tab w:leader="none" w:pos="5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investment in OSI represents a 25% equity interest. OSI invests in the lower tranches and residuals of residential mortgage-backed securities, the related mortgage servicing rights and other similar assets. During the first quarter of 2009, we received distributions from OSI totaling $2,750. We have no remaining commitment to invest in OSI.</w:t>
      </w:r>
    </w:p>
    <w:p>
      <w:pPr>
        <w:jc w:val="both"/>
        <w:ind w:left="580" w:hanging="572"/>
        <w:spacing w:after="0" w:line="250" w:lineRule="auto"/>
        <w:tabs>
          <w:tab w:leader="none" w:pos="5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investment in ONL and OREO represent equity interests of approximately 25%. ONL resolves non-performing loans purchased at a discount. OREO purchases real estate for sale, including real estate that ONL may obtain through foreclosure. During the first quarter of 2009, we received distributions totaling $496 from ONL and OREO. We have a remaining commitment which expires on September 13, 2010, to invest up to an additional $33,902 in ONL and OREO, collectively.</w:t>
      </w:r>
    </w:p>
    <w:p>
      <w:pPr>
        <w:spacing w:after="0" w:line="1" w:lineRule="exact"/>
        <w:rPr>
          <w:rFonts w:ascii="Arial" w:cs="Arial" w:eastAsia="Arial" w:hAnsi="Arial"/>
          <w:sz w:val="18"/>
          <w:szCs w:val="18"/>
          <w:color w:val="auto"/>
        </w:rPr>
      </w:pPr>
    </w:p>
    <w:p>
      <w:pPr>
        <w:jc w:val="both"/>
        <w:ind w:left="580" w:hanging="572"/>
        <w:spacing w:after="0" w:line="250" w:lineRule="auto"/>
        <w:tabs>
          <w:tab w:leader="none" w:pos="5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OLS earns loan servicing and management fees from OSI and from ONL and affiliates. In determining the amount of consolidated equity in earnings to recognize, we add back our share of the loan servicing and management fee expense recognized by OSI, ONL and affiliates. During the first quarter of 2009 and 2008, OLS earned $1,327 and $1,216, respectively, of fees from OSI and from ONL and affiliates. On a consolidated basis, we have recognized approximately 75% of the loan servicing and management fee revenue.</w:t>
      </w:r>
    </w:p>
    <w:p>
      <w:pPr>
        <w:spacing w:after="0" w:line="1" w:lineRule="exact"/>
        <w:rPr>
          <w:rFonts w:ascii="Arial" w:cs="Arial" w:eastAsia="Arial" w:hAnsi="Arial"/>
          <w:sz w:val="18"/>
          <w:szCs w:val="18"/>
          <w:color w:val="auto"/>
        </w:rPr>
      </w:pPr>
    </w:p>
    <w:p>
      <w:pPr>
        <w:jc w:val="both"/>
        <w:ind w:left="580" w:hanging="572"/>
        <w:spacing w:after="0" w:line="253" w:lineRule="auto"/>
        <w:tabs>
          <w:tab w:leader="none" w:pos="5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investment in BMS Holdings represents an equity interest of approximately 45%. During the second quarter of 2008, our share of the losses of BMS Holdings reduced our investment to zero. Since we are not required to advance funds to BMS Holdings to finance operations and we are not a guarantor of any obligations of BMS Holdings, we suspended the application of the equity method of accounting for our investment in BMS Holdings. We will not resume applying the equity method until our share of BMS Holdings’ earnings exceeds our share of their losses that we did not recognize during the period when the equity method was suspended.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080" w:type="dxa"/>
            <w:vAlign w:val="bottom"/>
          </w:tcPr>
          <w:p>
            <w:pPr>
              <w:spacing w:after="0"/>
              <w:rPr>
                <w:sz w:val="20"/>
                <w:szCs w:val="20"/>
                <w:color w:val="auto"/>
              </w:rPr>
            </w:pPr>
            <w:r>
              <w:rPr>
                <w:rFonts w:ascii="Arial" w:cs="Arial" w:eastAsia="Arial" w:hAnsi="Arial"/>
                <w:sz w:val="18"/>
                <w:szCs w:val="18"/>
                <w:b w:val="1"/>
                <w:bCs w:val="1"/>
                <w:color w:val="auto"/>
              </w:rPr>
              <w:t>NOTE 11</w:t>
            </w:r>
          </w:p>
        </w:tc>
        <w:tc>
          <w:tcPr>
            <w:tcW w:w="5860" w:type="dxa"/>
            <w:vAlign w:val="bottom"/>
          </w:tcPr>
          <w:p>
            <w:pPr>
              <w:ind w:left="300"/>
              <w:spacing w:after="0"/>
              <w:rPr>
                <w:sz w:val="20"/>
                <w:szCs w:val="20"/>
                <w:color w:val="auto"/>
              </w:rPr>
            </w:pPr>
            <w:r>
              <w:rPr>
                <w:rFonts w:ascii="Arial" w:cs="Arial" w:eastAsia="Arial" w:hAnsi="Arial"/>
                <w:sz w:val="18"/>
                <w:szCs w:val="18"/>
                <w:b w:val="1"/>
                <w:bCs w:val="1"/>
                <w:color w:val="auto"/>
              </w:rPr>
              <w:t>OTHER ASSETS</w:t>
            </w:r>
          </w:p>
        </w:tc>
        <w:tc>
          <w:tcPr>
            <w:tcW w:w="28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432"/>
        </w:trPr>
        <w:tc>
          <w:tcPr>
            <w:tcW w:w="6940" w:type="dxa"/>
            <w:vAlign w:val="bottom"/>
            <w:gridSpan w:val="2"/>
          </w:tcPr>
          <w:p>
            <w:pPr>
              <w:ind w:left="440"/>
              <w:spacing w:after="0"/>
              <w:rPr>
                <w:sz w:val="20"/>
                <w:szCs w:val="20"/>
                <w:color w:val="auto"/>
              </w:rPr>
            </w:pPr>
            <w:r>
              <w:rPr>
                <w:rFonts w:ascii="Arial" w:cs="Arial" w:eastAsia="Arial" w:hAnsi="Arial"/>
                <w:sz w:val="18"/>
                <w:szCs w:val="18"/>
                <w:color w:val="auto"/>
              </w:rPr>
              <w:t>Other assets consisted of the following at the dates indicated:</w:t>
            </w:r>
          </w:p>
        </w:tc>
        <w:tc>
          <w:tcPr>
            <w:tcW w:w="2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46"/>
        </w:trPr>
        <w:tc>
          <w:tcPr>
            <w:tcW w:w="1080" w:type="dxa"/>
            <w:vAlign w:val="bottom"/>
          </w:tcPr>
          <w:p>
            <w:pPr>
              <w:spacing w:after="0"/>
              <w:rPr>
                <w:sz w:val="24"/>
                <w:szCs w:val="24"/>
                <w:color w:val="auto"/>
              </w:rPr>
            </w:pPr>
          </w:p>
        </w:tc>
        <w:tc>
          <w:tcPr>
            <w:tcW w:w="5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40" w:type="dxa"/>
            <w:vAlign w:val="bottom"/>
            <w:gridSpan w:val="2"/>
          </w:tcPr>
          <w:p>
            <w:pPr>
              <w:jc w:val="right"/>
              <w:ind w:right="460"/>
              <w:spacing w:after="0"/>
              <w:rPr>
                <w:sz w:val="20"/>
                <w:szCs w:val="20"/>
                <w:color w:val="auto"/>
              </w:rPr>
            </w:pPr>
            <w:r>
              <w:rPr>
                <w:rFonts w:ascii="Arial" w:cs="Arial" w:eastAsia="Arial" w:hAnsi="Arial"/>
                <w:sz w:val="18"/>
                <w:szCs w:val="18"/>
                <w:color w:val="auto"/>
              </w:rPr>
              <w:t>March 31, 2009</w:t>
            </w: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0" w:type="dxa"/>
            <w:vAlign w:val="bottom"/>
          </w:tcPr>
          <w:p>
            <w:pPr>
              <w:jc w:val="right"/>
              <w:ind w:right="232"/>
              <w:spacing w:after="0"/>
              <w:rPr>
                <w:sz w:val="20"/>
                <w:szCs w:val="20"/>
                <w:color w:val="auto"/>
              </w:rPr>
            </w:pPr>
            <w:r>
              <w:rPr>
                <w:rFonts w:ascii="Arial" w:cs="Arial" w:eastAsia="Arial" w:hAnsi="Arial"/>
                <w:sz w:val="18"/>
                <w:szCs w:val="18"/>
                <w:color w:val="auto"/>
                <w:w w:val="92"/>
              </w:rPr>
              <w:t>December 31, 2008</w:t>
            </w:r>
          </w:p>
        </w:tc>
        <w:tc>
          <w:tcPr>
            <w:tcW w:w="120" w:type="dxa"/>
            <w:vAlign w:val="bottom"/>
          </w:tcPr>
          <w:p>
            <w:pPr>
              <w:spacing w:after="0"/>
              <w:rPr>
                <w:sz w:val="24"/>
                <w:szCs w:val="24"/>
                <w:color w:val="auto"/>
              </w:rPr>
            </w:pPr>
          </w:p>
        </w:tc>
      </w:tr>
      <w:tr>
        <w:trPr>
          <w:trHeight w:val="245"/>
        </w:trPr>
        <w:tc>
          <w:tcPr>
            <w:tcW w:w="6940" w:type="dxa"/>
            <w:vAlign w:val="bottom"/>
            <w:gridSpan w:val="2"/>
          </w:tcPr>
          <w:p>
            <w:pPr>
              <w:spacing w:after="0"/>
              <w:rPr>
                <w:sz w:val="21"/>
                <w:szCs w:val="21"/>
                <w:color w:val="auto"/>
              </w:rPr>
            </w:pPr>
          </w:p>
        </w:tc>
        <w:tc>
          <w:tcPr>
            <w:tcW w:w="280" w:type="dxa"/>
            <w:vAlign w:val="bottom"/>
          </w:tcPr>
          <w:p>
            <w:pPr>
              <w:spacing w:after="0"/>
              <w:rPr>
                <w:sz w:val="21"/>
                <w:szCs w:val="21"/>
                <w:color w:val="auto"/>
              </w:rPr>
            </w:pPr>
          </w:p>
        </w:tc>
        <w:tc>
          <w:tcPr>
            <w:tcW w:w="1740" w:type="dxa"/>
            <w:vAlign w:val="bottom"/>
            <w:gridSpan w:val="2"/>
          </w:tcPr>
          <w:p>
            <w:pPr>
              <w:spacing w:after="0"/>
              <w:rPr>
                <w:sz w:val="21"/>
                <w:szCs w:val="21"/>
                <w:color w:val="auto"/>
              </w:rPr>
            </w:pP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10"/>
        </w:trPr>
        <w:tc>
          <w:tcPr>
            <w:tcW w:w="694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Debt service accounts (1)</w:t>
            </w:r>
          </w:p>
        </w:tc>
        <w:tc>
          <w:tcPr>
            <w:tcW w:w="280" w:type="dxa"/>
            <w:vAlign w:val="bottom"/>
            <w:tcBorders>
              <w:top w:val="single" w:sz="8" w:color="auto"/>
            </w:tcBorders>
            <w:shd w:val="clear" w:color="auto" w:fill="EAF9E8"/>
          </w:tcPr>
          <w:p>
            <w:pPr>
              <w:jc w:val="right"/>
              <w:ind w:right="92"/>
              <w:spacing w:after="0"/>
              <w:rPr>
                <w:sz w:val="20"/>
                <w:szCs w:val="20"/>
                <w:color w:val="auto"/>
              </w:rPr>
            </w:pPr>
            <w:r>
              <w:rPr>
                <w:rFonts w:ascii="Arial" w:cs="Arial" w:eastAsia="Arial" w:hAnsi="Arial"/>
                <w:sz w:val="18"/>
                <w:szCs w:val="18"/>
                <w:color w:val="auto"/>
                <w:w w:val="79"/>
              </w:rPr>
              <w:t>$</w:t>
            </w:r>
          </w:p>
        </w:tc>
        <w:tc>
          <w:tcPr>
            <w:tcW w:w="172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58,440</w:t>
            </w:r>
          </w:p>
        </w:tc>
        <w:tc>
          <w:tcPr>
            <w:tcW w:w="2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200" w:type="dxa"/>
            <w:vAlign w:val="bottom"/>
            <w:tcBorders>
              <w:top w:val="single" w:sz="8" w:color="auto"/>
            </w:tcBorders>
            <w:shd w:val="clear" w:color="auto" w:fill="EAF9E8"/>
          </w:tcPr>
          <w:p>
            <w:pPr>
              <w:jc w:val="right"/>
              <w:ind w:right="43"/>
              <w:spacing w:after="0"/>
              <w:rPr>
                <w:sz w:val="20"/>
                <w:szCs w:val="20"/>
                <w:color w:val="auto"/>
              </w:rPr>
            </w:pPr>
            <w:r>
              <w:rPr>
                <w:rFonts w:ascii="Arial" w:cs="Arial" w:eastAsia="Arial" w:hAnsi="Arial"/>
                <w:sz w:val="15"/>
                <w:szCs w:val="15"/>
                <w:color w:val="auto"/>
                <w:w w:val="71"/>
              </w:rPr>
              <w:t>$</w:t>
            </w:r>
          </w:p>
        </w:tc>
        <w:tc>
          <w:tcPr>
            <w:tcW w:w="180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58,468</w:t>
            </w:r>
          </w:p>
        </w:tc>
        <w:tc>
          <w:tcPr>
            <w:tcW w:w="120" w:type="dxa"/>
            <w:vAlign w:val="bottom"/>
            <w:shd w:val="clear" w:color="auto" w:fill="EAF9E8"/>
          </w:tcPr>
          <w:p>
            <w:pPr>
              <w:spacing w:after="0"/>
              <w:rPr>
                <w:sz w:val="18"/>
                <w:szCs w:val="18"/>
                <w:color w:val="auto"/>
              </w:rPr>
            </w:pPr>
          </w:p>
        </w:tc>
      </w:tr>
      <w:tr>
        <w:trPr>
          <w:trHeight w:val="216"/>
        </w:trPr>
        <w:tc>
          <w:tcPr>
            <w:tcW w:w="6940" w:type="dxa"/>
            <w:vAlign w:val="bottom"/>
            <w:gridSpan w:val="2"/>
          </w:tcPr>
          <w:p>
            <w:pPr>
              <w:spacing w:after="0"/>
              <w:rPr>
                <w:sz w:val="20"/>
                <w:szCs w:val="20"/>
                <w:color w:val="auto"/>
              </w:rPr>
            </w:pPr>
            <w:r>
              <w:rPr>
                <w:rFonts w:ascii="Arial" w:cs="Arial" w:eastAsia="Arial" w:hAnsi="Arial"/>
                <w:sz w:val="18"/>
                <w:szCs w:val="18"/>
                <w:color w:val="auto"/>
              </w:rPr>
              <w:t>Deferred debt related costs, net</w:t>
            </w:r>
          </w:p>
        </w:tc>
        <w:tc>
          <w:tcPr>
            <w:tcW w:w="280" w:type="dxa"/>
            <w:vAlign w:val="bottom"/>
          </w:tcPr>
          <w:p>
            <w:pPr>
              <w:spacing w:after="0"/>
              <w:rPr>
                <w:sz w:val="18"/>
                <w:szCs w:val="18"/>
                <w:color w:val="auto"/>
              </w:rPr>
            </w:pPr>
          </w:p>
        </w:tc>
        <w:tc>
          <w:tcPr>
            <w:tcW w:w="1740" w:type="dxa"/>
            <w:vAlign w:val="bottom"/>
            <w:gridSpan w:val="2"/>
          </w:tcPr>
          <w:p>
            <w:pPr>
              <w:jc w:val="right"/>
              <w:ind w:right="20"/>
              <w:spacing w:after="0"/>
              <w:rPr>
                <w:sz w:val="20"/>
                <w:szCs w:val="20"/>
                <w:color w:val="auto"/>
              </w:rPr>
            </w:pPr>
            <w:r>
              <w:rPr>
                <w:rFonts w:ascii="Arial" w:cs="Arial" w:eastAsia="Arial" w:hAnsi="Arial"/>
                <w:sz w:val="18"/>
                <w:szCs w:val="18"/>
                <w:color w:val="auto"/>
              </w:rPr>
              <w:t>17,232</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14,758</w:t>
            </w:r>
          </w:p>
        </w:tc>
        <w:tc>
          <w:tcPr>
            <w:tcW w:w="120" w:type="dxa"/>
            <w:vAlign w:val="bottom"/>
          </w:tcPr>
          <w:p>
            <w:pPr>
              <w:spacing w:after="0"/>
              <w:rPr>
                <w:sz w:val="18"/>
                <w:szCs w:val="18"/>
                <w:color w:val="auto"/>
              </w:rPr>
            </w:pPr>
          </w:p>
        </w:tc>
      </w:tr>
      <w:tr>
        <w:trPr>
          <w:trHeight w:val="216"/>
        </w:trPr>
        <w:tc>
          <w:tcPr>
            <w:tcW w:w="1080" w:type="dxa"/>
            <w:vAlign w:val="bottom"/>
            <w:shd w:val="clear" w:color="auto" w:fill="EAF9E8"/>
          </w:tcPr>
          <w:p>
            <w:pPr>
              <w:spacing w:after="0"/>
              <w:rPr>
                <w:sz w:val="20"/>
                <w:szCs w:val="20"/>
                <w:color w:val="auto"/>
              </w:rPr>
            </w:pPr>
            <w:r>
              <w:rPr>
                <w:rFonts w:ascii="Arial" w:cs="Arial" w:eastAsia="Arial" w:hAnsi="Arial"/>
                <w:sz w:val="18"/>
                <w:szCs w:val="18"/>
                <w:color w:val="auto"/>
              </w:rPr>
              <w:t>Real estate</w:t>
            </w:r>
          </w:p>
        </w:tc>
        <w:tc>
          <w:tcPr>
            <w:tcW w:w="586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74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6,756</w:t>
            </w:r>
          </w:p>
        </w:tc>
        <w:tc>
          <w:tcPr>
            <w:tcW w:w="34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8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7,771</w:t>
            </w:r>
          </w:p>
        </w:tc>
        <w:tc>
          <w:tcPr>
            <w:tcW w:w="120" w:type="dxa"/>
            <w:vAlign w:val="bottom"/>
            <w:shd w:val="clear" w:color="auto" w:fill="EAF9E8"/>
          </w:tcPr>
          <w:p>
            <w:pPr>
              <w:spacing w:after="0"/>
              <w:rPr>
                <w:sz w:val="18"/>
                <w:szCs w:val="18"/>
                <w:color w:val="auto"/>
              </w:rPr>
            </w:pPr>
          </w:p>
        </w:tc>
      </w:tr>
      <w:tr>
        <w:trPr>
          <w:trHeight w:val="216"/>
        </w:trPr>
        <w:tc>
          <w:tcPr>
            <w:tcW w:w="6940" w:type="dxa"/>
            <w:vAlign w:val="bottom"/>
            <w:gridSpan w:val="2"/>
          </w:tcPr>
          <w:p>
            <w:pPr>
              <w:spacing w:after="0"/>
              <w:rPr>
                <w:sz w:val="20"/>
                <w:szCs w:val="20"/>
                <w:color w:val="auto"/>
              </w:rPr>
            </w:pPr>
            <w:r>
              <w:rPr>
                <w:rFonts w:ascii="Arial" w:cs="Arial" w:eastAsia="Arial" w:hAnsi="Arial"/>
                <w:sz w:val="18"/>
                <w:szCs w:val="18"/>
                <w:color w:val="auto"/>
              </w:rPr>
              <w:t>Interest earning collateral deposits</w:t>
            </w:r>
          </w:p>
        </w:tc>
        <w:tc>
          <w:tcPr>
            <w:tcW w:w="280" w:type="dxa"/>
            <w:vAlign w:val="bottom"/>
          </w:tcPr>
          <w:p>
            <w:pPr>
              <w:spacing w:after="0"/>
              <w:rPr>
                <w:sz w:val="18"/>
                <w:szCs w:val="18"/>
                <w:color w:val="auto"/>
              </w:rPr>
            </w:pPr>
          </w:p>
        </w:tc>
        <w:tc>
          <w:tcPr>
            <w:tcW w:w="1740" w:type="dxa"/>
            <w:vAlign w:val="bottom"/>
            <w:gridSpan w:val="2"/>
          </w:tcPr>
          <w:p>
            <w:pPr>
              <w:jc w:val="right"/>
              <w:ind w:right="20"/>
              <w:spacing w:after="0"/>
              <w:rPr>
                <w:sz w:val="20"/>
                <w:szCs w:val="20"/>
                <w:color w:val="auto"/>
              </w:rPr>
            </w:pPr>
            <w:r>
              <w:rPr>
                <w:rFonts w:ascii="Arial" w:cs="Arial" w:eastAsia="Arial" w:hAnsi="Arial"/>
                <w:sz w:val="18"/>
                <w:szCs w:val="18"/>
                <w:color w:val="auto"/>
              </w:rPr>
              <w:t>5,000</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9,684</w:t>
            </w:r>
          </w:p>
        </w:tc>
        <w:tc>
          <w:tcPr>
            <w:tcW w:w="120" w:type="dxa"/>
            <w:vAlign w:val="bottom"/>
          </w:tcPr>
          <w:p>
            <w:pPr>
              <w:spacing w:after="0"/>
              <w:rPr>
                <w:sz w:val="18"/>
                <w:szCs w:val="18"/>
                <w:color w:val="auto"/>
              </w:rPr>
            </w:pPr>
          </w:p>
        </w:tc>
      </w:tr>
      <w:tr>
        <w:trPr>
          <w:trHeight w:val="216"/>
        </w:trPr>
        <w:tc>
          <w:tcPr>
            <w:tcW w:w="694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Prepaid expenses and other</w:t>
            </w:r>
          </w:p>
        </w:tc>
        <w:tc>
          <w:tcPr>
            <w:tcW w:w="280" w:type="dxa"/>
            <w:vAlign w:val="bottom"/>
            <w:shd w:val="clear" w:color="auto" w:fill="EAF9E8"/>
          </w:tcPr>
          <w:p>
            <w:pPr>
              <w:spacing w:after="0"/>
              <w:rPr>
                <w:sz w:val="18"/>
                <w:szCs w:val="18"/>
                <w:color w:val="auto"/>
              </w:rPr>
            </w:pPr>
          </w:p>
        </w:tc>
        <w:tc>
          <w:tcPr>
            <w:tcW w:w="174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5,219</w:t>
            </w:r>
          </w:p>
        </w:tc>
        <w:tc>
          <w:tcPr>
            <w:tcW w:w="34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8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6,907</w:t>
            </w:r>
          </w:p>
        </w:tc>
        <w:tc>
          <w:tcPr>
            <w:tcW w:w="120" w:type="dxa"/>
            <w:vAlign w:val="bottom"/>
            <w:shd w:val="clear" w:color="auto" w:fill="EAF9E8"/>
          </w:tcPr>
          <w:p>
            <w:pPr>
              <w:spacing w:after="0"/>
              <w:rPr>
                <w:sz w:val="18"/>
                <w:szCs w:val="18"/>
                <w:color w:val="auto"/>
              </w:rPr>
            </w:pPr>
          </w:p>
        </w:tc>
      </w:tr>
      <w:tr>
        <w:trPr>
          <w:trHeight w:val="243"/>
        </w:trPr>
        <w:tc>
          <w:tcPr>
            <w:tcW w:w="1080" w:type="dxa"/>
            <w:vAlign w:val="bottom"/>
          </w:tcPr>
          <w:p>
            <w:pPr>
              <w:spacing w:after="0"/>
              <w:rPr>
                <w:sz w:val="21"/>
                <w:szCs w:val="21"/>
                <w:color w:val="auto"/>
              </w:rPr>
            </w:pPr>
          </w:p>
        </w:tc>
        <w:tc>
          <w:tcPr>
            <w:tcW w:w="58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740" w:type="dxa"/>
            <w:vAlign w:val="bottom"/>
            <w:gridSpan w:val="2"/>
          </w:tcPr>
          <w:p>
            <w:pPr>
              <w:spacing w:after="0"/>
              <w:rPr>
                <w:sz w:val="21"/>
                <w:szCs w:val="21"/>
                <w:color w:val="auto"/>
              </w:rPr>
            </w:pPr>
          </w:p>
        </w:tc>
        <w:tc>
          <w:tcPr>
            <w:tcW w:w="540" w:type="dxa"/>
            <w:vAlign w:val="bottom"/>
            <w:gridSpan w:val="2"/>
          </w:tcPr>
          <w:p>
            <w:pPr>
              <w:spacing w:after="0"/>
              <w:rPr>
                <w:sz w:val="21"/>
                <w:szCs w:val="21"/>
                <w:color w:val="auto"/>
              </w:rPr>
            </w:pPr>
          </w:p>
        </w:tc>
        <w:tc>
          <w:tcPr>
            <w:tcW w:w="180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16"/>
        </w:trPr>
        <w:tc>
          <w:tcPr>
            <w:tcW w:w="1080" w:type="dxa"/>
            <w:vAlign w:val="bottom"/>
          </w:tcPr>
          <w:p>
            <w:pPr>
              <w:spacing w:after="0"/>
              <w:rPr>
                <w:sz w:val="18"/>
                <w:szCs w:val="18"/>
                <w:color w:val="auto"/>
              </w:rPr>
            </w:pPr>
          </w:p>
        </w:tc>
        <w:tc>
          <w:tcPr>
            <w:tcW w:w="5860" w:type="dxa"/>
            <w:vAlign w:val="bottom"/>
          </w:tcPr>
          <w:p>
            <w:pPr>
              <w:spacing w:after="0"/>
              <w:rPr>
                <w:sz w:val="18"/>
                <w:szCs w:val="18"/>
                <w:color w:val="auto"/>
              </w:rPr>
            </w:pPr>
          </w:p>
        </w:tc>
        <w:tc>
          <w:tcPr>
            <w:tcW w:w="280" w:type="dxa"/>
            <w:vAlign w:val="bottom"/>
            <w:tcBorders>
              <w:top w:val="single" w:sz="8" w:color="auto"/>
            </w:tcBorders>
          </w:tcPr>
          <w:p>
            <w:pPr>
              <w:jc w:val="right"/>
              <w:ind w:right="92"/>
              <w:spacing w:after="0"/>
              <w:rPr>
                <w:sz w:val="20"/>
                <w:szCs w:val="20"/>
                <w:color w:val="auto"/>
              </w:rPr>
            </w:pPr>
            <w:r>
              <w:rPr>
                <w:rFonts w:ascii="Arial" w:cs="Arial" w:eastAsia="Arial" w:hAnsi="Arial"/>
                <w:sz w:val="18"/>
                <w:szCs w:val="18"/>
                <w:color w:val="auto"/>
                <w:w w:val="79"/>
              </w:rPr>
              <w:t>$</w:t>
            </w:r>
          </w:p>
        </w:tc>
        <w:tc>
          <w:tcPr>
            <w:tcW w:w="1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92,647</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Borders>
              <w:top w:val="single" w:sz="8" w:color="auto"/>
            </w:tcBorders>
          </w:tcPr>
          <w:p>
            <w:pPr>
              <w:jc w:val="right"/>
              <w:ind w:right="43"/>
              <w:spacing w:after="0"/>
              <w:rPr>
                <w:sz w:val="20"/>
                <w:szCs w:val="20"/>
                <w:color w:val="auto"/>
              </w:rPr>
            </w:pPr>
            <w:r>
              <w:rPr>
                <w:rFonts w:ascii="Arial" w:cs="Arial" w:eastAsia="Arial" w:hAnsi="Arial"/>
                <w:sz w:val="15"/>
                <w:szCs w:val="15"/>
                <w:color w:val="auto"/>
                <w:w w:val="71"/>
              </w:rPr>
              <w:t>$</w:t>
            </w:r>
          </w:p>
        </w:tc>
        <w:tc>
          <w:tcPr>
            <w:tcW w:w="1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97,588</w:t>
            </w:r>
          </w:p>
        </w:tc>
        <w:tc>
          <w:tcPr>
            <w:tcW w:w="120" w:type="dxa"/>
            <w:vAlign w:val="bottom"/>
          </w:tcPr>
          <w:p>
            <w:pPr>
              <w:spacing w:after="0"/>
              <w:rPr>
                <w:sz w:val="18"/>
                <w:szCs w:val="18"/>
                <w:color w:val="auto"/>
              </w:rPr>
            </w:pPr>
          </w:p>
        </w:tc>
      </w:tr>
      <w:tr>
        <w:trPr>
          <w:trHeight w:val="237"/>
        </w:trPr>
        <w:tc>
          <w:tcPr>
            <w:tcW w:w="1080" w:type="dxa"/>
            <w:vAlign w:val="bottom"/>
          </w:tcPr>
          <w:p>
            <w:pPr>
              <w:spacing w:after="0"/>
              <w:rPr>
                <w:sz w:val="20"/>
                <w:szCs w:val="20"/>
                <w:color w:val="auto"/>
              </w:rPr>
            </w:pPr>
          </w:p>
        </w:tc>
        <w:tc>
          <w:tcPr>
            <w:tcW w:w="58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0"/>
        </w:trPr>
        <w:tc>
          <w:tcPr>
            <w:tcW w:w="1080" w:type="dxa"/>
            <w:vAlign w:val="bottom"/>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8" w:lineRule="exact"/>
        <w:rPr>
          <w:sz w:val="20"/>
          <w:szCs w:val="20"/>
          <w:color w:val="auto"/>
        </w:rPr>
      </w:pPr>
    </w:p>
    <w:p>
      <w:pPr>
        <w:jc w:val="both"/>
        <w:ind w:left="580" w:hanging="572"/>
        <w:spacing w:after="0" w:line="298" w:lineRule="auto"/>
        <w:tabs>
          <w:tab w:leader="none" w:pos="5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Under our four advance funding facilities, we are contractually required to remit collections on pledged advances to the trustee within two days of receipt. The collected funds are not applied to reduce the related match funded debt until the payment dates specified in the indenture. The balance also includes amounts that have been set aside from the proceeds of our four match funded advance facilities to provide for possible shortfalls in the funds available to pay certain expenses and interest. These funds are held in interest earning accounts.</w:t>
      </w:r>
    </w:p>
    <w:p>
      <w:pPr>
        <w:sectPr>
          <w:pgSz w:w="11900" w:h="16838" w:orient="portrait"/>
          <w:cols w:equalWidth="0" w:num="1">
            <w:col w:w="11420"/>
          </w:cols>
          <w:pgMar w:left="240" w:top="139" w:right="239" w:bottom="1440" w:gutter="0" w:footer="0" w:header="0"/>
        </w:sectPr>
      </w:pP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67575"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39" w:right="239" w:bottom="1440" w:gutter="0" w:footer="0" w:header="0"/>
          <w:type w:val="continuous"/>
        </w:sectPr>
      </w:pPr>
    </w:p>
    <w:bookmarkStart w:id="20" w:name="page21"/>
    <w:bookmarkEnd w:id="20"/>
    <w:p>
      <w:pPr>
        <w:spacing w:after="0"/>
        <w:tabs>
          <w:tab w:leader="none" w:pos="1360" w:val="left"/>
        </w:tabs>
        <w:rPr>
          <w:sz w:val="20"/>
          <w:szCs w:val="20"/>
          <w:color w:val="auto"/>
        </w:rPr>
      </w:pPr>
      <w:r>
        <w:rPr>
          <w:rFonts w:ascii="Arial" w:cs="Arial" w:eastAsia="Arial" w:hAnsi="Arial"/>
          <w:sz w:val="18"/>
          <w:szCs w:val="18"/>
          <w:b w:val="1"/>
          <w:bCs w:val="1"/>
          <w:color w:val="auto"/>
        </w:rPr>
        <w:t>NOTE 12</w:t>
      </w:r>
      <w:r>
        <w:rPr>
          <w:sz w:val="20"/>
          <w:szCs w:val="20"/>
          <w:color w:val="auto"/>
        </w:rPr>
        <w:tab/>
      </w:r>
      <w:r>
        <w:rPr>
          <w:rFonts w:ascii="Arial" w:cs="Arial" w:eastAsia="Arial" w:hAnsi="Arial"/>
          <w:sz w:val="18"/>
          <w:szCs w:val="18"/>
          <w:b w:val="1"/>
          <w:bCs w:val="1"/>
          <w:color w:val="auto"/>
        </w:rPr>
        <w:t>MATCH FUNDED LIABILITIES</w:t>
      </w:r>
    </w:p>
    <w:p>
      <w:pPr>
        <w:spacing w:after="0" w:line="231" w:lineRule="exact"/>
        <w:rPr>
          <w:sz w:val="20"/>
          <w:szCs w:val="20"/>
          <w:color w:val="auto"/>
        </w:rPr>
      </w:pPr>
    </w:p>
    <w:p>
      <w:pPr>
        <w:ind w:firstLine="448"/>
        <w:spacing w:after="0" w:line="268" w:lineRule="auto"/>
        <w:rPr>
          <w:sz w:val="20"/>
          <w:szCs w:val="20"/>
          <w:color w:val="auto"/>
        </w:rPr>
      </w:pPr>
      <w:r>
        <w:rPr>
          <w:rFonts w:ascii="Arial" w:cs="Arial" w:eastAsia="Arial" w:hAnsi="Arial"/>
          <w:sz w:val="18"/>
          <w:szCs w:val="18"/>
          <w:color w:val="auto"/>
        </w:rPr>
        <w:t>Match funded liabilities, representing obligations secured by related match funded advances and repaid through the cash proceeds arising from those assets, consisted of the following at the dates indicated:</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gridSpan w:val="2"/>
          </w:tcPr>
          <w:p>
            <w:pPr>
              <w:jc w:val="center"/>
              <w:ind w:right="380"/>
              <w:spacing w:after="0"/>
              <w:rPr>
                <w:sz w:val="20"/>
                <w:szCs w:val="20"/>
                <w:color w:val="auto"/>
              </w:rPr>
            </w:pPr>
            <w:r>
              <w:rPr>
                <w:rFonts w:ascii="Arial" w:cs="Arial" w:eastAsia="Arial" w:hAnsi="Arial"/>
                <w:sz w:val="18"/>
                <w:szCs w:val="18"/>
                <w:color w:val="auto"/>
                <w:w w:val="86"/>
              </w:rPr>
              <w:t>Unused</w:t>
            </w:r>
          </w:p>
        </w:tc>
        <w:tc>
          <w:tcPr>
            <w:tcW w:w="180" w:type="dxa"/>
            <w:vAlign w:val="bottom"/>
          </w:tcPr>
          <w:p>
            <w:pPr>
              <w:spacing w:after="0"/>
              <w:rPr>
                <w:sz w:val="19"/>
                <w:szCs w:val="19"/>
                <w:color w:val="auto"/>
              </w:rPr>
            </w:pPr>
          </w:p>
        </w:tc>
        <w:tc>
          <w:tcPr>
            <w:tcW w:w="2880" w:type="dxa"/>
            <w:vAlign w:val="bottom"/>
            <w:gridSpan w:val="4"/>
          </w:tcPr>
          <w:p>
            <w:pPr>
              <w:jc w:val="right"/>
              <w:ind w:right="712"/>
              <w:spacing w:after="0"/>
              <w:rPr>
                <w:sz w:val="20"/>
                <w:szCs w:val="20"/>
                <w:color w:val="auto"/>
              </w:rPr>
            </w:pPr>
            <w:r>
              <w:rPr>
                <w:rFonts w:ascii="Arial" w:cs="Arial" w:eastAsia="Arial" w:hAnsi="Arial"/>
                <w:sz w:val="18"/>
                <w:szCs w:val="18"/>
                <w:color w:val="auto"/>
              </w:rPr>
              <w:t>Balance Outstanding</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14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gridSpan w:val="2"/>
            <w:vMerge w:val="restart"/>
          </w:tcPr>
          <w:p>
            <w:pPr>
              <w:jc w:val="center"/>
              <w:ind w:right="360"/>
              <w:spacing w:after="0"/>
              <w:rPr>
                <w:sz w:val="20"/>
                <w:szCs w:val="20"/>
                <w:color w:val="auto"/>
              </w:rPr>
            </w:pPr>
            <w:r>
              <w:rPr>
                <w:rFonts w:ascii="Arial" w:cs="Arial" w:eastAsia="Arial" w:hAnsi="Arial"/>
                <w:sz w:val="18"/>
                <w:szCs w:val="18"/>
                <w:color w:val="auto"/>
                <w:w w:val="93"/>
              </w:rPr>
              <w:t>Borrowing</w:t>
            </w:r>
          </w:p>
        </w:tc>
        <w:tc>
          <w:tcPr>
            <w:tcW w:w="18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1"/>
        </w:trPr>
        <w:tc>
          <w:tcPr>
            <w:tcW w:w="1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jc w:val="right"/>
              <w:ind w:right="192"/>
              <w:spacing w:after="0" w:line="201" w:lineRule="exact"/>
              <w:rPr>
                <w:sz w:val="20"/>
                <w:szCs w:val="20"/>
                <w:color w:val="auto"/>
              </w:rPr>
            </w:pPr>
            <w:r>
              <w:rPr>
                <w:rFonts w:ascii="Arial" w:cs="Arial" w:eastAsia="Arial" w:hAnsi="Arial"/>
                <w:sz w:val="18"/>
                <w:szCs w:val="18"/>
                <w:color w:val="auto"/>
                <w:w w:val="99"/>
              </w:rPr>
              <w:t>March 31,</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jc w:val="right"/>
              <w:ind w:right="192"/>
              <w:spacing w:after="0" w:line="201" w:lineRule="exact"/>
              <w:rPr>
                <w:sz w:val="20"/>
                <w:szCs w:val="20"/>
                <w:color w:val="auto"/>
              </w:rPr>
            </w:pPr>
            <w:r>
              <w:rPr>
                <w:rFonts w:ascii="Arial" w:cs="Arial" w:eastAsia="Arial" w:hAnsi="Arial"/>
                <w:sz w:val="18"/>
                <w:szCs w:val="18"/>
                <w:color w:val="auto"/>
                <w:w w:val="93"/>
              </w:rPr>
              <w:t>December 31,</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1420" w:type="dxa"/>
            <w:vAlign w:val="bottom"/>
          </w:tcPr>
          <w:p>
            <w:pPr>
              <w:spacing w:after="0"/>
              <w:rPr>
                <w:sz w:val="20"/>
                <w:szCs w:val="20"/>
                <w:color w:val="auto"/>
              </w:rPr>
            </w:pPr>
            <w:r>
              <w:rPr>
                <w:rFonts w:ascii="Arial" w:cs="Arial" w:eastAsia="Arial" w:hAnsi="Arial"/>
                <w:sz w:val="18"/>
                <w:szCs w:val="18"/>
                <w:color w:val="auto"/>
              </w:rPr>
              <w:t>Borrowing Type</w:t>
            </w:r>
          </w:p>
        </w:tc>
        <w:tc>
          <w:tcPr>
            <w:tcW w:w="200" w:type="dxa"/>
            <w:vAlign w:val="bottom"/>
          </w:tcPr>
          <w:p>
            <w:pPr>
              <w:spacing w:after="0"/>
              <w:rPr>
                <w:sz w:val="19"/>
                <w:szCs w:val="19"/>
                <w:color w:val="auto"/>
              </w:rPr>
            </w:pPr>
          </w:p>
        </w:tc>
        <w:tc>
          <w:tcPr>
            <w:tcW w:w="1660" w:type="dxa"/>
            <w:vAlign w:val="bottom"/>
          </w:tcPr>
          <w:p>
            <w:pPr>
              <w:ind w:left="260"/>
              <w:spacing w:after="0"/>
              <w:rPr>
                <w:sz w:val="20"/>
                <w:szCs w:val="20"/>
                <w:color w:val="auto"/>
              </w:rPr>
            </w:pPr>
            <w:r>
              <w:rPr>
                <w:rFonts w:ascii="Arial" w:cs="Arial" w:eastAsia="Arial" w:hAnsi="Arial"/>
                <w:sz w:val="18"/>
                <w:szCs w:val="18"/>
                <w:color w:val="auto"/>
              </w:rPr>
              <w:t>Interest Rate (1)</w:t>
            </w:r>
          </w:p>
        </w:tc>
        <w:tc>
          <w:tcPr>
            <w:tcW w:w="220" w:type="dxa"/>
            <w:vAlign w:val="bottom"/>
          </w:tcPr>
          <w:p>
            <w:pPr>
              <w:spacing w:after="0"/>
              <w:rPr>
                <w:sz w:val="19"/>
                <w:szCs w:val="19"/>
                <w:color w:val="auto"/>
              </w:rPr>
            </w:pPr>
          </w:p>
        </w:tc>
        <w:tc>
          <w:tcPr>
            <w:tcW w:w="1400" w:type="dxa"/>
            <w:vAlign w:val="bottom"/>
          </w:tcPr>
          <w:p>
            <w:pPr>
              <w:ind w:left="380"/>
              <w:spacing w:after="0"/>
              <w:rPr>
                <w:sz w:val="20"/>
                <w:szCs w:val="20"/>
                <w:color w:val="auto"/>
              </w:rPr>
            </w:pPr>
            <w:r>
              <w:rPr>
                <w:rFonts w:ascii="Arial" w:cs="Arial" w:eastAsia="Arial" w:hAnsi="Arial"/>
                <w:sz w:val="18"/>
                <w:szCs w:val="18"/>
                <w:color w:val="auto"/>
              </w:rPr>
              <w:t>Maturity</w:t>
            </w:r>
          </w:p>
        </w:tc>
        <w:tc>
          <w:tcPr>
            <w:tcW w:w="220" w:type="dxa"/>
            <w:vAlign w:val="bottom"/>
          </w:tcPr>
          <w:p>
            <w:pPr>
              <w:spacing w:after="0"/>
              <w:rPr>
                <w:sz w:val="19"/>
                <w:szCs w:val="19"/>
                <w:color w:val="auto"/>
              </w:rPr>
            </w:pPr>
          </w:p>
        </w:tc>
        <w:tc>
          <w:tcPr>
            <w:tcW w:w="1400" w:type="dxa"/>
            <w:vAlign w:val="bottom"/>
          </w:tcPr>
          <w:p>
            <w:pPr>
              <w:ind w:left="40"/>
              <w:spacing w:after="0"/>
              <w:rPr>
                <w:sz w:val="20"/>
                <w:szCs w:val="20"/>
                <w:color w:val="auto"/>
              </w:rPr>
            </w:pPr>
            <w:r>
              <w:rPr>
                <w:rFonts w:ascii="Arial" w:cs="Arial" w:eastAsia="Arial" w:hAnsi="Arial"/>
                <w:sz w:val="18"/>
                <w:szCs w:val="18"/>
                <w:color w:val="auto"/>
                <w:w w:val="93"/>
              </w:rPr>
              <w:t>Amortization Date</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gridSpan w:val="2"/>
          </w:tcPr>
          <w:p>
            <w:pPr>
              <w:jc w:val="center"/>
              <w:ind w:right="360"/>
              <w:spacing w:after="0"/>
              <w:rPr>
                <w:sz w:val="20"/>
                <w:szCs w:val="20"/>
                <w:color w:val="auto"/>
              </w:rPr>
            </w:pPr>
            <w:r>
              <w:rPr>
                <w:rFonts w:ascii="Arial" w:cs="Arial" w:eastAsia="Arial" w:hAnsi="Arial"/>
                <w:sz w:val="18"/>
                <w:szCs w:val="18"/>
                <w:color w:val="auto"/>
                <w:w w:val="90"/>
              </w:rPr>
              <w:t>Capacity (2)</w:t>
            </w:r>
          </w:p>
        </w:tc>
        <w:tc>
          <w:tcPr>
            <w:tcW w:w="180" w:type="dxa"/>
            <w:vAlign w:val="bottom"/>
          </w:tcPr>
          <w:p>
            <w:pPr>
              <w:spacing w:after="0"/>
              <w:rPr>
                <w:sz w:val="19"/>
                <w:szCs w:val="19"/>
                <w:color w:val="auto"/>
              </w:rPr>
            </w:pPr>
          </w:p>
        </w:tc>
        <w:tc>
          <w:tcPr>
            <w:tcW w:w="1100" w:type="dxa"/>
            <w:vAlign w:val="bottom"/>
          </w:tcPr>
          <w:p>
            <w:pPr>
              <w:jc w:val="right"/>
              <w:ind w:right="372"/>
              <w:spacing w:after="0"/>
              <w:rPr>
                <w:sz w:val="20"/>
                <w:szCs w:val="20"/>
                <w:color w:val="auto"/>
              </w:rPr>
            </w:pPr>
            <w:r>
              <w:rPr>
                <w:rFonts w:ascii="Arial" w:cs="Arial" w:eastAsia="Arial" w:hAnsi="Arial"/>
                <w:sz w:val="18"/>
                <w:szCs w:val="18"/>
                <w:color w:val="auto"/>
              </w:rPr>
              <w:t>2009</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ind w:right="512"/>
              <w:spacing w:after="0"/>
              <w:rPr>
                <w:sz w:val="20"/>
                <w:szCs w:val="20"/>
                <w:color w:val="auto"/>
              </w:rPr>
            </w:pPr>
            <w:r>
              <w:rPr>
                <w:rFonts w:ascii="Arial" w:cs="Arial" w:eastAsia="Arial" w:hAnsi="Arial"/>
                <w:sz w:val="18"/>
                <w:szCs w:val="18"/>
                <w:color w:val="auto"/>
              </w:rPr>
              <w:t>2008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1420" w:type="dxa"/>
            <w:vAlign w:val="bottom"/>
            <w:tcBorders>
              <w:bottom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166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40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40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1"/>
        </w:trPr>
        <w:tc>
          <w:tcPr>
            <w:tcW w:w="1420" w:type="dxa"/>
            <w:vAlign w:val="bottom"/>
            <w:shd w:val="clear" w:color="auto" w:fill="EAF9E8"/>
          </w:tcPr>
          <w:p>
            <w:pPr>
              <w:spacing w:after="0" w:line="201" w:lineRule="exact"/>
              <w:rPr>
                <w:sz w:val="20"/>
                <w:szCs w:val="20"/>
                <w:color w:val="auto"/>
              </w:rPr>
            </w:pPr>
            <w:r>
              <w:rPr>
                <w:rFonts w:ascii="Arial" w:cs="Arial" w:eastAsia="Arial" w:hAnsi="Arial"/>
                <w:sz w:val="18"/>
                <w:szCs w:val="18"/>
                <w:color w:val="auto"/>
              </w:rPr>
              <w:t>Variable Funding</w:t>
            </w:r>
          </w:p>
        </w:tc>
        <w:tc>
          <w:tcPr>
            <w:tcW w:w="200" w:type="dxa"/>
            <w:vAlign w:val="bottom"/>
            <w:shd w:val="clear" w:color="auto" w:fill="EAF9E8"/>
          </w:tcPr>
          <w:p>
            <w:pPr>
              <w:spacing w:after="0"/>
              <w:rPr>
                <w:sz w:val="17"/>
                <w:szCs w:val="17"/>
                <w:color w:val="auto"/>
              </w:rPr>
            </w:pPr>
          </w:p>
        </w:tc>
        <w:tc>
          <w:tcPr>
            <w:tcW w:w="1660" w:type="dxa"/>
            <w:vAlign w:val="bottom"/>
            <w:shd w:val="clear" w:color="auto" w:fill="EAF9E8"/>
          </w:tcPr>
          <w:p>
            <w:pPr>
              <w:spacing w:after="0" w:line="201" w:lineRule="exact"/>
              <w:rPr>
                <w:sz w:val="20"/>
                <w:szCs w:val="20"/>
                <w:color w:val="auto"/>
              </w:rPr>
            </w:pPr>
            <w:r>
              <w:rPr>
                <w:rFonts w:ascii="Arial" w:cs="Arial" w:eastAsia="Arial" w:hAnsi="Arial"/>
                <w:sz w:val="18"/>
                <w:szCs w:val="18"/>
                <w:color w:val="auto"/>
                <w:w w:val="89"/>
              </w:rPr>
              <w:t>Commercial paper rate</w:t>
            </w:r>
          </w:p>
        </w:tc>
        <w:tc>
          <w:tcPr>
            <w:tcW w:w="220" w:type="dxa"/>
            <w:vAlign w:val="bottom"/>
            <w:shd w:val="clear" w:color="auto" w:fill="EAF9E8"/>
          </w:tcPr>
          <w:p>
            <w:pPr>
              <w:spacing w:after="0"/>
              <w:rPr>
                <w:sz w:val="17"/>
                <w:szCs w:val="17"/>
                <w:color w:val="auto"/>
              </w:rPr>
            </w:pPr>
          </w:p>
        </w:tc>
        <w:tc>
          <w:tcPr>
            <w:tcW w:w="1400" w:type="dxa"/>
            <w:vAlign w:val="bottom"/>
            <w:shd w:val="clear" w:color="auto" w:fill="EAF9E8"/>
          </w:tcPr>
          <w:p>
            <w:pPr>
              <w:spacing w:after="0"/>
              <w:rPr>
                <w:sz w:val="17"/>
                <w:szCs w:val="17"/>
                <w:color w:val="auto"/>
              </w:rPr>
            </w:pPr>
          </w:p>
        </w:tc>
        <w:tc>
          <w:tcPr>
            <w:tcW w:w="220" w:type="dxa"/>
            <w:vAlign w:val="bottom"/>
            <w:shd w:val="clear" w:color="auto" w:fill="EAF9E8"/>
          </w:tcPr>
          <w:p>
            <w:pPr>
              <w:spacing w:after="0"/>
              <w:rPr>
                <w:sz w:val="17"/>
                <w:szCs w:val="17"/>
                <w:color w:val="auto"/>
              </w:rPr>
            </w:pPr>
          </w:p>
        </w:tc>
        <w:tc>
          <w:tcPr>
            <w:tcW w:w="1400" w:type="dxa"/>
            <w:vAlign w:val="bottom"/>
            <w:shd w:val="clear" w:color="auto" w:fill="EAF9E8"/>
          </w:tcPr>
          <w:p>
            <w:pPr>
              <w:spacing w:after="0"/>
              <w:rPr>
                <w:sz w:val="17"/>
                <w:szCs w:val="17"/>
                <w:color w:val="auto"/>
              </w:rPr>
            </w:pPr>
          </w:p>
        </w:tc>
        <w:tc>
          <w:tcPr>
            <w:tcW w:w="220" w:type="dxa"/>
            <w:vAlign w:val="bottom"/>
            <w:shd w:val="clear" w:color="auto" w:fill="EAF9E8"/>
          </w:tcPr>
          <w:p>
            <w:pPr>
              <w:spacing w:after="0"/>
              <w:rPr>
                <w:sz w:val="17"/>
                <w:szCs w:val="17"/>
                <w:color w:val="auto"/>
              </w:rPr>
            </w:pPr>
          </w:p>
        </w:tc>
        <w:tc>
          <w:tcPr>
            <w:tcW w:w="2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1140" w:type="dxa"/>
            <w:vAlign w:val="bottom"/>
            <w:shd w:val="clear" w:color="auto" w:fill="EAF9E8"/>
          </w:tcPr>
          <w:p>
            <w:pPr>
              <w:spacing w:after="0"/>
              <w:rPr>
                <w:sz w:val="17"/>
                <w:szCs w:val="17"/>
                <w:color w:val="auto"/>
              </w:rPr>
            </w:pPr>
          </w:p>
        </w:tc>
        <w:tc>
          <w:tcPr>
            <w:tcW w:w="220" w:type="dxa"/>
            <w:vAlign w:val="bottom"/>
            <w:shd w:val="clear" w:color="auto" w:fill="EAF9E8"/>
          </w:tcPr>
          <w:p>
            <w:pPr>
              <w:spacing w:after="0"/>
              <w:rPr>
                <w:sz w:val="17"/>
                <w:szCs w:val="17"/>
                <w:color w:val="auto"/>
              </w:rPr>
            </w:pPr>
          </w:p>
        </w:tc>
        <w:tc>
          <w:tcPr>
            <w:tcW w:w="180" w:type="dxa"/>
            <w:vAlign w:val="bottom"/>
            <w:shd w:val="clear" w:color="auto" w:fill="EAF9E8"/>
          </w:tcPr>
          <w:p>
            <w:pPr>
              <w:spacing w:after="0"/>
              <w:rPr>
                <w:sz w:val="17"/>
                <w:szCs w:val="17"/>
                <w:color w:val="auto"/>
              </w:rPr>
            </w:pPr>
          </w:p>
        </w:tc>
        <w:tc>
          <w:tcPr>
            <w:tcW w:w="1100" w:type="dxa"/>
            <w:vAlign w:val="bottom"/>
            <w:shd w:val="clear" w:color="auto" w:fill="EAF9E8"/>
          </w:tcPr>
          <w:p>
            <w:pPr>
              <w:spacing w:after="0"/>
              <w:rPr>
                <w:sz w:val="17"/>
                <w:szCs w:val="17"/>
                <w:color w:val="auto"/>
              </w:rPr>
            </w:pPr>
          </w:p>
        </w:tc>
        <w:tc>
          <w:tcPr>
            <w:tcW w:w="220" w:type="dxa"/>
            <w:vAlign w:val="bottom"/>
            <w:shd w:val="clear" w:color="auto" w:fill="EAF9E8"/>
          </w:tcPr>
          <w:p>
            <w:pPr>
              <w:spacing w:after="0"/>
              <w:rPr>
                <w:sz w:val="17"/>
                <w:szCs w:val="17"/>
                <w:color w:val="auto"/>
              </w:rPr>
            </w:pPr>
          </w:p>
        </w:tc>
        <w:tc>
          <w:tcPr>
            <w:tcW w:w="200" w:type="dxa"/>
            <w:vAlign w:val="bottom"/>
            <w:shd w:val="clear" w:color="auto" w:fill="EAF9E8"/>
          </w:tcPr>
          <w:p>
            <w:pPr>
              <w:spacing w:after="0"/>
              <w:rPr>
                <w:sz w:val="17"/>
                <w:szCs w:val="17"/>
                <w:color w:val="auto"/>
              </w:rPr>
            </w:pPr>
          </w:p>
        </w:tc>
        <w:tc>
          <w:tcPr>
            <w:tcW w:w="136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420" w:type="dxa"/>
            <w:vAlign w:val="bottom"/>
            <w:shd w:val="clear" w:color="auto" w:fill="EAF9E8"/>
          </w:tcPr>
          <w:p>
            <w:pPr>
              <w:ind w:left="160"/>
              <w:spacing w:after="0"/>
              <w:rPr>
                <w:sz w:val="20"/>
                <w:szCs w:val="20"/>
                <w:color w:val="auto"/>
              </w:rPr>
            </w:pPr>
            <w:r>
              <w:rPr>
                <w:rFonts w:ascii="Arial" w:cs="Arial" w:eastAsia="Arial" w:hAnsi="Arial"/>
                <w:sz w:val="18"/>
                <w:szCs w:val="18"/>
                <w:color w:val="auto"/>
              </w:rPr>
              <w:t>Note Series</w:t>
            </w:r>
          </w:p>
        </w:tc>
        <w:tc>
          <w:tcPr>
            <w:tcW w:w="1860" w:type="dxa"/>
            <w:vAlign w:val="bottom"/>
            <w:gridSpan w:val="2"/>
            <w:shd w:val="clear" w:color="auto" w:fill="EAF9E8"/>
          </w:tcPr>
          <w:p>
            <w:pPr>
              <w:ind w:left="200"/>
              <w:spacing w:after="0"/>
              <w:rPr>
                <w:sz w:val="20"/>
                <w:szCs w:val="20"/>
                <w:color w:val="auto"/>
              </w:rPr>
            </w:pPr>
            <w:r>
              <w:rPr>
                <w:rFonts w:ascii="Arial" w:cs="Arial" w:eastAsia="Arial" w:hAnsi="Arial"/>
                <w:sz w:val="18"/>
                <w:szCs w:val="18"/>
                <w:color w:val="auto"/>
                <w:w w:val="94"/>
              </w:rPr>
              <w:t>+ 200 basis points (3)</w:t>
            </w:r>
          </w:p>
        </w:tc>
        <w:tc>
          <w:tcPr>
            <w:tcW w:w="220" w:type="dxa"/>
            <w:vAlign w:val="bottom"/>
            <w:shd w:val="clear" w:color="auto" w:fill="EAF9E8"/>
          </w:tcPr>
          <w:p>
            <w:pPr>
              <w:spacing w:after="0"/>
              <w:rPr>
                <w:sz w:val="18"/>
                <w:szCs w:val="18"/>
                <w:color w:val="auto"/>
              </w:rPr>
            </w:pPr>
          </w:p>
        </w:tc>
        <w:tc>
          <w:tcPr>
            <w:tcW w:w="140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40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14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10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36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420" w:type="dxa"/>
            <w:vAlign w:val="bottom"/>
            <w:shd w:val="clear" w:color="auto" w:fill="EAF9E8"/>
          </w:tcPr>
          <w:p>
            <w:pPr>
              <w:ind w:left="160"/>
              <w:spacing w:after="0"/>
              <w:rPr>
                <w:sz w:val="20"/>
                <w:szCs w:val="20"/>
                <w:color w:val="auto"/>
              </w:rPr>
            </w:pPr>
            <w:r>
              <w:rPr>
                <w:rFonts w:ascii="Arial" w:cs="Arial" w:eastAsia="Arial" w:hAnsi="Arial"/>
                <w:sz w:val="18"/>
                <w:szCs w:val="18"/>
                <w:color w:val="auto"/>
              </w:rPr>
              <w:t>2007-1</w:t>
            </w:r>
          </w:p>
        </w:tc>
        <w:tc>
          <w:tcPr>
            <w:tcW w:w="200" w:type="dxa"/>
            <w:vAlign w:val="bottom"/>
            <w:shd w:val="clear" w:color="auto" w:fill="EAF9E8"/>
          </w:tcPr>
          <w:p>
            <w:pPr>
              <w:spacing w:after="0"/>
              <w:rPr>
                <w:sz w:val="19"/>
                <w:szCs w:val="19"/>
                <w:color w:val="auto"/>
              </w:rPr>
            </w:pPr>
          </w:p>
        </w:tc>
        <w:tc>
          <w:tcPr>
            <w:tcW w:w="1660" w:type="dxa"/>
            <w:vAlign w:val="bottom"/>
            <w:shd w:val="clear" w:color="auto" w:fill="EAF9E8"/>
          </w:tcPr>
          <w:p>
            <w:pPr>
              <w:spacing w:after="0"/>
              <w:rPr>
                <w:sz w:val="19"/>
                <w:szCs w:val="19"/>
                <w:color w:val="auto"/>
              </w:rPr>
            </w:pPr>
          </w:p>
        </w:tc>
        <w:tc>
          <w:tcPr>
            <w:tcW w:w="220" w:type="dxa"/>
            <w:vAlign w:val="bottom"/>
            <w:shd w:val="clear" w:color="auto" w:fill="EAF9E8"/>
          </w:tcPr>
          <w:p>
            <w:pPr>
              <w:spacing w:after="0"/>
              <w:rPr>
                <w:sz w:val="19"/>
                <w:szCs w:val="19"/>
                <w:color w:val="auto"/>
              </w:rPr>
            </w:pPr>
          </w:p>
        </w:tc>
        <w:tc>
          <w:tcPr>
            <w:tcW w:w="1400" w:type="dxa"/>
            <w:vAlign w:val="bottom"/>
            <w:shd w:val="clear" w:color="auto" w:fill="EAF9E8"/>
          </w:tcPr>
          <w:p>
            <w:pPr>
              <w:spacing w:after="0"/>
              <w:rPr>
                <w:sz w:val="20"/>
                <w:szCs w:val="20"/>
                <w:color w:val="auto"/>
              </w:rPr>
            </w:pPr>
            <w:r>
              <w:rPr>
                <w:rFonts w:ascii="Arial" w:cs="Arial" w:eastAsia="Arial" w:hAnsi="Arial"/>
                <w:sz w:val="18"/>
                <w:szCs w:val="18"/>
                <w:color w:val="auto"/>
              </w:rPr>
              <w:t>December 2014</w:t>
            </w:r>
          </w:p>
        </w:tc>
        <w:tc>
          <w:tcPr>
            <w:tcW w:w="1620" w:type="dxa"/>
            <w:vAlign w:val="bottom"/>
            <w:gridSpan w:val="2"/>
            <w:shd w:val="clear" w:color="auto" w:fill="EAF9E8"/>
          </w:tcPr>
          <w:p>
            <w:pPr>
              <w:ind w:left="220"/>
              <w:spacing w:after="0"/>
              <w:rPr>
                <w:sz w:val="20"/>
                <w:szCs w:val="20"/>
                <w:color w:val="auto"/>
              </w:rPr>
            </w:pPr>
            <w:r>
              <w:rPr>
                <w:rFonts w:ascii="Arial" w:cs="Arial" w:eastAsia="Arial" w:hAnsi="Arial"/>
                <w:sz w:val="18"/>
                <w:szCs w:val="18"/>
                <w:color w:val="auto"/>
              </w:rPr>
              <w:t>December 2009</w:t>
            </w:r>
          </w:p>
        </w:tc>
        <w:tc>
          <w:tcPr>
            <w:tcW w:w="360" w:type="dxa"/>
            <w:vAlign w:val="bottom"/>
            <w:gridSpan w:val="3"/>
            <w:shd w:val="clear" w:color="auto" w:fill="EAF9E8"/>
          </w:tcPr>
          <w:p>
            <w:pPr>
              <w:jc w:val="right"/>
              <w:ind w:right="11"/>
              <w:spacing w:after="0"/>
              <w:rPr>
                <w:sz w:val="20"/>
                <w:szCs w:val="20"/>
                <w:color w:val="auto"/>
              </w:rPr>
            </w:pPr>
            <w:r>
              <w:rPr>
                <w:rFonts w:ascii="Arial" w:cs="Arial" w:eastAsia="Arial" w:hAnsi="Arial"/>
                <w:sz w:val="18"/>
                <w:szCs w:val="18"/>
                <w:color w:val="auto"/>
              </w:rPr>
              <w:t>$</w:t>
            </w:r>
          </w:p>
        </w:tc>
        <w:tc>
          <w:tcPr>
            <w:tcW w:w="11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195,225</w:t>
            </w:r>
          </w:p>
        </w:tc>
        <w:tc>
          <w:tcPr>
            <w:tcW w:w="220" w:type="dxa"/>
            <w:vAlign w:val="bottom"/>
            <w:shd w:val="clear" w:color="auto" w:fill="EAF9E8"/>
          </w:tcPr>
          <w:p>
            <w:pPr>
              <w:spacing w:after="0"/>
              <w:rPr>
                <w:sz w:val="19"/>
                <w:szCs w:val="19"/>
                <w:color w:val="auto"/>
              </w:rPr>
            </w:pPr>
          </w:p>
        </w:tc>
        <w:tc>
          <w:tcPr>
            <w:tcW w:w="180" w:type="dxa"/>
            <w:vAlign w:val="bottom"/>
            <w:shd w:val="clear" w:color="auto" w:fill="EAF9E8"/>
          </w:tcPr>
          <w:p>
            <w:pPr>
              <w:jc w:val="right"/>
              <w:ind w:right="23"/>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104,775</w:t>
            </w:r>
          </w:p>
        </w:tc>
        <w:tc>
          <w:tcPr>
            <w:tcW w:w="420" w:type="dxa"/>
            <w:vAlign w:val="bottom"/>
            <w:gridSpan w:val="2"/>
            <w:shd w:val="clear" w:color="auto" w:fill="EAF9E8"/>
          </w:tcPr>
          <w:p>
            <w:pPr>
              <w:jc w:val="right"/>
              <w:ind w:right="12"/>
              <w:spacing w:after="0"/>
              <w:rPr>
                <w:sz w:val="20"/>
                <w:szCs w:val="20"/>
                <w:color w:val="auto"/>
              </w:rPr>
            </w:pPr>
            <w:r>
              <w:rPr>
                <w:rFonts w:ascii="Arial" w:cs="Arial" w:eastAsia="Arial" w:hAnsi="Arial"/>
                <w:sz w:val="18"/>
                <w:szCs w:val="18"/>
                <w:color w:val="auto"/>
              </w:rPr>
              <w:t>$</w:t>
            </w:r>
          </w:p>
        </w:tc>
        <w:tc>
          <w:tcPr>
            <w:tcW w:w="13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219,722</w:t>
            </w:r>
          </w:p>
        </w:tc>
        <w:tc>
          <w:tcPr>
            <w:tcW w:w="120" w:type="dxa"/>
            <w:vAlign w:val="bottom"/>
            <w:shd w:val="clear" w:color="auto" w:fill="EAF9E8"/>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1420" w:type="dxa"/>
            <w:vAlign w:val="bottom"/>
          </w:tcPr>
          <w:p>
            <w:pPr>
              <w:spacing w:after="0"/>
              <w:rPr>
                <w:sz w:val="20"/>
                <w:szCs w:val="20"/>
                <w:color w:val="auto"/>
              </w:rPr>
            </w:pPr>
            <w:r>
              <w:rPr>
                <w:rFonts w:ascii="Arial" w:cs="Arial" w:eastAsia="Arial" w:hAnsi="Arial"/>
                <w:sz w:val="18"/>
                <w:szCs w:val="18"/>
                <w:color w:val="auto"/>
                <w:w w:val="99"/>
              </w:rPr>
              <w:t>Term Note Series</w:t>
            </w:r>
          </w:p>
        </w:tc>
        <w:tc>
          <w:tcPr>
            <w:tcW w:w="1860" w:type="dxa"/>
            <w:vAlign w:val="bottom"/>
            <w:gridSpan w:val="2"/>
          </w:tcPr>
          <w:p>
            <w:pPr>
              <w:ind w:left="200"/>
              <w:spacing w:after="0"/>
              <w:rPr>
                <w:sz w:val="20"/>
                <w:szCs w:val="20"/>
                <w:color w:val="auto"/>
              </w:rPr>
            </w:pPr>
            <w:r>
              <w:rPr>
                <w:rFonts w:ascii="Arial" w:cs="Arial" w:eastAsia="Arial" w:hAnsi="Arial"/>
                <w:sz w:val="18"/>
                <w:szCs w:val="18"/>
                <w:color w:val="auto"/>
              </w:rPr>
              <w:t>5.335%</w:t>
            </w: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420" w:type="dxa"/>
            <w:vAlign w:val="bottom"/>
          </w:tcPr>
          <w:p>
            <w:pPr>
              <w:ind w:left="160"/>
              <w:spacing w:after="0"/>
              <w:rPr>
                <w:sz w:val="20"/>
                <w:szCs w:val="20"/>
                <w:color w:val="auto"/>
              </w:rPr>
            </w:pPr>
            <w:r>
              <w:rPr>
                <w:rFonts w:ascii="Arial" w:cs="Arial" w:eastAsia="Arial" w:hAnsi="Arial"/>
                <w:sz w:val="18"/>
                <w:szCs w:val="18"/>
                <w:color w:val="auto"/>
              </w:rPr>
              <w:t>2006 -1</w:t>
            </w: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spacing w:after="0"/>
              <w:rPr>
                <w:sz w:val="20"/>
                <w:szCs w:val="20"/>
                <w:color w:val="auto"/>
              </w:rPr>
            </w:pPr>
            <w:r>
              <w:rPr>
                <w:rFonts w:ascii="Arial" w:cs="Arial" w:eastAsia="Arial" w:hAnsi="Arial"/>
                <w:sz w:val="18"/>
                <w:szCs w:val="18"/>
                <w:color w:val="auto"/>
                <w:w w:val="88"/>
              </w:rPr>
              <w:t>November 2015 (4)</w:t>
            </w:r>
          </w:p>
        </w:tc>
        <w:tc>
          <w:tcPr>
            <w:tcW w:w="1620" w:type="dxa"/>
            <w:vAlign w:val="bottom"/>
            <w:gridSpan w:val="2"/>
          </w:tcPr>
          <w:p>
            <w:pPr>
              <w:ind w:left="220"/>
              <w:spacing w:after="0"/>
              <w:rPr>
                <w:sz w:val="20"/>
                <w:szCs w:val="20"/>
                <w:color w:val="auto"/>
              </w:rPr>
            </w:pPr>
            <w:r>
              <w:rPr>
                <w:rFonts w:ascii="Arial" w:cs="Arial" w:eastAsia="Arial" w:hAnsi="Arial"/>
                <w:sz w:val="18"/>
                <w:szCs w:val="18"/>
                <w:color w:val="auto"/>
              </w:rPr>
              <w:t>November 2009</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165,000</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165,000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420" w:type="dxa"/>
            <w:vAlign w:val="bottom"/>
            <w:shd w:val="clear" w:color="auto" w:fill="EAF9E8"/>
          </w:tcPr>
          <w:p>
            <w:pPr>
              <w:spacing w:after="0"/>
              <w:rPr>
                <w:sz w:val="20"/>
                <w:szCs w:val="20"/>
                <w:color w:val="auto"/>
              </w:rPr>
            </w:pPr>
            <w:r>
              <w:rPr>
                <w:rFonts w:ascii="Arial" w:cs="Arial" w:eastAsia="Arial" w:hAnsi="Arial"/>
                <w:sz w:val="18"/>
                <w:szCs w:val="18"/>
                <w:color w:val="auto"/>
              </w:rPr>
              <w:t>Variable Funding</w:t>
            </w:r>
          </w:p>
        </w:tc>
        <w:tc>
          <w:tcPr>
            <w:tcW w:w="1860" w:type="dxa"/>
            <w:vAlign w:val="bottom"/>
            <w:gridSpan w:val="2"/>
            <w:shd w:val="clear" w:color="auto" w:fill="EAF9E8"/>
          </w:tcPr>
          <w:p>
            <w:pPr>
              <w:ind w:left="200"/>
              <w:spacing w:after="0"/>
              <w:rPr>
                <w:sz w:val="20"/>
                <w:szCs w:val="20"/>
                <w:color w:val="auto"/>
              </w:rPr>
            </w:pPr>
            <w:r>
              <w:rPr>
                <w:rFonts w:ascii="Arial" w:cs="Arial" w:eastAsia="Arial" w:hAnsi="Arial"/>
                <w:sz w:val="18"/>
                <w:szCs w:val="18"/>
                <w:color w:val="auto"/>
                <w:w w:val="89"/>
              </w:rPr>
              <w:t>Commercial paper rate</w:t>
            </w:r>
          </w:p>
        </w:tc>
        <w:tc>
          <w:tcPr>
            <w:tcW w:w="220" w:type="dxa"/>
            <w:vAlign w:val="bottom"/>
            <w:shd w:val="clear" w:color="auto" w:fill="EAF9E8"/>
          </w:tcPr>
          <w:p>
            <w:pPr>
              <w:spacing w:after="0"/>
              <w:rPr>
                <w:sz w:val="18"/>
                <w:szCs w:val="18"/>
                <w:color w:val="auto"/>
              </w:rPr>
            </w:pPr>
          </w:p>
        </w:tc>
        <w:tc>
          <w:tcPr>
            <w:tcW w:w="140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40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14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10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36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420" w:type="dxa"/>
            <w:vAlign w:val="bottom"/>
            <w:shd w:val="clear" w:color="auto" w:fill="EAF9E8"/>
          </w:tcPr>
          <w:p>
            <w:pPr>
              <w:ind w:left="160"/>
              <w:spacing w:after="0"/>
              <w:rPr>
                <w:sz w:val="20"/>
                <w:szCs w:val="20"/>
                <w:color w:val="auto"/>
              </w:rPr>
            </w:pPr>
            <w:r>
              <w:rPr>
                <w:rFonts w:ascii="Arial" w:cs="Arial" w:eastAsia="Arial" w:hAnsi="Arial"/>
                <w:sz w:val="18"/>
                <w:szCs w:val="18"/>
                <w:color w:val="auto"/>
              </w:rPr>
              <w:t>Note (5)</w:t>
            </w:r>
          </w:p>
        </w:tc>
        <w:tc>
          <w:tcPr>
            <w:tcW w:w="1860" w:type="dxa"/>
            <w:vAlign w:val="bottom"/>
            <w:gridSpan w:val="2"/>
            <w:shd w:val="clear" w:color="auto" w:fill="EAF9E8"/>
          </w:tcPr>
          <w:p>
            <w:pPr>
              <w:ind w:left="200"/>
              <w:spacing w:after="0"/>
              <w:rPr>
                <w:sz w:val="20"/>
                <w:szCs w:val="20"/>
                <w:color w:val="auto"/>
              </w:rPr>
            </w:pPr>
            <w:r>
              <w:rPr>
                <w:rFonts w:ascii="Arial" w:cs="Arial" w:eastAsia="Arial" w:hAnsi="Arial"/>
                <w:sz w:val="18"/>
                <w:szCs w:val="18"/>
                <w:color w:val="auto"/>
                <w:w w:val="94"/>
              </w:rPr>
              <w:t>+ 150 basis points (5)</w:t>
            </w:r>
          </w:p>
        </w:tc>
        <w:tc>
          <w:tcPr>
            <w:tcW w:w="220" w:type="dxa"/>
            <w:vAlign w:val="bottom"/>
            <w:shd w:val="clear" w:color="auto" w:fill="EAF9E8"/>
          </w:tcPr>
          <w:p>
            <w:pPr>
              <w:spacing w:after="0"/>
              <w:rPr>
                <w:sz w:val="19"/>
                <w:szCs w:val="19"/>
                <w:color w:val="auto"/>
              </w:rPr>
            </w:pPr>
          </w:p>
        </w:tc>
        <w:tc>
          <w:tcPr>
            <w:tcW w:w="1400" w:type="dxa"/>
            <w:vAlign w:val="bottom"/>
            <w:shd w:val="clear" w:color="auto" w:fill="EAF9E8"/>
          </w:tcPr>
          <w:p>
            <w:pPr>
              <w:spacing w:after="0"/>
              <w:rPr>
                <w:sz w:val="20"/>
                <w:szCs w:val="20"/>
                <w:color w:val="auto"/>
              </w:rPr>
            </w:pPr>
            <w:r>
              <w:rPr>
                <w:rFonts w:ascii="Arial" w:cs="Arial" w:eastAsia="Arial" w:hAnsi="Arial"/>
                <w:sz w:val="18"/>
                <w:szCs w:val="18"/>
                <w:color w:val="auto"/>
              </w:rPr>
              <w:t>December 2013</w:t>
            </w:r>
          </w:p>
        </w:tc>
        <w:tc>
          <w:tcPr>
            <w:tcW w:w="1620" w:type="dxa"/>
            <w:vAlign w:val="bottom"/>
            <w:gridSpan w:val="2"/>
            <w:shd w:val="clear" w:color="auto" w:fill="EAF9E8"/>
          </w:tcPr>
          <w:p>
            <w:pPr>
              <w:ind w:left="220"/>
              <w:spacing w:after="0"/>
              <w:rPr>
                <w:sz w:val="20"/>
                <w:szCs w:val="20"/>
                <w:color w:val="auto"/>
              </w:rPr>
            </w:pPr>
            <w:r>
              <w:rPr>
                <w:rFonts w:ascii="Arial" w:cs="Arial" w:eastAsia="Arial" w:hAnsi="Arial"/>
                <w:sz w:val="18"/>
                <w:szCs w:val="18"/>
                <w:color w:val="auto"/>
              </w:rPr>
              <w:t>December 2010</w:t>
            </w:r>
          </w:p>
        </w:tc>
        <w:tc>
          <w:tcPr>
            <w:tcW w:w="220" w:type="dxa"/>
            <w:vAlign w:val="bottom"/>
            <w:shd w:val="clear" w:color="auto" w:fill="EAF9E8"/>
          </w:tcPr>
          <w:p>
            <w:pPr>
              <w:spacing w:after="0"/>
              <w:rPr>
                <w:sz w:val="19"/>
                <w:szCs w:val="19"/>
                <w:color w:val="auto"/>
              </w:rPr>
            </w:pPr>
          </w:p>
        </w:tc>
        <w:tc>
          <w:tcPr>
            <w:tcW w:w="2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1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66,403</w:t>
            </w:r>
          </w:p>
        </w:tc>
        <w:tc>
          <w:tcPr>
            <w:tcW w:w="220" w:type="dxa"/>
            <w:vAlign w:val="bottom"/>
            <w:shd w:val="clear" w:color="auto" w:fill="EAF9E8"/>
          </w:tcPr>
          <w:p>
            <w:pPr>
              <w:spacing w:after="0"/>
              <w:rPr>
                <w:sz w:val="19"/>
                <w:szCs w:val="19"/>
                <w:color w:val="auto"/>
              </w:rPr>
            </w:pPr>
          </w:p>
        </w:tc>
        <w:tc>
          <w:tcPr>
            <w:tcW w:w="180" w:type="dxa"/>
            <w:vAlign w:val="bottom"/>
            <w:shd w:val="clear" w:color="auto" w:fill="EAF9E8"/>
          </w:tcPr>
          <w:p>
            <w:pPr>
              <w:spacing w:after="0"/>
              <w:rPr>
                <w:sz w:val="19"/>
                <w:szCs w:val="19"/>
                <w:color w:val="auto"/>
              </w:rPr>
            </w:pPr>
          </w:p>
        </w:tc>
        <w:tc>
          <w:tcPr>
            <w:tcW w:w="11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183,597</w:t>
            </w:r>
          </w:p>
        </w:tc>
        <w:tc>
          <w:tcPr>
            <w:tcW w:w="220" w:type="dxa"/>
            <w:vAlign w:val="bottom"/>
            <w:shd w:val="clear" w:color="auto" w:fill="EAF9E8"/>
          </w:tcPr>
          <w:p>
            <w:pPr>
              <w:spacing w:after="0"/>
              <w:rPr>
                <w:sz w:val="19"/>
                <w:szCs w:val="19"/>
                <w:color w:val="auto"/>
              </w:rPr>
            </w:pPr>
          </w:p>
        </w:tc>
        <w:tc>
          <w:tcPr>
            <w:tcW w:w="200" w:type="dxa"/>
            <w:vAlign w:val="bottom"/>
            <w:shd w:val="clear" w:color="auto" w:fill="EAF9E8"/>
          </w:tcPr>
          <w:p>
            <w:pPr>
              <w:spacing w:after="0"/>
              <w:rPr>
                <w:sz w:val="19"/>
                <w:szCs w:val="19"/>
                <w:color w:val="auto"/>
              </w:rPr>
            </w:pPr>
          </w:p>
        </w:tc>
        <w:tc>
          <w:tcPr>
            <w:tcW w:w="13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192,520</w:t>
            </w:r>
          </w:p>
        </w:tc>
        <w:tc>
          <w:tcPr>
            <w:tcW w:w="120" w:type="dxa"/>
            <w:vAlign w:val="bottom"/>
            <w:shd w:val="clear" w:color="auto" w:fill="EAF9E8"/>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1420" w:type="dxa"/>
            <w:vAlign w:val="bottom"/>
          </w:tcPr>
          <w:p>
            <w:pPr>
              <w:spacing w:after="0"/>
              <w:rPr>
                <w:sz w:val="20"/>
                <w:szCs w:val="20"/>
                <w:color w:val="auto"/>
              </w:rPr>
            </w:pPr>
            <w:r>
              <w:rPr>
                <w:rFonts w:ascii="Arial" w:cs="Arial" w:eastAsia="Arial" w:hAnsi="Arial"/>
                <w:sz w:val="18"/>
                <w:szCs w:val="18"/>
                <w:color w:val="auto"/>
              </w:rPr>
              <w:t>Advance</w:t>
            </w:r>
          </w:p>
        </w:tc>
        <w:tc>
          <w:tcPr>
            <w:tcW w:w="1860" w:type="dxa"/>
            <w:vAlign w:val="bottom"/>
            <w:gridSpan w:val="2"/>
          </w:tcPr>
          <w:p>
            <w:pPr>
              <w:ind w:left="200"/>
              <w:spacing w:after="0"/>
              <w:rPr>
                <w:sz w:val="20"/>
                <w:szCs w:val="20"/>
                <w:color w:val="auto"/>
              </w:rPr>
            </w:pPr>
            <w:r>
              <w:rPr>
                <w:rFonts w:ascii="Arial" w:cs="Arial" w:eastAsia="Arial" w:hAnsi="Arial"/>
                <w:sz w:val="18"/>
                <w:szCs w:val="18"/>
                <w:color w:val="auto"/>
                <w:w w:val="93"/>
              </w:rPr>
              <w:t>1-Month LIBOR + 400</w:t>
            </w: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tcPr>
          <w:p>
            <w:pPr>
              <w:ind w:left="160"/>
              <w:spacing w:after="0"/>
              <w:rPr>
                <w:sz w:val="20"/>
                <w:szCs w:val="20"/>
                <w:color w:val="auto"/>
              </w:rPr>
            </w:pPr>
            <w:r>
              <w:rPr>
                <w:rFonts w:ascii="Arial" w:cs="Arial" w:eastAsia="Arial" w:hAnsi="Arial"/>
                <w:sz w:val="18"/>
                <w:szCs w:val="18"/>
                <w:color w:val="auto"/>
              </w:rPr>
              <w:t>Receivable</w:t>
            </w:r>
          </w:p>
        </w:tc>
        <w:tc>
          <w:tcPr>
            <w:tcW w:w="1860" w:type="dxa"/>
            <w:vAlign w:val="bottom"/>
            <w:gridSpan w:val="2"/>
          </w:tcPr>
          <w:p>
            <w:pPr>
              <w:ind w:left="200"/>
              <w:spacing w:after="0"/>
              <w:rPr>
                <w:sz w:val="20"/>
                <w:szCs w:val="20"/>
                <w:color w:val="auto"/>
              </w:rPr>
            </w:pPr>
            <w:r>
              <w:rPr>
                <w:rFonts w:ascii="Arial" w:cs="Arial" w:eastAsia="Arial" w:hAnsi="Arial"/>
                <w:sz w:val="18"/>
                <w:szCs w:val="18"/>
                <w:color w:val="auto"/>
              </w:rPr>
              <w:t>basis points</w:t>
            </w: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420" w:type="dxa"/>
            <w:vAlign w:val="bottom"/>
          </w:tcPr>
          <w:p>
            <w:pPr>
              <w:ind w:left="160"/>
              <w:spacing w:after="0"/>
              <w:rPr>
                <w:sz w:val="20"/>
                <w:szCs w:val="20"/>
                <w:color w:val="auto"/>
              </w:rPr>
            </w:pPr>
            <w:r>
              <w:rPr>
                <w:rFonts w:ascii="Arial" w:cs="Arial" w:eastAsia="Arial" w:hAnsi="Arial"/>
                <w:sz w:val="18"/>
                <w:szCs w:val="18"/>
                <w:color w:val="auto"/>
              </w:rPr>
              <w:t>Backed Notes</w:t>
            </w: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spacing w:after="0"/>
              <w:rPr>
                <w:sz w:val="20"/>
                <w:szCs w:val="20"/>
                <w:color w:val="auto"/>
              </w:rPr>
            </w:pPr>
            <w:r>
              <w:rPr>
                <w:rFonts w:ascii="Arial" w:cs="Arial" w:eastAsia="Arial" w:hAnsi="Arial"/>
                <w:sz w:val="18"/>
                <w:szCs w:val="18"/>
                <w:color w:val="auto"/>
              </w:rPr>
              <w:t>January 2019</w:t>
            </w:r>
          </w:p>
        </w:tc>
        <w:tc>
          <w:tcPr>
            <w:tcW w:w="1620" w:type="dxa"/>
            <w:vAlign w:val="bottom"/>
            <w:gridSpan w:val="2"/>
          </w:tcPr>
          <w:p>
            <w:pPr>
              <w:ind w:left="220"/>
              <w:spacing w:after="0"/>
              <w:rPr>
                <w:sz w:val="20"/>
                <w:szCs w:val="20"/>
                <w:color w:val="auto"/>
              </w:rPr>
            </w:pPr>
            <w:r>
              <w:rPr>
                <w:rFonts w:ascii="Arial" w:cs="Arial" w:eastAsia="Arial" w:hAnsi="Arial"/>
                <w:sz w:val="18"/>
                <w:szCs w:val="18"/>
                <w:color w:val="auto"/>
              </w:rPr>
              <w:t>January 2010</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65,578</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134,422</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142,361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420" w:type="dxa"/>
            <w:vAlign w:val="bottom"/>
            <w:shd w:val="clear" w:color="auto" w:fill="EAF9E8"/>
          </w:tcPr>
          <w:p>
            <w:pPr>
              <w:spacing w:after="0"/>
              <w:rPr>
                <w:sz w:val="20"/>
                <w:szCs w:val="20"/>
                <w:color w:val="auto"/>
              </w:rPr>
            </w:pPr>
            <w:r>
              <w:rPr>
                <w:rFonts w:ascii="Arial" w:cs="Arial" w:eastAsia="Arial" w:hAnsi="Arial"/>
                <w:sz w:val="18"/>
                <w:szCs w:val="18"/>
                <w:color w:val="auto"/>
              </w:rPr>
              <w:t>Advance</w:t>
            </w:r>
          </w:p>
        </w:tc>
        <w:tc>
          <w:tcPr>
            <w:tcW w:w="1860" w:type="dxa"/>
            <w:vAlign w:val="bottom"/>
            <w:gridSpan w:val="2"/>
            <w:shd w:val="clear" w:color="auto" w:fill="EAF9E8"/>
          </w:tcPr>
          <w:p>
            <w:pPr>
              <w:ind w:left="200"/>
              <w:spacing w:after="0"/>
              <w:rPr>
                <w:sz w:val="20"/>
                <w:szCs w:val="20"/>
                <w:color w:val="auto"/>
              </w:rPr>
            </w:pPr>
            <w:r>
              <w:rPr>
                <w:rFonts w:ascii="Arial" w:cs="Arial" w:eastAsia="Arial" w:hAnsi="Arial"/>
                <w:sz w:val="18"/>
                <w:szCs w:val="18"/>
                <w:color w:val="auto"/>
                <w:w w:val="93"/>
              </w:rPr>
              <w:t>1-Month LIBOR + 250</w:t>
            </w:r>
          </w:p>
        </w:tc>
        <w:tc>
          <w:tcPr>
            <w:tcW w:w="220" w:type="dxa"/>
            <w:vAlign w:val="bottom"/>
            <w:shd w:val="clear" w:color="auto" w:fill="EAF9E8"/>
          </w:tcPr>
          <w:p>
            <w:pPr>
              <w:spacing w:after="0"/>
              <w:rPr>
                <w:sz w:val="18"/>
                <w:szCs w:val="18"/>
                <w:color w:val="auto"/>
              </w:rPr>
            </w:pPr>
          </w:p>
        </w:tc>
        <w:tc>
          <w:tcPr>
            <w:tcW w:w="140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40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14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10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36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shd w:val="clear" w:color="auto" w:fill="EAF9E8"/>
          </w:tcPr>
          <w:p>
            <w:pPr>
              <w:ind w:left="160"/>
              <w:spacing w:after="0"/>
              <w:rPr>
                <w:sz w:val="20"/>
                <w:szCs w:val="20"/>
                <w:color w:val="auto"/>
              </w:rPr>
            </w:pPr>
            <w:r>
              <w:rPr>
                <w:rFonts w:ascii="Arial" w:cs="Arial" w:eastAsia="Arial" w:hAnsi="Arial"/>
                <w:sz w:val="18"/>
                <w:szCs w:val="18"/>
                <w:color w:val="auto"/>
              </w:rPr>
              <w:t>Receivable</w:t>
            </w:r>
          </w:p>
        </w:tc>
        <w:tc>
          <w:tcPr>
            <w:tcW w:w="1860" w:type="dxa"/>
            <w:vAlign w:val="bottom"/>
            <w:gridSpan w:val="2"/>
            <w:shd w:val="clear" w:color="auto" w:fill="EAF9E8"/>
          </w:tcPr>
          <w:p>
            <w:pPr>
              <w:ind w:left="200"/>
              <w:spacing w:after="0"/>
              <w:rPr>
                <w:sz w:val="20"/>
                <w:szCs w:val="20"/>
                <w:color w:val="auto"/>
              </w:rPr>
            </w:pPr>
            <w:r>
              <w:rPr>
                <w:rFonts w:ascii="Arial" w:cs="Arial" w:eastAsia="Arial" w:hAnsi="Arial"/>
                <w:sz w:val="18"/>
                <w:szCs w:val="18"/>
                <w:color w:val="auto"/>
              </w:rPr>
              <w:t>basis points</w:t>
            </w:r>
          </w:p>
        </w:tc>
        <w:tc>
          <w:tcPr>
            <w:tcW w:w="220" w:type="dxa"/>
            <w:vAlign w:val="bottom"/>
            <w:shd w:val="clear" w:color="auto" w:fill="EAF9E8"/>
          </w:tcPr>
          <w:p>
            <w:pPr>
              <w:spacing w:after="0"/>
              <w:rPr>
                <w:sz w:val="18"/>
                <w:szCs w:val="18"/>
                <w:color w:val="auto"/>
              </w:rPr>
            </w:pPr>
          </w:p>
        </w:tc>
        <w:tc>
          <w:tcPr>
            <w:tcW w:w="140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40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14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10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36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420" w:type="dxa"/>
            <w:vAlign w:val="bottom"/>
            <w:shd w:val="clear" w:color="auto" w:fill="EAF9E8"/>
          </w:tcPr>
          <w:p>
            <w:pPr>
              <w:ind w:left="160"/>
              <w:spacing w:after="0"/>
              <w:rPr>
                <w:sz w:val="20"/>
                <w:szCs w:val="20"/>
                <w:color w:val="auto"/>
              </w:rPr>
            </w:pPr>
            <w:r>
              <w:rPr>
                <w:rFonts w:ascii="Arial" w:cs="Arial" w:eastAsia="Arial" w:hAnsi="Arial"/>
                <w:sz w:val="18"/>
                <w:szCs w:val="18"/>
                <w:color w:val="auto"/>
              </w:rPr>
              <w:t>Backed Notes</w:t>
            </w:r>
          </w:p>
        </w:tc>
        <w:tc>
          <w:tcPr>
            <w:tcW w:w="200" w:type="dxa"/>
            <w:vAlign w:val="bottom"/>
            <w:shd w:val="clear" w:color="auto" w:fill="EAF9E8"/>
          </w:tcPr>
          <w:p>
            <w:pPr>
              <w:spacing w:after="0"/>
              <w:rPr>
                <w:sz w:val="19"/>
                <w:szCs w:val="19"/>
                <w:color w:val="auto"/>
              </w:rPr>
            </w:pPr>
          </w:p>
        </w:tc>
        <w:tc>
          <w:tcPr>
            <w:tcW w:w="1660" w:type="dxa"/>
            <w:vAlign w:val="bottom"/>
            <w:shd w:val="clear" w:color="auto" w:fill="EAF9E8"/>
          </w:tcPr>
          <w:p>
            <w:pPr>
              <w:spacing w:after="0"/>
              <w:rPr>
                <w:sz w:val="19"/>
                <w:szCs w:val="19"/>
                <w:color w:val="auto"/>
              </w:rPr>
            </w:pPr>
          </w:p>
        </w:tc>
        <w:tc>
          <w:tcPr>
            <w:tcW w:w="220" w:type="dxa"/>
            <w:vAlign w:val="bottom"/>
            <w:shd w:val="clear" w:color="auto" w:fill="EAF9E8"/>
          </w:tcPr>
          <w:p>
            <w:pPr>
              <w:spacing w:after="0"/>
              <w:rPr>
                <w:sz w:val="19"/>
                <w:szCs w:val="19"/>
                <w:color w:val="auto"/>
              </w:rPr>
            </w:pPr>
          </w:p>
        </w:tc>
        <w:tc>
          <w:tcPr>
            <w:tcW w:w="1400" w:type="dxa"/>
            <w:vAlign w:val="bottom"/>
            <w:shd w:val="clear" w:color="auto" w:fill="EAF9E8"/>
          </w:tcPr>
          <w:p>
            <w:pPr>
              <w:spacing w:after="0"/>
              <w:rPr>
                <w:sz w:val="20"/>
                <w:szCs w:val="20"/>
                <w:color w:val="auto"/>
              </w:rPr>
            </w:pPr>
            <w:r>
              <w:rPr>
                <w:rFonts w:ascii="Arial" w:cs="Arial" w:eastAsia="Arial" w:hAnsi="Arial"/>
                <w:sz w:val="18"/>
                <w:szCs w:val="18"/>
                <w:color w:val="auto"/>
              </w:rPr>
              <w:t>April 2009</w:t>
            </w:r>
          </w:p>
        </w:tc>
        <w:tc>
          <w:tcPr>
            <w:tcW w:w="1620" w:type="dxa"/>
            <w:vAlign w:val="bottom"/>
            <w:gridSpan w:val="2"/>
            <w:shd w:val="clear" w:color="auto" w:fill="EAF9E8"/>
          </w:tcPr>
          <w:p>
            <w:pPr>
              <w:ind w:left="220"/>
              <w:spacing w:after="0"/>
              <w:rPr>
                <w:sz w:val="20"/>
                <w:szCs w:val="20"/>
                <w:color w:val="auto"/>
              </w:rPr>
            </w:pPr>
            <w:r>
              <w:rPr>
                <w:rFonts w:ascii="Arial" w:cs="Arial" w:eastAsia="Arial" w:hAnsi="Arial"/>
                <w:sz w:val="18"/>
                <w:szCs w:val="18"/>
                <w:color w:val="auto"/>
              </w:rPr>
              <w:t>April 2009 (6)</w:t>
            </w:r>
          </w:p>
        </w:tc>
        <w:tc>
          <w:tcPr>
            <w:tcW w:w="220" w:type="dxa"/>
            <w:vAlign w:val="bottom"/>
            <w:shd w:val="clear" w:color="auto" w:fill="EAF9E8"/>
          </w:tcPr>
          <w:p>
            <w:pPr>
              <w:spacing w:after="0"/>
              <w:rPr>
                <w:sz w:val="19"/>
                <w:szCs w:val="19"/>
                <w:color w:val="auto"/>
              </w:rPr>
            </w:pPr>
          </w:p>
        </w:tc>
        <w:tc>
          <w:tcPr>
            <w:tcW w:w="2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1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101,484</w:t>
            </w:r>
          </w:p>
        </w:tc>
        <w:tc>
          <w:tcPr>
            <w:tcW w:w="220" w:type="dxa"/>
            <w:vAlign w:val="bottom"/>
            <w:shd w:val="clear" w:color="auto" w:fill="EAF9E8"/>
          </w:tcPr>
          <w:p>
            <w:pPr>
              <w:spacing w:after="0"/>
              <w:rPr>
                <w:sz w:val="19"/>
                <w:szCs w:val="19"/>
                <w:color w:val="auto"/>
              </w:rPr>
            </w:pPr>
          </w:p>
        </w:tc>
        <w:tc>
          <w:tcPr>
            <w:tcW w:w="180" w:type="dxa"/>
            <w:vAlign w:val="bottom"/>
            <w:shd w:val="clear" w:color="auto" w:fill="EAF9E8"/>
          </w:tcPr>
          <w:p>
            <w:pPr>
              <w:spacing w:after="0"/>
              <w:rPr>
                <w:sz w:val="19"/>
                <w:szCs w:val="19"/>
                <w:color w:val="auto"/>
              </w:rPr>
            </w:pPr>
          </w:p>
        </w:tc>
        <w:tc>
          <w:tcPr>
            <w:tcW w:w="11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198,516</w:t>
            </w:r>
          </w:p>
        </w:tc>
        <w:tc>
          <w:tcPr>
            <w:tcW w:w="220" w:type="dxa"/>
            <w:vAlign w:val="bottom"/>
            <w:shd w:val="clear" w:color="auto" w:fill="EAF9E8"/>
          </w:tcPr>
          <w:p>
            <w:pPr>
              <w:spacing w:after="0"/>
              <w:rPr>
                <w:sz w:val="19"/>
                <w:szCs w:val="19"/>
                <w:color w:val="auto"/>
              </w:rPr>
            </w:pPr>
          </w:p>
        </w:tc>
        <w:tc>
          <w:tcPr>
            <w:tcW w:w="200" w:type="dxa"/>
            <w:vAlign w:val="bottom"/>
            <w:shd w:val="clear" w:color="auto" w:fill="EAF9E8"/>
          </w:tcPr>
          <w:p>
            <w:pPr>
              <w:spacing w:after="0"/>
              <w:rPr>
                <w:sz w:val="19"/>
                <w:szCs w:val="19"/>
                <w:color w:val="auto"/>
              </w:rPr>
            </w:pPr>
          </w:p>
        </w:tc>
        <w:tc>
          <w:tcPr>
            <w:tcW w:w="13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237,504</w:t>
            </w:r>
          </w:p>
        </w:tc>
        <w:tc>
          <w:tcPr>
            <w:tcW w:w="120" w:type="dxa"/>
            <w:vAlign w:val="bottom"/>
            <w:shd w:val="clear" w:color="auto" w:fill="EAF9E8"/>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1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428,690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786,310</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957,107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420" w:type="dxa"/>
            <w:vAlign w:val="bottom"/>
            <w:shd w:val="clear" w:color="auto" w:fill="EAF9E8"/>
          </w:tcPr>
          <w:p>
            <w:pPr>
              <w:spacing w:after="0"/>
              <w:rPr>
                <w:sz w:val="20"/>
                <w:szCs w:val="20"/>
                <w:color w:val="auto"/>
              </w:rPr>
            </w:pPr>
            <w:r>
              <w:rPr>
                <w:rFonts w:ascii="Arial" w:cs="Arial" w:eastAsia="Arial" w:hAnsi="Arial"/>
                <w:sz w:val="18"/>
                <w:szCs w:val="18"/>
                <w:color w:val="auto"/>
              </w:rPr>
              <w:t>Basis adjustment</w:t>
            </w:r>
          </w:p>
        </w:tc>
        <w:tc>
          <w:tcPr>
            <w:tcW w:w="200" w:type="dxa"/>
            <w:vAlign w:val="bottom"/>
            <w:shd w:val="clear" w:color="auto" w:fill="EAF9E8"/>
          </w:tcPr>
          <w:p>
            <w:pPr>
              <w:spacing w:after="0"/>
              <w:rPr>
                <w:sz w:val="18"/>
                <w:szCs w:val="18"/>
                <w:color w:val="auto"/>
              </w:rPr>
            </w:pPr>
          </w:p>
        </w:tc>
        <w:tc>
          <w:tcPr>
            <w:tcW w:w="166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40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40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14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10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36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420" w:type="dxa"/>
            <w:vAlign w:val="bottom"/>
            <w:shd w:val="clear" w:color="auto" w:fill="EAF9E8"/>
          </w:tcPr>
          <w:p>
            <w:pPr>
              <w:ind w:left="160"/>
              <w:spacing w:after="0"/>
              <w:rPr>
                <w:sz w:val="20"/>
                <w:szCs w:val="20"/>
                <w:color w:val="auto"/>
              </w:rPr>
            </w:pPr>
            <w:r>
              <w:rPr>
                <w:rFonts w:ascii="Arial" w:cs="Arial" w:eastAsia="Arial" w:hAnsi="Arial"/>
                <w:sz w:val="18"/>
                <w:szCs w:val="18"/>
                <w:color w:val="auto"/>
              </w:rPr>
              <w:t>(4)</w:t>
            </w:r>
          </w:p>
        </w:tc>
        <w:tc>
          <w:tcPr>
            <w:tcW w:w="200" w:type="dxa"/>
            <w:vAlign w:val="bottom"/>
            <w:shd w:val="clear" w:color="auto" w:fill="EAF9E8"/>
          </w:tcPr>
          <w:p>
            <w:pPr>
              <w:spacing w:after="0"/>
              <w:rPr>
                <w:sz w:val="19"/>
                <w:szCs w:val="19"/>
                <w:color w:val="auto"/>
              </w:rPr>
            </w:pPr>
          </w:p>
        </w:tc>
        <w:tc>
          <w:tcPr>
            <w:tcW w:w="1660" w:type="dxa"/>
            <w:vAlign w:val="bottom"/>
            <w:shd w:val="clear" w:color="auto" w:fill="EAF9E8"/>
          </w:tcPr>
          <w:p>
            <w:pPr>
              <w:spacing w:after="0"/>
              <w:rPr>
                <w:sz w:val="19"/>
                <w:szCs w:val="19"/>
                <w:color w:val="auto"/>
              </w:rPr>
            </w:pPr>
          </w:p>
        </w:tc>
        <w:tc>
          <w:tcPr>
            <w:tcW w:w="220" w:type="dxa"/>
            <w:vAlign w:val="bottom"/>
            <w:shd w:val="clear" w:color="auto" w:fill="EAF9E8"/>
          </w:tcPr>
          <w:p>
            <w:pPr>
              <w:spacing w:after="0"/>
              <w:rPr>
                <w:sz w:val="19"/>
                <w:szCs w:val="19"/>
                <w:color w:val="auto"/>
              </w:rPr>
            </w:pPr>
          </w:p>
        </w:tc>
        <w:tc>
          <w:tcPr>
            <w:tcW w:w="1400" w:type="dxa"/>
            <w:vAlign w:val="bottom"/>
            <w:shd w:val="clear" w:color="auto" w:fill="EAF9E8"/>
          </w:tcPr>
          <w:p>
            <w:pPr>
              <w:spacing w:after="0"/>
              <w:rPr>
                <w:sz w:val="19"/>
                <w:szCs w:val="19"/>
                <w:color w:val="auto"/>
              </w:rPr>
            </w:pPr>
          </w:p>
        </w:tc>
        <w:tc>
          <w:tcPr>
            <w:tcW w:w="220" w:type="dxa"/>
            <w:vAlign w:val="bottom"/>
            <w:shd w:val="clear" w:color="auto" w:fill="EAF9E8"/>
          </w:tcPr>
          <w:p>
            <w:pPr>
              <w:spacing w:after="0"/>
              <w:rPr>
                <w:sz w:val="19"/>
                <w:szCs w:val="19"/>
                <w:color w:val="auto"/>
              </w:rPr>
            </w:pPr>
          </w:p>
        </w:tc>
        <w:tc>
          <w:tcPr>
            <w:tcW w:w="1400" w:type="dxa"/>
            <w:vAlign w:val="bottom"/>
            <w:shd w:val="clear" w:color="auto" w:fill="EAF9E8"/>
          </w:tcPr>
          <w:p>
            <w:pPr>
              <w:spacing w:after="0"/>
              <w:rPr>
                <w:sz w:val="19"/>
                <w:szCs w:val="19"/>
                <w:color w:val="auto"/>
              </w:rPr>
            </w:pPr>
          </w:p>
        </w:tc>
        <w:tc>
          <w:tcPr>
            <w:tcW w:w="220" w:type="dxa"/>
            <w:vAlign w:val="bottom"/>
            <w:shd w:val="clear" w:color="auto" w:fill="EAF9E8"/>
          </w:tcPr>
          <w:p>
            <w:pPr>
              <w:spacing w:after="0"/>
              <w:rPr>
                <w:sz w:val="19"/>
                <w:szCs w:val="19"/>
                <w:color w:val="auto"/>
              </w:rPr>
            </w:pPr>
          </w:p>
        </w:tc>
        <w:tc>
          <w:tcPr>
            <w:tcW w:w="2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36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EAF9E8"/>
          </w:tcPr>
          <w:p>
            <w:pPr>
              <w:spacing w:after="0"/>
              <w:rPr>
                <w:sz w:val="19"/>
                <w:szCs w:val="19"/>
                <w:color w:val="auto"/>
              </w:rPr>
            </w:pPr>
          </w:p>
        </w:tc>
        <w:tc>
          <w:tcPr>
            <w:tcW w:w="11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3,990</w:t>
            </w:r>
          </w:p>
        </w:tc>
        <w:tc>
          <w:tcPr>
            <w:tcW w:w="220" w:type="dxa"/>
            <w:vAlign w:val="bottom"/>
            <w:shd w:val="clear" w:color="auto" w:fill="EAF9E8"/>
          </w:tcPr>
          <w:p>
            <w:pPr>
              <w:spacing w:after="0"/>
              <w:rPr>
                <w:sz w:val="19"/>
                <w:szCs w:val="19"/>
                <w:color w:val="auto"/>
              </w:rPr>
            </w:pPr>
          </w:p>
        </w:tc>
        <w:tc>
          <w:tcPr>
            <w:tcW w:w="200" w:type="dxa"/>
            <w:vAlign w:val="bottom"/>
            <w:shd w:val="clear" w:color="auto" w:fill="EAF9E8"/>
          </w:tcPr>
          <w:p>
            <w:pPr>
              <w:spacing w:after="0"/>
              <w:rPr>
                <w:sz w:val="19"/>
                <w:szCs w:val="19"/>
                <w:color w:val="auto"/>
              </w:rPr>
            </w:pPr>
          </w:p>
        </w:tc>
        <w:tc>
          <w:tcPr>
            <w:tcW w:w="13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4,832</w:t>
            </w:r>
          </w:p>
        </w:tc>
        <w:tc>
          <w:tcPr>
            <w:tcW w:w="120" w:type="dxa"/>
            <w:vAlign w:val="bottom"/>
            <w:shd w:val="clear" w:color="auto" w:fill="EAF9E8"/>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gridSpan w:val="2"/>
          </w:tcPr>
          <w:p>
            <w:pPr>
              <w:spacing w:after="0"/>
              <w:rPr>
                <w:sz w:val="21"/>
                <w:szCs w:val="21"/>
                <w:color w:val="auto"/>
              </w:rPr>
            </w:pPr>
          </w:p>
        </w:tc>
        <w:tc>
          <w:tcPr>
            <w:tcW w:w="1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20" w:type="dxa"/>
            <w:vAlign w:val="bottom"/>
            <w:gridSpan w:val="2"/>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top w:val="single" w:sz="8" w:color="auto"/>
            </w:tcBorders>
          </w:tcPr>
          <w:p>
            <w:pPr>
              <w:jc w:val="right"/>
              <w:ind w:right="11"/>
              <w:spacing w:after="0"/>
              <w:rPr>
                <w:sz w:val="20"/>
                <w:szCs w:val="20"/>
                <w:color w:val="auto"/>
              </w:rPr>
            </w:pPr>
            <w:r>
              <w:rPr>
                <w:rFonts w:ascii="Arial" w:cs="Arial" w:eastAsia="Arial" w:hAnsi="Arial"/>
                <w:sz w:val="10"/>
                <w:szCs w:val="10"/>
                <w:color w:val="auto"/>
                <w:w w:val="71"/>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428,690</w:t>
            </w:r>
          </w:p>
        </w:tc>
        <w:tc>
          <w:tcPr>
            <w:tcW w:w="220" w:type="dxa"/>
            <w:vAlign w:val="bottom"/>
          </w:tcPr>
          <w:p>
            <w:pPr>
              <w:spacing w:after="0"/>
              <w:rPr>
                <w:sz w:val="18"/>
                <w:szCs w:val="18"/>
                <w:color w:val="auto"/>
              </w:rPr>
            </w:pPr>
          </w:p>
        </w:tc>
        <w:tc>
          <w:tcPr>
            <w:tcW w:w="180" w:type="dxa"/>
            <w:vAlign w:val="bottom"/>
            <w:tcBorders>
              <w:top w:val="single" w:sz="8" w:color="auto"/>
            </w:tcBorders>
          </w:tcPr>
          <w:p>
            <w:pPr>
              <w:jc w:val="right"/>
              <w:ind w:right="23"/>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790,300</w:t>
            </w:r>
          </w:p>
        </w:tc>
        <w:tc>
          <w:tcPr>
            <w:tcW w:w="220" w:type="dxa"/>
            <w:vAlign w:val="bottom"/>
          </w:tcPr>
          <w:p>
            <w:pPr>
              <w:spacing w:after="0"/>
              <w:rPr>
                <w:sz w:val="18"/>
                <w:szCs w:val="18"/>
                <w:color w:val="auto"/>
              </w:rPr>
            </w:pPr>
          </w:p>
        </w:tc>
        <w:tc>
          <w:tcPr>
            <w:tcW w:w="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961,939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ind w:left="580" w:hanging="572"/>
        <w:spacing w:after="0"/>
        <w:tabs>
          <w:tab w:leader="none" w:pos="5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1-Month LIBOR was 0.50% and 0.44% at March 31, 2009 and December 31, 2008, respectively.</w:t>
      </w:r>
    </w:p>
    <w:p>
      <w:pPr>
        <w:spacing w:after="0" w:line="15" w:lineRule="exact"/>
        <w:rPr>
          <w:rFonts w:ascii="Arial" w:cs="Arial" w:eastAsia="Arial" w:hAnsi="Arial"/>
          <w:sz w:val="18"/>
          <w:szCs w:val="18"/>
          <w:color w:val="auto"/>
        </w:rPr>
      </w:pPr>
    </w:p>
    <w:p>
      <w:pPr>
        <w:jc w:val="both"/>
        <w:ind w:left="580" w:hanging="572"/>
        <w:spacing w:after="0" w:line="281" w:lineRule="auto"/>
        <w:tabs>
          <w:tab w:leader="none" w:pos="5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Unused borrowing capacity is available for use only to the extent that there are assets that have been pledged as collateral to a facility but against which no funds have been drawn. All eligible advances had been pledged to a facility at March 31, 2009. As a result, none of our available borrowing capacity was readily available because we had no additional assets pledged as collateral but not drawn under our facilities.</w:t>
      </w:r>
    </w:p>
    <w:p>
      <w:pPr>
        <w:spacing w:after="0" w:line="2" w:lineRule="exact"/>
        <w:rPr>
          <w:rFonts w:ascii="Arial" w:cs="Arial" w:eastAsia="Arial" w:hAnsi="Arial"/>
          <w:sz w:val="16"/>
          <w:szCs w:val="16"/>
          <w:color w:val="auto"/>
        </w:rPr>
      </w:pPr>
    </w:p>
    <w:p>
      <w:pPr>
        <w:ind w:left="580" w:hanging="572"/>
        <w:spacing w:after="0" w:line="250" w:lineRule="auto"/>
        <w:tabs>
          <w:tab w:leader="none" w:pos="5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interest rate for this note is determined using a commercial paper rate that reflects the borrowing costs of the lender plus a margin of 200 basis points which has approximated 1-Month LIBOR plus 200 basis points over time.</w:t>
      </w:r>
    </w:p>
    <w:p>
      <w:pPr>
        <w:jc w:val="both"/>
        <w:ind w:left="580" w:hanging="572"/>
        <w:spacing w:after="0" w:line="250" w:lineRule="auto"/>
        <w:tabs>
          <w:tab w:leader="none" w:pos="5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previously carried this note on the balance sheet at fair value as the result of a designated fair value hedging relationship that we established in December 2006 using an interest rate swap. We terminated the swap agreement in February 2008 and began amortizing the basis adjustment to earnings over the expected remaining term of the note.</w:t>
      </w:r>
    </w:p>
    <w:p>
      <w:pPr>
        <w:spacing w:after="0" w:line="1" w:lineRule="exact"/>
        <w:rPr>
          <w:rFonts w:ascii="Arial" w:cs="Arial" w:eastAsia="Arial" w:hAnsi="Arial"/>
          <w:sz w:val="18"/>
          <w:szCs w:val="18"/>
          <w:color w:val="auto"/>
        </w:rPr>
      </w:pPr>
    </w:p>
    <w:p>
      <w:pPr>
        <w:ind w:left="580" w:hanging="572"/>
        <w:spacing w:after="0" w:line="250" w:lineRule="auto"/>
        <w:tabs>
          <w:tab w:leader="none" w:pos="5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interest rate for this note is determined using a commercial paper rate that reflects the borrowing costs of the lender plus a margin of 150 basis points which has approximated 1-Month LIBOR plus 150 basis points over time.</w:t>
      </w:r>
    </w:p>
    <w:p>
      <w:pPr>
        <w:ind w:left="580" w:hanging="572"/>
        <w:spacing w:after="0" w:line="261" w:lineRule="auto"/>
        <w:tabs>
          <w:tab w:leader="none" w:pos="5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 April 2009, the lender agreed to extend the amortization date for this facility to May 16, 2009. On May 5, 2009, we negotiated an increase in the borrowing capacity and a one-year extension of the amortization date. See Note 21 for additional information.</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39" w:right="23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228"/>
        </w:trPr>
        <w:tc>
          <w:tcPr>
            <w:tcW w:w="1380" w:type="dxa"/>
            <w:vAlign w:val="bottom"/>
            <w:gridSpan w:val="4"/>
          </w:tcPr>
          <w:p>
            <w:pPr>
              <w:spacing w:after="0"/>
              <w:rPr>
                <w:sz w:val="20"/>
                <w:szCs w:val="20"/>
                <w:color w:val="auto"/>
              </w:rPr>
            </w:pPr>
            <w:r>
              <w:rPr>
                <w:rFonts w:ascii="Arial" w:cs="Arial" w:eastAsia="Arial" w:hAnsi="Arial"/>
                <w:sz w:val="18"/>
                <w:szCs w:val="18"/>
                <w:b w:val="1"/>
                <w:bCs w:val="1"/>
                <w:color w:val="auto"/>
              </w:rPr>
              <w:t>NOTE 13</w:t>
            </w:r>
          </w:p>
        </w:tc>
        <w:tc>
          <w:tcPr>
            <w:tcW w:w="5660" w:type="dxa"/>
            <w:vAlign w:val="bottom"/>
            <w:gridSpan w:val="8"/>
          </w:tcPr>
          <w:p>
            <w:pPr>
              <w:spacing w:after="0"/>
              <w:rPr>
                <w:sz w:val="20"/>
                <w:szCs w:val="20"/>
                <w:color w:val="auto"/>
              </w:rPr>
            </w:pPr>
            <w:r>
              <w:rPr>
                <w:rFonts w:ascii="Arial" w:cs="Arial" w:eastAsia="Arial" w:hAnsi="Arial"/>
                <w:sz w:val="18"/>
                <w:szCs w:val="18"/>
                <w:b w:val="1"/>
                <w:bCs w:val="1"/>
                <w:color w:val="auto"/>
              </w:rPr>
              <w:t>LINES OF CREDIT AND OTHER SECURED BORROWINGS</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7020" w:type="dxa"/>
            <w:vAlign w:val="bottom"/>
            <w:gridSpan w:val="11"/>
          </w:tcPr>
          <w:p>
            <w:pPr>
              <w:ind w:left="420"/>
              <w:spacing w:after="0"/>
              <w:rPr>
                <w:sz w:val="20"/>
                <w:szCs w:val="20"/>
                <w:color w:val="auto"/>
              </w:rPr>
            </w:pPr>
            <w:r>
              <w:rPr>
                <w:rFonts w:ascii="Arial" w:cs="Arial" w:eastAsia="Arial" w:hAnsi="Arial"/>
                <w:sz w:val="18"/>
                <w:szCs w:val="18"/>
                <w:color w:val="auto"/>
              </w:rPr>
              <w:t>Secured lines of credit from various unaffiliated financial institutions are as follows:</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20" w:type="dxa"/>
            <w:vAlign w:val="bottom"/>
            <w:gridSpan w:val="3"/>
          </w:tcPr>
          <w:p>
            <w:pPr>
              <w:jc w:val="center"/>
              <w:ind w:right="340"/>
              <w:spacing w:after="0"/>
              <w:rPr>
                <w:sz w:val="20"/>
                <w:szCs w:val="20"/>
                <w:color w:val="auto"/>
              </w:rPr>
            </w:pPr>
            <w:r>
              <w:rPr>
                <w:rFonts w:ascii="Arial" w:cs="Arial" w:eastAsia="Arial" w:hAnsi="Arial"/>
                <w:sz w:val="18"/>
                <w:szCs w:val="18"/>
                <w:color w:val="auto"/>
                <w:w w:val="83"/>
              </w:rPr>
              <w:t>Unused</w:t>
            </w:r>
          </w:p>
        </w:tc>
        <w:tc>
          <w:tcPr>
            <w:tcW w:w="140" w:type="dxa"/>
            <w:vAlign w:val="bottom"/>
          </w:tcPr>
          <w:p>
            <w:pPr>
              <w:spacing w:after="0"/>
              <w:rPr>
                <w:sz w:val="24"/>
                <w:szCs w:val="24"/>
                <w:color w:val="auto"/>
              </w:rPr>
            </w:pPr>
          </w:p>
        </w:tc>
        <w:tc>
          <w:tcPr>
            <w:tcW w:w="2560" w:type="dxa"/>
            <w:vAlign w:val="bottom"/>
            <w:gridSpan w:val="4"/>
          </w:tcPr>
          <w:p>
            <w:pPr>
              <w:jc w:val="center"/>
              <w:ind w:right="52"/>
              <w:spacing w:after="0"/>
              <w:rPr>
                <w:sz w:val="20"/>
                <w:szCs w:val="20"/>
                <w:color w:val="auto"/>
              </w:rPr>
            </w:pPr>
            <w:r>
              <w:rPr>
                <w:rFonts w:ascii="Arial" w:cs="Arial" w:eastAsia="Arial" w:hAnsi="Arial"/>
                <w:sz w:val="18"/>
                <w:szCs w:val="18"/>
                <w:color w:val="auto"/>
                <w:w w:val="87"/>
              </w:rPr>
              <w:t>Balance Outstanding</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20" w:type="dxa"/>
            <w:vAlign w:val="bottom"/>
            <w:gridSpan w:val="3"/>
            <w:vMerge w:val="restart"/>
          </w:tcPr>
          <w:p>
            <w:pPr>
              <w:jc w:val="center"/>
              <w:ind w:right="340"/>
              <w:spacing w:after="0"/>
              <w:rPr>
                <w:sz w:val="20"/>
                <w:szCs w:val="20"/>
                <w:color w:val="auto"/>
              </w:rPr>
            </w:pPr>
            <w:r>
              <w:rPr>
                <w:rFonts w:ascii="Arial" w:cs="Arial" w:eastAsia="Arial" w:hAnsi="Arial"/>
                <w:sz w:val="18"/>
                <w:szCs w:val="18"/>
                <w:color w:val="auto"/>
                <w:w w:val="93"/>
              </w:rPr>
              <w:t>Borrowing</w:t>
            </w:r>
          </w:p>
        </w:tc>
        <w:tc>
          <w:tcPr>
            <w:tcW w:w="1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gridSpan w:val="3"/>
            <w:vMerge w:val="continue"/>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ind w:right="112"/>
              <w:spacing w:after="0" w:line="201" w:lineRule="exact"/>
              <w:rPr>
                <w:sz w:val="20"/>
                <w:szCs w:val="20"/>
                <w:color w:val="auto"/>
              </w:rPr>
            </w:pPr>
            <w:r>
              <w:rPr>
                <w:rFonts w:ascii="Arial" w:cs="Arial" w:eastAsia="Arial" w:hAnsi="Arial"/>
                <w:sz w:val="18"/>
                <w:szCs w:val="18"/>
                <w:color w:val="auto"/>
                <w:w w:val="92"/>
              </w:rPr>
              <w:t>March 31,</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jc w:val="right"/>
              <w:ind w:right="112"/>
              <w:spacing w:after="0" w:line="201" w:lineRule="exact"/>
              <w:rPr>
                <w:sz w:val="20"/>
                <w:szCs w:val="20"/>
                <w:color w:val="auto"/>
              </w:rPr>
            </w:pPr>
            <w:r>
              <w:rPr>
                <w:rFonts w:ascii="Arial" w:cs="Arial" w:eastAsia="Arial" w:hAnsi="Arial"/>
                <w:sz w:val="18"/>
                <w:szCs w:val="18"/>
                <w:color w:val="auto"/>
                <w:w w:val="90"/>
              </w:rPr>
              <w:t>December 31,</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1380" w:type="dxa"/>
            <w:vAlign w:val="bottom"/>
            <w:gridSpan w:val="4"/>
          </w:tcPr>
          <w:p>
            <w:pPr>
              <w:spacing w:after="0"/>
              <w:rPr>
                <w:sz w:val="20"/>
                <w:szCs w:val="20"/>
                <w:color w:val="auto"/>
              </w:rPr>
            </w:pPr>
            <w:r>
              <w:rPr>
                <w:rFonts w:ascii="Arial" w:cs="Arial" w:eastAsia="Arial" w:hAnsi="Arial"/>
                <w:sz w:val="18"/>
                <w:szCs w:val="18"/>
                <w:color w:val="auto"/>
              </w:rPr>
              <w:t>Borrowings</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ind w:left="380"/>
              <w:spacing w:after="0"/>
              <w:rPr>
                <w:sz w:val="20"/>
                <w:szCs w:val="20"/>
                <w:color w:val="auto"/>
              </w:rPr>
            </w:pPr>
            <w:r>
              <w:rPr>
                <w:rFonts w:ascii="Arial" w:cs="Arial" w:eastAsia="Arial" w:hAnsi="Arial"/>
                <w:sz w:val="18"/>
                <w:szCs w:val="18"/>
                <w:color w:val="auto"/>
              </w:rPr>
              <w:t>Collateral</w:t>
            </w:r>
          </w:p>
        </w:tc>
        <w:tc>
          <w:tcPr>
            <w:tcW w:w="240" w:type="dxa"/>
            <w:vAlign w:val="bottom"/>
          </w:tcPr>
          <w:p>
            <w:pPr>
              <w:spacing w:after="0"/>
              <w:rPr>
                <w:sz w:val="19"/>
                <w:szCs w:val="19"/>
                <w:color w:val="auto"/>
              </w:rPr>
            </w:pPr>
          </w:p>
        </w:tc>
        <w:tc>
          <w:tcPr>
            <w:tcW w:w="1580" w:type="dxa"/>
            <w:vAlign w:val="bottom"/>
          </w:tcPr>
          <w:p>
            <w:pPr>
              <w:ind w:left="220"/>
              <w:spacing w:after="0"/>
              <w:rPr>
                <w:sz w:val="20"/>
                <w:szCs w:val="20"/>
                <w:color w:val="auto"/>
              </w:rPr>
            </w:pPr>
            <w:r>
              <w:rPr>
                <w:rFonts w:ascii="Arial" w:cs="Arial" w:eastAsia="Arial" w:hAnsi="Arial"/>
                <w:sz w:val="18"/>
                <w:szCs w:val="18"/>
                <w:color w:val="auto"/>
              </w:rPr>
              <w:t>Interest Rate (1)</w:t>
            </w:r>
          </w:p>
        </w:tc>
        <w:tc>
          <w:tcPr>
            <w:tcW w:w="220" w:type="dxa"/>
            <w:vAlign w:val="bottom"/>
          </w:tcPr>
          <w:p>
            <w:pPr>
              <w:spacing w:after="0"/>
              <w:rPr>
                <w:sz w:val="19"/>
                <w:szCs w:val="19"/>
                <w:color w:val="auto"/>
              </w:rPr>
            </w:pPr>
          </w:p>
        </w:tc>
        <w:tc>
          <w:tcPr>
            <w:tcW w:w="1340" w:type="dxa"/>
            <w:vAlign w:val="bottom"/>
          </w:tcPr>
          <w:p>
            <w:pPr>
              <w:ind w:left="360"/>
              <w:spacing w:after="0"/>
              <w:rPr>
                <w:sz w:val="20"/>
                <w:szCs w:val="20"/>
                <w:color w:val="auto"/>
              </w:rPr>
            </w:pPr>
            <w:r>
              <w:rPr>
                <w:rFonts w:ascii="Arial" w:cs="Arial" w:eastAsia="Arial" w:hAnsi="Arial"/>
                <w:sz w:val="18"/>
                <w:szCs w:val="18"/>
                <w:color w:val="auto"/>
              </w:rPr>
              <w:t>Maturity</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gridSpan w:val="3"/>
          </w:tcPr>
          <w:p>
            <w:pPr>
              <w:jc w:val="center"/>
              <w:ind w:right="340"/>
              <w:spacing w:after="0"/>
              <w:rPr>
                <w:sz w:val="20"/>
                <w:szCs w:val="20"/>
                <w:color w:val="auto"/>
              </w:rPr>
            </w:pPr>
            <w:r>
              <w:rPr>
                <w:rFonts w:ascii="Arial" w:cs="Arial" w:eastAsia="Arial" w:hAnsi="Arial"/>
                <w:sz w:val="18"/>
                <w:szCs w:val="18"/>
                <w:color w:val="auto"/>
                <w:w w:val="90"/>
              </w:rPr>
              <w:t>Capacity (2)</w:t>
            </w:r>
          </w:p>
        </w:tc>
        <w:tc>
          <w:tcPr>
            <w:tcW w:w="140" w:type="dxa"/>
            <w:vAlign w:val="bottom"/>
          </w:tcPr>
          <w:p>
            <w:pPr>
              <w:spacing w:after="0"/>
              <w:rPr>
                <w:sz w:val="19"/>
                <w:szCs w:val="19"/>
                <w:color w:val="auto"/>
              </w:rPr>
            </w:pPr>
          </w:p>
        </w:tc>
        <w:tc>
          <w:tcPr>
            <w:tcW w:w="960" w:type="dxa"/>
            <w:vAlign w:val="bottom"/>
          </w:tcPr>
          <w:p>
            <w:pPr>
              <w:jc w:val="right"/>
              <w:ind w:right="292"/>
              <w:spacing w:after="0"/>
              <w:rPr>
                <w:sz w:val="20"/>
                <w:szCs w:val="20"/>
                <w:color w:val="auto"/>
              </w:rPr>
            </w:pPr>
            <w:r>
              <w:rPr>
                <w:rFonts w:ascii="Arial" w:cs="Arial" w:eastAsia="Arial" w:hAnsi="Arial"/>
                <w:sz w:val="18"/>
                <w:szCs w:val="18"/>
                <w:color w:val="auto"/>
              </w:rPr>
              <w:t>2009</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ind w:right="432"/>
              <w:spacing w:after="0"/>
              <w:rPr>
                <w:sz w:val="20"/>
                <w:szCs w:val="20"/>
                <w:color w:val="auto"/>
              </w:rPr>
            </w:pPr>
            <w:r>
              <w:rPr>
                <w:rFonts w:ascii="Arial" w:cs="Arial" w:eastAsia="Arial" w:hAnsi="Arial"/>
                <w:sz w:val="18"/>
                <w:szCs w:val="18"/>
                <w:color w:val="auto"/>
              </w:rPr>
              <w:t>2008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Borders>
              <w:bottom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158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Borders>
              <w:bottom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360" w:type="dxa"/>
            <w:vAlign w:val="bottom"/>
            <w:gridSpan w:val="3"/>
            <w:shd w:val="clear" w:color="auto" w:fill="EAF9E8"/>
          </w:tcPr>
          <w:p>
            <w:pPr>
              <w:spacing w:after="0" w:line="170" w:lineRule="exact"/>
              <w:rPr>
                <w:sz w:val="20"/>
                <w:szCs w:val="20"/>
                <w:color w:val="auto"/>
              </w:rPr>
            </w:pPr>
            <w:r>
              <w:rPr>
                <w:rFonts w:ascii="Arial" w:cs="Arial" w:eastAsia="Arial" w:hAnsi="Arial"/>
                <w:sz w:val="18"/>
                <w:szCs w:val="18"/>
                <w:color w:val="auto"/>
              </w:rPr>
              <w:t>Servicing:</w:t>
            </w:r>
          </w:p>
        </w:tc>
        <w:tc>
          <w:tcPr>
            <w:tcW w:w="120" w:type="dxa"/>
            <w:vAlign w:val="bottom"/>
            <w:shd w:val="clear" w:color="auto" w:fill="EAF9E8"/>
          </w:tcPr>
          <w:p>
            <w:pPr>
              <w:spacing w:after="0"/>
              <w:rPr>
                <w:sz w:val="14"/>
                <w:szCs w:val="14"/>
                <w:color w:val="auto"/>
              </w:rPr>
            </w:pPr>
          </w:p>
        </w:tc>
        <w:tc>
          <w:tcPr>
            <w:tcW w:w="460" w:type="dxa"/>
            <w:vAlign w:val="bottom"/>
            <w:shd w:val="clear" w:color="auto" w:fill="EAF9E8"/>
          </w:tcPr>
          <w:p>
            <w:pPr>
              <w:spacing w:after="0"/>
              <w:rPr>
                <w:sz w:val="14"/>
                <w:szCs w:val="14"/>
                <w:color w:val="auto"/>
              </w:rPr>
            </w:pPr>
          </w:p>
        </w:tc>
        <w:tc>
          <w:tcPr>
            <w:tcW w:w="240" w:type="dxa"/>
            <w:vAlign w:val="bottom"/>
            <w:shd w:val="clear" w:color="auto" w:fill="EAF9E8"/>
          </w:tcPr>
          <w:p>
            <w:pPr>
              <w:spacing w:after="0"/>
              <w:rPr>
                <w:sz w:val="14"/>
                <w:szCs w:val="14"/>
                <w:color w:val="auto"/>
              </w:rPr>
            </w:pPr>
          </w:p>
        </w:tc>
        <w:tc>
          <w:tcPr>
            <w:tcW w:w="1460" w:type="dxa"/>
            <w:vAlign w:val="bottom"/>
            <w:shd w:val="clear" w:color="auto" w:fill="EAF9E8"/>
          </w:tcPr>
          <w:p>
            <w:pPr>
              <w:spacing w:after="0"/>
              <w:rPr>
                <w:sz w:val="14"/>
                <w:szCs w:val="14"/>
                <w:color w:val="auto"/>
              </w:rPr>
            </w:pPr>
          </w:p>
        </w:tc>
        <w:tc>
          <w:tcPr>
            <w:tcW w:w="240" w:type="dxa"/>
            <w:vAlign w:val="bottom"/>
            <w:shd w:val="clear" w:color="auto" w:fill="EAF9E8"/>
          </w:tcPr>
          <w:p>
            <w:pPr>
              <w:spacing w:after="0"/>
              <w:rPr>
                <w:sz w:val="14"/>
                <w:szCs w:val="14"/>
                <w:color w:val="auto"/>
              </w:rPr>
            </w:pPr>
          </w:p>
        </w:tc>
        <w:tc>
          <w:tcPr>
            <w:tcW w:w="1580" w:type="dxa"/>
            <w:vAlign w:val="bottom"/>
            <w:shd w:val="clear" w:color="auto" w:fill="EAF9E8"/>
          </w:tcPr>
          <w:p>
            <w:pPr>
              <w:spacing w:after="0"/>
              <w:rPr>
                <w:sz w:val="14"/>
                <w:szCs w:val="14"/>
                <w:color w:val="auto"/>
              </w:rPr>
            </w:pPr>
          </w:p>
        </w:tc>
        <w:tc>
          <w:tcPr>
            <w:tcW w:w="220" w:type="dxa"/>
            <w:vAlign w:val="bottom"/>
            <w:shd w:val="clear" w:color="auto" w:fill="EAF9E8"/>
          </w:tcPr>
          <w:p>
            <w:pPr>
              <w:spacing w:after="0"/>
              <w:rPr>
                <w:sz w:val="14"/>
                <w:szCs w:val="14"/>
                <w:color w:val="auto"/>
              </w:rPr>
            </w:pPr>
          </w:p>
        </w:tc>
        <w:tc>
          <w:tcPr>
            <w:tcW w:w="1340" w:type="dxa"/>
            <w:vAlign w:val="bottom"/>
            <w:shd w:val="clear" w:color="auto" w:fill="EAF9E8"/>
          </w:tcPr>
          <w:p>
            <w:pPr>
              <w:spacing w:after="0"/>
              <w:rPr>
                <w:sz w:val="14"/>
                <w:szCs w:val="14"/>
                <w:color w:val="auto"/>
              </w:rPr>
            </w:pPr>
          </w:p>
        </w:tc>
        <w:tc>
          <w:tcPr>
            <w:tcW w:w="240" w:type="dxa"/>
            <w:vAlign w:val="bottom"/>
            <w:shd w:val="clear" w:color="auto" w:fill="EAF9E8"/>
          </w:tcPr>
          <w:p>
            <w:pPr>
              <w:spacing w:after="0"/>
              <w:rPr>
                <w:sz w:val="14"/>
                <w:szCs w:val="14"/>
                <w:color w:val="auto"/>
              </w:rPr>
            </w:pPr>
          </w:p>
        </w:tc>
        <w:tc>
          <w:tcPr>
            <w:tcW w:w="20" w:type="dxa"/>
            <w:vAlign w:val="bottom"/>
            <w:shd w:val="clear" w:color="auto" w:fill="EAF9E8"/>
          </w:tcPr>
          <w:p>
            <w:pPr>
              <w:spacing w:after="0"/>
              <w:rPr>
                <w:sz w:val="14"/>
                <w:szCs w:val="14"/>
                <w:color w:val="auto"/>
              </w:rPr>
            </w:pPr>
          </w:p>
        </w:tc>
        <w:tc>
          <w:tcPr>
            <w:tcW w:w="80" w:type="dxa"/>
            <w:vAlign w:val="bottom"/>
            <w:shd w:val="clear" w:color="auto" w:fill="EAF9E8"/>
          </w:tcPr>
          <w:p>
            <w:pPr>
              <w:spacing w:after="0"/>
              <w:rPr>
                <w:sz w:val="14"/>
                <w:szCs w:val="14"/>
                <w:color w:val="auto"/>
              </w:rPr>
            </w:pPr>
          </w:p>
        </w:tc>
        <w:tc>
          <w:tcPr>
            <w:tcW w:w="980" w:type="dxa"/>
            <w:vAlign w:val="bottom"/>
            <w:shd w:val="clear" w:color="auto" w:fill="EAF9E8"/>
          </w:tcPr>
          <w:p>
            <w:pPr>
              <w:spacing w:after="0"/>
              <w:rPr>
                <w:sz w:val="14"/>
                <w:szCs w:val="14"/>
                <w:color w:val="auto"/>
              </w:rPr>
            </w:pPr>
          </w:p>
        </w:tc>
        <w:tc>
          <w:tcPr>
            <w:tcW w:w="20" w:type="dxa"/>
            <w:vAlign w:val="bottom"/>
            <w:shd w:val="clear" w:color="auto" w:fill="EAF9E8"/>
          </w:tcPr>
          <w:p>
            <w:pPr>
              <w:spacing w:after="0"/>
              <w:rPr>
                <w:sz w:val="14"/>
                <w:szCs w:val="14"/>
                <w:color w:val="auto"/>
              </w:rPr>
            </w:pPr>
          </w:p>
        </w:tc>
        <w:tc>
          <w:tcPr>
            <w:tcW w:w="220" w:type="dxa"/>
            <w:vAlign w:val="bottom"/>
            <w:shd w:val="clear" w:color="auto" w:fill="EAF9E8"/>
          </w:tcPr>
          <w:p>
            <w:pPr>
              <w:spacing w:after="0"/>
              <w:rPr>
                <w:sz w:val="14"/>
                <w:szCs w:val="14"/>
                <w:color w:val="auto"/>
              </w:rPr>
            </w:pPr>
          </w:p>
        </w:tc>
        <w:tc>
          <w:tcPr>
            <w:tcW w:w="140" w:type="dxa"/>
            <w:vAlign w:val="bottom"/>
            <w:shd w:val="clear" w:color="auto" w:fill="EAF9E8"/>
          </w:tcPr>
          <w:p>
            <w:pPr>
              <w:spacing w:after="0"/>
              <w:rPr>
                <w:sz w:val="14"/>
                <w:szCs w:val="14"/>
                <w:color w:val="auto"/>
              </w:rPr>
            </w:pPr>
          </w:p>
        </w:tc>
        <w:tc>
          <w:tcPr>
            <w:tcW w:w="960" w:type="dxa"/>
            <w:vAlign w:val="bottom"/>
            <w:shd w:val="clear" w:color="auto" w:fill="EAF9E8"/>
          </w:tcPr>
          <w:p>
            <w:pPr>
              <w:spacing w:after="0"/>
              <w:rPr>
                <w:sz w:val="14"/>
                <w:szCs w:val="14"/>
                <w:color w:val="auto"/>
              </w:rPr>
            </w:pPr>
          </w:p>
        </w:tc>
        <w:tc>
          <w:tcPr>
            <w:tcW w:w="220" w:type="dxa"/>
            <w:vAlign w:val="bottom"/>
            <w:shd w:val="clear" w:color="auto" w:fill="EAF9E8"/>
          </w:tcPr>
          <w:p>
            <w:pPr>
              <w:spacing w:after="0"/>
              <w:rPr>
                <w:sz w:val="14"/>
                <w:szCs w:val="14"/>
                <w:color w:val="auto"/>
              </w:rPr>
            </w:pPr>
          </w:p>
        </w:tc>
        <w:tc>
          <w:tcPr>
            <w:tcW w:w="140" w:type="dxa"/>
            <w:vAlign w:val="bottom"/>
            <w:shd w:val="clear" w:color="auto" w:fill="EAF9E8"/>
          </w:tcPr>
          <w:p>
            <w:pPr>
              <w:spacing w:after="0"/>
              <w:rPr>
                <w:sz w:val="14"/>
                <w:szCs w:val="14"/>
                <w:color w:val="auto"/>
              </w:rPr>
            </w:pPr>
          </w:p>
        </w:tc>
        <w:tc>
          <w:tcPr>
            <w:tcW w:w="1240" w:type="dxa"/>
            <w:vAlign w:val="bottom"/>
            <w:shd w:val="clear" w:color="auto" w:fill="EAF9E8"/>
          </w:tcPr>
          <w:p>
            <w:pPr>
              <w:spacing w:after="0"/>
              <w:rPr>
                <w:sz w:val="14"/>
                <w:szCs w:val="14"/>
                <w:color w:val="auto"/>
              </w:rPr>
            </w:pPr>
          </w:p>
        </w:tc>
        <w:tc>
          <w:tcPr>
            <w:tcW w:w="120" w:type="dxa"/>
            <w:vAlign w:val="bottom"/>
            <w:shd w:val="clear" w:color="auto" w:fill="EAF9E8"/>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00" w:type="dxa"/>
            <w:vAlign w:val="bottom"/>
            <w:tcBorders>
              <w:top w:val="single" w:sz="8" w:color="auto"/>
            </w:tcBorders>
            <w:shd w:val="clear" w:color="auto" w:fill="EAF9E8"/>
          </w:tcPr>
          <w:p>
            <w:pPr>
              <w:spacing w:after="0" w:line="20" w:lineRule="exact"/>
              <w:rPr>
                <w:sz w:val="1"/>
                <w:szCs w:val="1"/>
                <w:color w:val="auto"/>
              </w:rPr>
            </w:pPr>
          </w:p>
        </w:tc>
        <w:tc>
          <w:tcPr>
            <w:tcW w:w="620" w:type="dxa"/>
            <w:vAlign w:val="bottom"/>
            <w:tcBorders>
              <w:top w:val="single" w:sz="8" w:color="EAF9E8"/>
            </w:tcBorders>
            <w:shd w:val="clear" w:color="auto" w:fill="EAF9E8"/>
          </w:tcPr>
          <w:p>
            <w:pPr>
              <w:spacing w:after="0" w:line="20" w:lineRule="exact"/>
              <w:rPr>
                <w:sz w:val="1"/>
                <w:szCs w:val="1"/>
                <w:color w:val="auto"/>
              </w:rPr>
            </w:pPr>
          </w:p>
        </w:tc>
        <w:tc>
          <w:tcPr>
            <w:tcW w:w="40" w:type="dxa"/>
            <w:vAlign w:val="bottom"/>
            <w:tcBorders>
              <w:top w:val="single" w:sz="8" w:color="EAF9E8"/>
            </w:tcBorders>
            <w:shd w:val="clear" w:color="auto" w:fill="EAF9E8"/>
          </w:tcPr>
          <w:p>
            <w:pPr>
              <w:spacing w:after="0" w:line="20" w:lineRule="exact"/>
              <w:rPr>
                <w:sz w:val="1"/>
                <w:szCs w:val="1"/>
                <w:color w:val="auto"/>
              </w:rPr>
            </w:pPr>
          </w:p>
        </w:tc>
        <w:tc>
          <w:tcPr>
            <w:tcW w:w="120" w:type="dxa"/>
            <w:vAlign w:val="bottom"/>
            <w:tcBorders>
              <w:top w:val="single" w:sz="8" w:color="EAF9E8"/>
            </w:tcBorders>
            <w:shd w:val="clear" w:color="auto" w:fill="EAF9E8"/>
          </w:tcPr>
          <w:p>
            <w:pPr>
              <w:spacing w:after="0" w:line="20" w:lineRule="exact"/>
              <w:rPr>
                <w:sz w:val="1"/>
                <w:szCs w:val="1"/>
                <w:color w:val="auto"/>
              </w:rPr>
            </w:pPr>
          </w:p>
        </w:tc>
        <w:tc>
          <w:tcPr>
            <w:tcW w:w="460" w:type="dxa"/>
            <w:vAlign w:val="bottom"/>
            <w:tcBorders>
              <w:top w:val="single" w:sz="8" w:color="EAF9E8"/>
            </w:tcBorders>
            <w:shd w:val="clear" w:color="auto" w:fill="EAF9E8"/>
          </w:tcPr>
          <w:p>
            <w:pPr>
              <w:spacing w:after="0" w:line="20" w:lineRule="exact"/>
              <w:rPr>
                <w:sz w:val="1"/>
                <w:szCs w:val="1"/>
                <w:color w:val="auto"/>
              </w:rPr>
            </w:pPr>
          </w:p>
        </w:tc>
        <w:tc>
          <w:tcPr>
            <w:tcW w:w="240" w:type="dxa"/>
            <w:vAlign w:val="bottom"/>
            <w:tcBorders>
              <w:top w:val="single" w:sz="8" w:color="EAF9E8"/>
            </w:tcBorders>
            <w:shd w:val="clear" w:color="auto" w:fill="EAF9E8"/>
          </w:tcPr>
          <w:p>
            <w:pPr>
              <w:spacing w:after="0" w:line="20" w:lineRule="exact"/>
              <w:rPr>
                <w:sz w:val="1"/>
                <w:szCs w:val="1"/>
                <w:color w:val="auto"/>
              </w:rPr>
            </w:pPr>
          </w:p>
        </w:tc>
        <w:tc>
          <w:tcPr>
            <w:tcW w:w="1460" w:type="dxa"/>
            <w:vAlign w:val="bottom"/>
            <w:tcBorders>
              <w:top w:val="single" w:sz="8" w:color="EAF9E8"/>
            </w:tcBorders>
            <w:shd w:val="clear" w:color="auto" w:fill="EAF9E8"/>
          </w:tcPr>
          <w:p>
            <w:pPr>
              <w:spacing w:after="0" w:line="20" w:lineRule="exact"/>
              <w:rPr>
                <w:sz w:val="1"/>
                <w:szCs w:val="1"/>
                <w:color w:val="auto"/>
              </w:rPr>
            </w:pPr>
          </w:p>
        </w:tc>
        <w:tc>
          <w:tcPr>
            <w:tcW w:w="240" w:type="dxa"/>
            <w:vAlign w:val="bottom"/>
            <w:tcBorders>
              <w:top w:val="single" w:sz="8" w:color="EAF9E8"/>
            </w:tcBorders>
            <w:shd w:val="clear" w:color="auto" w:fill="EAF9E8"/>
          </w:tcPr>
          <w:p>
            <w:pPr>
              <w:spacing w:after="0" w:line="20" w:lineRule="exact"/>
              <w:rPr>
                <w:sz w:val="1"/>
                <w:szCs w:val="1"/>
                <w:color w:val="auto"/>
              </w:rPr>
            </w:pPr>
          </w:p>
        </w:tc>
        <w:tc>
          <w:tcPr>
            <w:tcW w:w="1580" w:type="dxa"/>
            <w:vAlign w:val="bottom"/>
            <w:tcBorders>
              <w:top w:val="single" w:sz="8" w:color="EAF9E8"/>
            </w:tcBorders>
            <w:shd w:val="clear" w:color="auto" w:fill="EAF9E8"/>
          </w:tcPr>
          <w:p>
            <w:pPr>
              <w:spacing w:after="0" w:line="20" w:lineRule="exact"/>
              <w:rPr>
                <w:sz w:val="1"/>
                <w:szCs w:val="1"/>
                <w:color w:val="auto"/>
              </w:rPr>
            </w:pPr>
          </w:p>
        </w:tc>
        <w:tc>
          <w:tcPr>
            <w:tcW w:w="220" w:type="dxa"/>
            <w:vAlign w:val="bottom"/>
            <w:tcBorders>
              <w:top w:val="single" w:sz="8" w:color="EAF9E8"/>
            </w:tcBorders>
            <w:shd w:val="clear" w:color="auto" w:fill="EAF9E8"/>
          </w:tcPr>
          <w:p>
            <w:pPr>
              <w:spacing w:after="0" w:line="20" w:lineRule="exact"/>
              <w:rPr>
                <w:sz w:val="1"/>
                <w:szCs w:val="1"/>
                <w:color w:val="auto"/>
              </w:rPr>
            </w:pPr>
          </w:p>
        </w:tc>
        <w:tc>
          <w:tcPr>
            <w:tcW w:w="1340" w:type="dxa"/>
            <w:vAlign w:val="bottom"/>
            <w:tcBorders>
              <w:top w:val="single" w:sz="8" w:color="EAF9E8"/>
            </w:tcBorders>
            <w:shd w:val="clear" w:color="auto" w:fill="EAF9E8"/>
          </w:tcPr>
          <w:p>
            <w:pPr>
              <w:spacing w:after="0" w:line="20" w:lineRule="exact"/>
              <w:rPr>
                <w:sz w:val="1"/>
                <w:szCs w:val="1"/>
                <w:color w:val="auto"/>
              </w:rPr>
            </w:pPr>
          </w:p>
        </w:tc>
        <w:tc>
          <w:tcPr>
            <w:tcW w:w="240" w:type="dxa"/>
            <w:vAlign w:val="bottom"/>
            <w:tcBorders>
              <w:top w:val="single" w:sz="8" w:color="EAF9E8"/>
            </w:tcBorders>
            <w:shd w:val="clear" w:color="auto" w:fill="EAF9E8"/>
          </w:tcPr>
          <w:p>
            <w:pPr>
              <w:spacing w:after="0" w:line="20" w:lineRule="exact"/>
              <w:rPr>
                <w:sz w:val="1"/>
                <w:szCs w:val="1"/>
                <w:color w:val="auto"/>
              </w:rPr>
            </w:pPr>
          </w:p>
        </w:tc>
        <w:tc>
          <w:tcPr>
            <w:tcW w:w="20" w:type="dxa"/>
            <w:vAlign w:val="bottom"/>
            <w:tcBorders>
              <w:top w:val="single" w:sz="8" w:color="EAF9E8"/>
            </w:tcBorders>
            <w:shd w:val="clear" w:color="auto" w:fill="EAF9E8"/>
          </w:tcPr>
          <w:p>
            <w:pPr>
              <w:spacing w:after="0" w:line="20" w:lineRule="exact"/>
              <w:rPr>
                <w:sz w:val="1"/>
                <w:szCs w:val="1"/>
                <w:color w:val="auto"/>
              </w:rPr>
            </w:pPr>
          </w:p>
        </w:tc>
        <w:tc>
          <w:tcPr>
            <w:tcW w:w="80" w:type="dxa"/>
            <w:vAlign w:val="bottom"/>
            <w:tcBorders>
              <w:top w:val="single" w:sz="8" w:color="EAF9E8"/>
            </w:tcBorders>
            <w:shd w:val="clear" w:color="auto" w:fill="EAF9E8"/>
          </w:tcPr>
          <w:p>
            <w:pPr>
              <w:spacing w:after="0" w:line="20" w:lineRule="exact"/>
              <w:rPr>
                <w:sz w:val="1"/>
                <w:szCs w:val="1"/>
                <w:color w:val="auto"/>
              </w:rPr>
            </w:pPr>
          </w:p>
        </w:tc>
        <w:tc>
          <w:tcPr>
            <w:tcW w:w="980" w:type="dxa"/>
            <w:vAlign w:val="bottom"/>
            <w:tcBorders>
              <w:top w:val="single" w:sz="8" w:color="EAF9E8"/>
            </w:tcBorders>
            <w:shd w:val="clear" w:color="auto" w:fill="EAF9E8"/>
          </w:tcPr>
          <w:p>
            <w:pPr>
              <w:spacing w:after="0" w:line="20" w:lineRule="exact"/>
              <w:rPr>
                <w:sz w:val="1"/>
                <w:szCs w:val="1"/>
                <w:color w:val="auto"/>
              </w:rPr>
            </w:pPr>
          </w:p>
        </w:tc>
        <w:tc>
          <w:tcPr>
            <w:tcW w:w="20" w:type="dxa"/>
            <w:vAlign w:val="bottom"/>
            <w:tcBorders>
              <w:top w:val="single" w:sz="8" w:color="EAF9E8"/>
            </w:tcBorders>
            <w:shd w:val="clear" w:color="auto" w:fill="EAF9E8"/>
          </w:tcPr>
          <w:p>
            <w:pPr>
              <w:spacing w:after="0" w:line="20" w:lineRule="exact"/>
              <w:rPr>
                <w:sz w:val="1"/>
                <w:szCs w:val="1"/>
                <w:color w:val="auto"/>
              </w:rPr>
            </w:pPr>
          </w:p>
        </w:tc>
        <w:tc>
          <w:tcPr>
            <w:tcW w:w="220" w:type="dxa"/>
            <w:vAlign w:val="bottom"/>
            <w:tcBorders>
              <w:top w:val="single" w:sz="8" w:color="EAF9E8"/>
            </w:tcBorders>
            <w:shd w:val="clear" w:color="auto" w:fill="EAF9E8"/>
          </w:tcPr>
          <w:p>
            <w:pPr>
              <w:spacing w:after="0" w:line="20" w:lineRule="exact"/>
              <w:rPr>
                <w:sz w:val="1"/>
                <w:szCs w:val="1"/>
                <w:color w:val="auto"/>
              </w:rPr>
            </w:pPr>
          </w:p>
        </w:tc>
        <w:tc>
          <w:tcPr>
            <w:tcW w:w="140" w:type="dxa"/>
            <w:vAlign w:val="bottom"/>
            <w:tcBorders>
              <w:top w:val="single" w:sz="8" w:color="EAF9E8"/>
            </w:tcBorders>
            <w:shd w:val="clear" w:color="auto" w:fill="EAF9E8"/>
          </w:tcPr>
          <w:p>
            <w:pPr>
              <w:spacing w:after="0" w:line="20" w:lineRule="exact"/>
              <w:rPr>
                <w:sz w:val="1"/>
                <w:szCs w:val="1"/>
                <w:color w:val="auto"/>
              </w:rPr>
            </w:pPr>
          </w:p>
        </w:tc>
        <w:tc>
          <w:tcPr>
            <w:tcW w:w="960" w:type="dxa"/>
            <w:vAlign w:val="bottom"/>
            <w:tcBorders>
              <w:top w:val="single" w:sz="8" w:color="EAF9E8"/>
            </w:tcBorders>
            <w:shd w:val="clear" w:color="auto" w:fill="EAF9E8"/>
          </w:tcPr>
          <w:p>
            <w:pPr>
              <w:spacing w:after="0" w:line="20" w:lineRule="exact"/>
              <w:rPr>
                <w:sz w:val="1"/>
                <w:szCs w:val="1"/>
                <w:color w:val="auto"/>
              </w:rPr>
            </w:pPr>
          </w:p>
        </w:tc>
        <w:tc>
          <w:tcPr>
            <w:tcW w:w="220" w:type="dxa"/>
            <w:vAlign w:val="bottom"/>
            <w:tcBorders>
              <w:top w:val="single" w:sz="8" w:color="EAF9E8"/>
            </w:tcBorders>
            <w:shd w:val="clear" w:color="auto" w:fill="EAF9E8"/>
          </w:tcPr>
          <w:p>
            <w:pPr>
              <w:spacing w:after="0" w:line="20" w:lineRule="exact"/>
              <w:rPr>
                <w:sz w:val="1"/>
                <w:szCs w:val="1"/>
                <w:color w:val="auto"/>
              </w:rPr>
            </w:pPr>
          </w:p>
        </w:tc>
        <w:tc>
          <w:tcPr>
            <w:tcW w:w="140" w:type="dxa"/>
            <w:vAlign w:val="bottom"/>
            <w:tcBorders>
              <w:top w:val="single" w:sz="8" w:color="EAF9E8"/>
            </w:tcBorders>
            <w:shd w:val="clear" w:color="auto" w:fill="EAF9E8"/>
          </w:tcPr>
          <w:p>
            <w:pPr>
              <w:spacing w:after="0" w:line="20" w:lineRule="exact"/>
              <w:rPr>
                <w:sz w:val="1"/>
                <w:szCs w:val="1"/>
                <w:color w:val="auto"/>
              </w:rPr>
            </w:pPr>
          </w:p>
        </w:tc>
        <w:tc>
          <w:tcPr>
            <w:tcW w:w="1240" w:type="dxa"/>
            <w:vAlign w:val="bottom"/>
            <w:tcBorders>
              <w:top w:val="single" w:sz="8" w:color="EAF9E8"/>
            </w:tcBorders>
            <w:shd w:val="clear" w:color="auto" w:fill="EAF9E8"/>
          </w:tcPr>
          <w:p>
            <w:pPr>
              <w:spacing w:after="0" w:line="20" w:lineRule="exact"/>
              <w:rPr>
                <w:sz w:val="1"/>
                <w:szCs w:val="1"/>
                <w:color w:val="auto"/>
              </w:rPr>
            </w:pPr>
          </w:p>
        </w:tc>
        <w:tc>
          <w:tcPr>
            <w:tcW w:w="120" w:type="dxa"/>
            <w:vAlign w:val="bottom"/>
            <w:tcBorders>
              <w:top w:val="single" w:sz="8" w:color="EAF9E8"/>
            </w:tcBorders>
            <w:shd w:val="clear" w:color="auto" w:fill="EAF9E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vMerge w:val="continue"/>
          </w:tcPr>
          <w:p>
            <w:pPr>
              <w:spacing w:after="0"/>
              <w:rPr>
                <w:sz w:val="18"/>
                <w:szCs w:val="18"/>
                <w:color w:val="auto"/>
              </w:rPr>
            </w:pPr>
          </w:p>
        </w:tc>
        <w:tc>
          <w:tcPr>
            <w:tcW w:w="1360" w:type="dxa"/>
            <w:vAlign w:val="bottom"/>
            <w:gridSpan w:val="3"/>
          </w:tcPr>
          <w:p>
            <w:pPr>
              <w:spacing w:after="0"/>
              <w:rPr>
                <w:sz w:val="20"/>
                <w:szCs w:val="20"/>
                <w:color w:val="auto"/>
              </w:rPr>
            </w:pPr>
            <w:r>
              <w:rPr>
                <w:rFonts w:ascii="Arial" w:cs="Arial" w:eastAsia="Arial" w:hAnsi="Arial"/>
                <w:sz w:val="18"/>
                <w:szCs w:val="18"/>
                <w:color w:val="auto"/>
              </w:rPr>
              <w:t>Advance fee</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700" w:type="dxa"/>
            <w:vAlign w:val="bottom"/>
            <w:gridSpan w:val="2"/>
          </w:tcPr>
          <w:p>
            <w:pPr>
              <w:ind w:left="240"/>
              <w:spacing w:after="0"/>
              <w:rPr>
                <w:sz w:val="20"/>
                <w:szCs w:val="20"/>
                <w:color w:val="auto"/>
              </w:rPr>
            </w:pPr>
            <w:r>
              <w:rPr>
                <w:rFonts w:ascii="Arial" w:cs="Arial" w:eastAsia="Arial" w:hAnsi="Arial"/>
                <w:sz w:val="18"/>
                <w:szCs w:val="18"/>
                <w:color w:val="auto"/>
              </w:rPr>
              <w:t>Term note (3)</w:t>
            </w:r>
          </w:p>
        </w:tc>
        <w:tc>
          <w:tcPr>
            <w:tcW w:w="2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360" w:type="dxa"/>
            <w:vAlign w:val="bottom"/>
            <w:gridSpan w:val="3"/>
          </w:tcPr>
          <w:p>
            <w:pPr>
              <w:ind w:left="140"/>
              <w:spacing w:after="0"/>
              <w:rPr>
                <w:sz w:val="20"/>
                <w:szCs w:val="20"/>
                <w:color w:val="auto"/>
              </w:rPr>
            </w:pPr>
            <w:r>
              <w:rPr>
                <w:rFonts w:ascii="Arial" w:cs="Arial" w:eastAsia="Arial" w:hAnsi="Arial"/>
                <w:sz w:val="18"/>
                <w:szCs w:val="18"/>
                <w:color w:val="auto"/>
                <w:w w:val="99"/>
              </w:rPr>
              <w:t>reimbursement</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80" w:type="dxa"/>
            <w:vAlign w:val="bottom"/>
          </w:tcPr>
          <w:p>
            <w:pPr>
              <w:spacing w:after="0"/>
              <w:rPr>
                <w:sz w:val="20"/>
                <w:szCs w:val="20"/>
                <w:color w:val="auto"/>
              </w:rPr>
            </w:pPr>
            <w:r>
              <w:rPr>
                <w:rFonts w:ascii="Arial" w:cs="Arial" w:eastAsia="Arial" w:hAnsi="Arial"/>
                <w:sz w:val="18"/>
                <w:szCs w:val="18"/>
                <w:color w:val="auto"/>
              </w:rPr>
              <w:t>See (3) below</w:t>
            </w:r>
          </w:p>
        </w:tc>
        <w:tc>
          <w:tcPr>
            <w:tcW w:w="1560" w:type="dxa"/>
            <w:vAlign w:val="bottom"/>
            <w:gridSpan w:val="2"/>
          </w:tcPr>
          <w:p>
            <w:pPr>
              <w:ind w:left="220"/>
              <w:spacing w:after="0"/>
              <w:rPr>
                <w:sz w:val="20"/>
                <w:szCs w:val="20"/>
                <w:color w:val="auto"/>
              </w:rPr>
            </w:pPr>
            <w:r>
              <w:rPr>
                <w:rFonts w:ascii="Arial" w:cs="Arial" w:eastAsia="Arial" w:hAnsi="Arial"/>
                <w:sz w:val="18"/>
                <w:szCs w:val="18"/>
                <w:color w:val="auto"/>
              </w:rPr>
              <w:t>March 2014</w:t>
            </w:r>
          </w:p>
        </w:tc>
        <w:tc>
          <w:tcPr>
            <w:tcW w:w="3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3"/>
          </w:tcPr>
          <w:p>
            <w:pPr>
              <w:ind w:left="8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45,373</w:t>
            </w:r>
          </w:p>
        </w:tc>
        <w:tc>
          <w:tcPr>
            <w:tcW w:w="360" w:type="dxa"/>
            <w:vAlign w:val="bottom"/>
            <w:gridSpan w:val="2"/>
          </w:tcPr>
          <w:p>
            <w:pPr>
              <w:jc w:val="center"/>
              <w:ind w:left="72"/>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60" w:type="dxa"/>
            <w:vAlign w:val="bottom"/>
            <w:gridSpan w:val="3"/>
            <w:shd w:val="clear" w:color="auto" w:fill="EAF9E8"/>
          </w:tcPr>
          <w:p>
            <w:pPr>
              <w:spacing w:after="0"/>
              <w:rPr>
                <w:sz w:val="20"/>
                <w:szCs w:val="20"/>
                <w:color w:val="auto"/>
              </w:rPr>
            </w:pPr>
            <w:r>
              <w:rPr>
                <w:rFonts w:ascii="Arial" w:cs="Arial" w:eastAsia="Arial" w:hAnsi="Arial"/>
                <w:sz w:val="18"/>
                <w:szCs w:val="18"/>
                <w:color w:val="auto"/>
              </w:rPr>
              <w:t>Term note (4)</w:t>
            </w:r>
          </w:p>
        </w:tc>
        <w:tc>
          <w:tcPr>
            <w:tcW w:w="120" w:type="dxa"/>
            <w:vAlign w:val="bottom"/>
            <w:shd w:val="clear" w:color="auto" w:fill="EAF9E8"/>
          </w:tcPr>
          <w:p>
            <w:pPr>
              <w:spacing w:after="0"/>
              <w:rPr>
                <w:sz w:val="18"/>
                <w:szCs w:val="18"/>
                <w:color w:val="auto"/>
              </w:rPr>
            </w:pPr>
          </w:p>
        </w:tc>
        <w:tc>
          <w:tcPr>
            <w:tcW w:w="460" w:type="dxa"/>
            <w:vAlign w:val="bottom"/>
            <w:shd w:val="clear" w:color="auto" w:fill="EAF9E8"/>
          </w:tcPr>
          <w:p>
            <w:pPr>
              <w:spacing w:after="0"/>
              <w:rPr>
                <w:sz w:val="18"/>
                <w:szCs w:val="18"/>
                <w:color w:val="auto"/>
              </w:rPr>
            </w:pPr>
          </w:p>
        </w:tc>
        <w:tc>
          <w:tcPr>
            <w:tcW w:w="1700" w:type="dxa"/>
            <w:vAlign w:val="bottom"/>
            <w:gridSpan w:val="2"/>
            <w:shd w:val="clear" w:color="auto" w:fill="EAF9E8"/>
          </w:tcPr>
          <w:p>
            <w:pPr>
              <w:ind w:left="240"/>
              <w:spacing w:after="0"/>
              <w:rPr>
                <w:sz w:val="20"/>
                <w:szCs w:val="20"/>
                <w:color w:val="auto"/>
              </w:rPr>
            </w:pPr>
            <w:r>
              <w:rPr>
                <w:rFonts w:ascii="Arial" w:cs="Arial" w:eastAsia="Arial" w:hAnsi="Arial"/>
                <w:sz w:val="18"/>
                <w:szCs w:val="18"/>
                <w:color w:val="auto"/>
              </w:rPr>
              <w:t>Advances</w:t>
            </w:r>
          </w:p>
        </w:tc>
        <w:tc>
          <w:tcPr>
            <w:tcW w:w="240" w:type="dxa"/>
            <w:vAlign w:val="bottom"/>
            <w:shd w:val="clear" w:color="auto" w:fill="EAF9E8"/>
          </w:tcPr>
          <w:p>
            <w:pPr>
              <w:spacing w:after="0"/>
              <w:rPr>
                <w:sz w:val="18"/>
                <w:szCs w:val="18"/>
                <w:color w:val="auto"/>
              </w:rPr>
            </w:pPr>
          </w:p>
        </w:tc>
        <w:tc>
          <w:tcPr>
            <w:tcW w:w="1580" w:type="dxa"/>
            <w:vAlign w:val="bottom"/>
            <w:shd w:val="clear" w:color="auto" w:fill="EAF9E8"/>
          </w:tcPr>
          <w:p>
            <w:pPr>
              <w:spacing w:after="0"/>
              <w:rPr>
                <w:sz w:val="20"/>
                <w:szCs w:val="20"/>
                <w:color w:val="auto"/>
              </w:rPr>
            </w:pPr>
            <w:r>
              <w:rPr>
                <w:rFonts w:ascii="Arial" w:cs="Arial" w:eastAsia="Arial" w:hAnsi="Arial"/>
                <w:sz w:val="18"/>
                <w:szCs w:val="18"/>
                <w:color w:val="auto"/>
              </w:rPr>
              <w:t>1-Month LIBOR +</w:t>
            </w:r>
          </w:p>
        </w:tc>
        <w:tc>
          <w:tcPr>
            <w:tcW w:w="220" w:type="dxa"/>
            <w:vAlign w:val="bottom"/>
            <w:shd w:val="clear" w:color="auto" w:fill="EAF9E8"/>
          </w:tcPr>
          <w:p>
            <w:pPr>
              <w:spacing w:after="0"/>
              <w:rPr>
                <w:sz w:val="18"/>
                <w:szCs w:val="18"/>
                <w:color w:val="auto"/>
              </w:rPr>
            </w:pPr>
          </w:p>
        </w:tc>
        <w:tc>
          <w:tcPr>
            <w:tcW w:w="134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98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96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24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00" w:type="dxa"/>
            <w:vAlign w:val="bottom"/>
            <w:shd w:val="clear" w:color="auto" w:fill="EAF9E8"/>
          </w:tcPr>
          <w:p>
            <w:pPr>
              <w:spacing w:after="0"/>
              <w:rPr>
                <w:sz w:val="19"/>
                <w:szCs w:val="19"/>
                <w:color w:val="auto"/>
              </w:rPr>
            </w:pPr>
          </w:p>
        </w:tc>
        <w:tc>
          <w:tcPr>
            <w:tcW w:w="620" w:type="dxa"/>
            <w:vAlign w:val="bottom"/>
            <w:shd w:val="clear" w:color="auto" w:fill="EAF9E8"/>
          </w:tcPr>
          <w:p>
            <w:pPr>
              <w:spacing w:after="0"/>
              <w:rPr>
                <w:sz w:val="19"/>
                <w:szCs w:val="19"/>
                <w:color w:val="auto"/>
              </w:rPr>
            </w:pPr>
          </w:p>
        </w:tc>
        <w:tc>
          <w:tcPr>
            <w:tcW w:w="4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460" w:type="dxa"/>
            <w:vAlign w:val="bottom"/>
            <w:shd w:val="clear" w:color="auto" w:fill="EAF9E8"/>
          </w:tcPr>
          <w:p>
            <w:pPr>
              <w:spacing w:after="0"/>
              <w:rPr>
                <w:sz w:val="19"/>
                <w:szCs w:val="19"/>
                <w:color w:val="auto"/>
              </w:rPr>
            </w:pPr>
          </w:p>
        </w:tc>
        <w:tc>
          <w:tcPr>
            <w:tcW w:w="240" w:type="dxa"/>
            <w:vAlign w:val="bottom"/>
            <w:shd w:val="clear" w:color="auto" w:fill="EAF9E8"/>
          </w:tcPr>
          <w:p>
            <w:pPr>
              <w:spacing w:after="0"/>
              <w:rPr>
                <w:sz w:val="19"/>
                <w:szCs w:val="19"/>
                <w:color w:val="auto"/>
              </w:rPr>
            </w:pPr>
          </w:p>
        </w:tc>
        <w:tc>
          <w:tcPr>
            <w:tcW w:w="1460" w:type="dxa"/>
            <w:vAlign w:val="bottom"/>
            <w:shd w:val="clear" w:color="auto" w:fill="EAF9E8"/>
          </w:tcPr>
          <w:p>
            <w:pPr>
              <w:spacing w:after="0"/>
              <w:rPr>
                <w:sz w:val="19"/>
                <w:szCs w:val="19"/>
                <w:color w:val="auto"/>
              </w:rPr>
            </w:pPr>
          </w:p>
        </w:tc>
        <w:tc>
          <w:tcPr>
            <w:tcW w:w="240" w:type="dxa"/>
            <w:vAlign w:val="bottom"/>
            <w:shd w:val="clear" w:color="auto" w:fill="EAF9E8"/>
          </w:tcPr>
          <w:p>
            <w:pPr>
              <w:spacing w:after="0"/>
              <w:rPr>
                <w:sz w:val="19"/>
                <w:szCs w:val="19"/>
                <w:color w:val="auto"/>
              </w:rPr>
            </w:pPr>
          </w:p>
        </w:tc>
        <w:tc>
          <w:tcPr>
            <w:tcW w:w="1580" w:type="dxa"/>
            <w:vAlign w:val="bottom"/>
            <w:shd w:val="clear" w:color="auto" w:fill="EAF9E8"/>
          </w:tcPr>
          <w:p>
            <w:pPr>
              <w:spacing w:after="0"/>
              <w:rPr>
                <w:sz w:val="20"/>
                <w:szCs w:val="20"/>
                <w:color w:val="auto"/>
              </w:rPr>
            </w:pPr>
            <w:r>
              <w:rPr>
                <w:rFonts w:ascii="Arial" w:cs="Arial" w:eastAsia="Arial" w:hAnsi="Arial"/>
                <w:sz w:val="18"/>
                <w:szCs w:val="18"/>
                <w:color w:val="auto"/>
              </w:rPr>
              <w:t>350 basis points</w:t>
            </w:r>
          </w:p>
        </w:tc>
        <w:tc>
          <w:tcPr>
            <w:tcW w:w="1560" w:type="dxa"/>
            <w:vAlign w:val="bottom"/>
            <w:gridSpan w:val="2"/>
            <w:shd w:val="clear" w:color="auto" w:fill="EAF9E8"/>
          </w:tcPr>
          <w:p>
            <w:pPr>
              <w:ind w:left="220"/>
              <w:spacing w:after="0"/>
              <w:rPr>
                <w:sz w:val="20"/>
                <w:szCs w:val="20"/>
                <w:color w:val="auto"/>
              </w:rPr>
            </w:pPr>
            <w:r>
              <w:rPr>
                <w:rFonts w:ascii="Arial" w:cs="Arial" w:eastAsia="Arial" w:hAnsi="Arial"/>
                <w:sz w:val="18"/>
                <w:szCs w:val="18"/>
                <w:color w:val="auto"/>
              </w:rPr>
              <w:t>March 2014</w:t>
            </w:r>
          </w:p>
        </w:tc>
        <w:tc>
          <w:tcPr>
            <w:tcW w:w="240" w:type="dxa"/>
            <w:vAlign w:val="bottom"/>
            <w:shd w:val="clear" w:color="auto" w:fill="EAF9E8"/>
          </w:tcPr>
          <w:p>
            <w:pPr>
              <w:spacing w:after="0"/>
              <w:rPr>
                <w:sz w:val="19"/>
                <w:szCs w:val="19"/>
                <w:color w:val="auto"/>
              </w:rPr>
            </w:pPr>
          </w:p>
        </w:tc>
        <w:tc>
          <w:tcPr>
            <w:tcW w:w="20" w:type="dxa"/>
            <w:vAlign w:val="bottom"/>
            <w:shd w:val="clear" w:color="auto" w:fill="EAF9E8"/>
          </w:tcPr>
          <w:p>
            <w:pPr>
              <w:spacing w:after="0"/>
              <w:rPr>
                <w:sz w:val="19"/>
                <w:szCs w:val="19"/>
                <w:color w:val="auto"/>
              </w:rPr>
            </w:pPr>
          </w:p>
        </w:tc>
        <w:tc>
          <w:tcPr>
            <w:tcW w:w="80" w:type="dxa"/>
            <w:vAlign w:val="bottom"/>
            <w:shd w:val="clear" w:color="auto" w:fill="EAF9E8"/>
          </w:tcPr>
          <w:p>
            <w:pPr>
              <w:spacing w:after="0"/>
              <w:rPr>
                <w:sz w:val="19"/>
                <w:szCs w:val="19"/>
                <w:color w:val="auto"/>
              </w:rPr>
            </w:pPr>
          </w:p>
        </w:tc>
        <w:tc>
          <w:tcPr>
            <w:tcW w:w="1220" w:type="dxa"/>
            <w:vAlign w:val="bottom"/>
            <w:gridSpan w:val="3"/>
            <w:shd w:val="clear" w:color="auto" w:fill="EAF9E8"/>
          </w:tcPr>
          <w:p>
            <w:pPr>
              <w:ind w:left="820"/>
              <w:spacing w:after="0"/>
              <w:rPr>
                <w:sz w:val="20"/>
                <w:szCs w:val="20"/>
                <w:color w:val="auto"/>
              </w:rPr>
            </w:pPr>
            <w:r>
              <w:rPr>
                <w:rFonts w:ascii="Arial" w:cs="Arial" w:eastAsia="Arial" w:hAnsi="Arial"/>
                <w:sz w:val="18"/>
                <w:szCs w:val="18"/>
                <w:color w:val="auto"/>
              </w:rPr>
              <w:t>—</w:t>
            </w:r>
          </w:p>
        </w:tc>
        <w:tc>
          <w:tcPr>
            <w:tcW w:w="140" w:type="dxa"/>
            <w:vAlign w:val="bottom"/>
            <w:shd w:val="clear" w:color="auto" w:fill="EAF9E8"/>
          </w:tcPr>
          <w:p>
            <w:pPr>
              <w:spacing w:after="0"/>
              <w:rPr>
                <w:sz w:val="19"/>
                <w:szCs w:val="19"/>
                <w:color w:val="auto"/>
              </w:rPr>
            </w:pPr>
          </w:p>
        </w:tc>
        <w:tc>
          <w:tcPr>
            <w:tcW w:w="9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7,000</w:t>
            </w:r>
          </w:p>
        </w:tc>
        <w:tc>
          <w:tcPr>
            <w:tcW w:w="22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12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EAF9E8"/>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700" w:type="dxa"/>
            <w:vAlign w:val="bottom"/>
            <w:gridSpan w:val="2"/>
          </w:tcPr>
          <w:p>
            <w:pPr>
              <w:ind w:left="240"/>
              <w:spacing w:after="0"/>
              <w:rPr>
                <w:sz w:val="20"/>
                <w:szCs w:val="20"/>
                <w:color w:val="auto"/>
              </w:rPr>
            </w:pPr>
            <w:r>
              <w:rPr>
                <w:rFonts w:ascii="Arial" w:cs="Arial" w:eastAsia="Arial" w:hAnsi="Arial"/>
                <w:sz w:val="18"/>
                <w:szCs w:val="18"/>
                <w:color w:val="auto"/>
              </w:rPr>
              <w:t>MSRs</w:t>
            </w:r>
          </w:p>
        </w:tc>
        <w:tc>
          <w:tcPr>
            <w:tcW w:w="240" w:type="dxa"/>
            <w:vAlign w:val="bottom"/>
          </w:tcPr>
          <w:p>
            <w:pPr>
              <w:spacing w:after="0"/>
              <w:rPr>
                <w:sz w:val="18"/>
                <w:szCs w:val="18"/>
                <w:color w:val="auto"/>
              </w:rPr>
            </w:pPr>
          </w:p>
        </w:tc>
        <w:tc>
          <w:tcPr>
            <w:tcW w:w="1580" w:type="dxa"/>
            <w:vAlign w:val="bottom"/>
          </w:tcPr>
          <w:p>
            <w:pPr>
              <w:spacing w:after="0"/>
              <w:rPr>
                <w:sz w:val="20"/>
                <w:szCs w:val="20"/>
                <w:color w:val="auto"/>
              </w:rPr>
            </w:pPr>
            <w:r>
              <w:rPr>
                <w:rFonts w:ascii="Arial" w:cs="Arial" w:eastAsia="Arial" w:hAnsi="Arial"/>
                <w:sz w:val="18"/>
                <w:szCs w:val="18"/>
                <w:color w:val="auto"/>
              </w:rPr>
              <w:t>1-Month LIBOR</w:t>
            </w: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gridSpan w:val="8"/>
          </w:tcPr>
          <w:p>
            <w:pPr>
              <w:spacing w:after="0"/>
              <w:rPr>
                <w:sz w:val="20"/>
                <w:szCs w:val="20"/>
                <w:color w:val="auto"/>
              </w:rPr>
            </w:pPr>
            <w:r>
              <w:rPr>
                <w:rFonts w:ascii="Arial" w:cs="Arial" w:eastAsia="Arial" w:hAnsi="Arial"/>
                <w:sz w:val="18"/>
                <w:szCs w:val="18"/>
                <w:color w:val="auto"/>
              </w:rPr>
              <w:t>Senior secured credit</w:t>
            </w:r>
          </w:p>
        </w:tc>
        <w:tc>
          <w:tcPr>
            <w:tcW w:w="240" w:type="dxa"/>
            <w:vAlign w:val="bottom"/>
          </w:tcPr>
          <w:p>
            <w:pPr>
              <w:spacing w:after="0"/>
              <w:rPr>
                <w:sz w:val="18"/>
                <w:szCs w:val="18"/>
                <w:color w:val="auto"/>
              </w:rPr>
            </w:pPr>
          </w:p>
        </w:tc>
        <w:tc>
          <w:tcPr>
            <w:tcW w:w="1580" w:type="dxa"/>
            <w:vAlign w:val="bottom"/>
          </w:tcPr>
          <w:p>
            <w:pPr>
              <w:spacing w:after="0"/>
              <w:rPr>
                <w:sz w:val="20"/>
                <w:szCs w:val="20"/>
                <w:color w:val="auto"/>
              </w:rPr>
            </w:pPr>
            <w:r>
              <w:rPr>
                <w:rFonts w:ascii="Arial" w:cs="Arial" w:eastAsia="Arial" w:hAnsi="Arial"/>
                <w:sz w:val="18"/>
                <w:szCs w:val="18"/>
                <w:color w:val="auto"/>
              </w:rPr>
              <w:t>+187.5 basis points</w:t>
            </w: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40" w:type="dxa"/>
            <w:vAlign w:val="bottom"/>
            <w:gridSpan w:val="7"/>
          </w:tcPr>
          <w:p>
            <w:pPr>
              <w:ind w:left="140"/>
              <w:spacing w:after="0"/>
              <w:rPr>
                <w:sz w:val="20"/>
                <w:szCs w:val="20"/>
                <w:color w:val="auto"/>
              </w:rPr>
            </w:pPr>
            <w:r>
              <w:rPr>
                <w:rFonts w:ascii="Arial" w:cs="Arial" w:eastAsia="Arial" w:hAnsi="Arial"/>
                <w:sz w:val="18"/>
                <w:szCs w:val="18"/>
                <w:color w:val="auto"/>
              </w:rPr>
              <w:t>agreement - Term note</w:t>
            </w:r>
          </w:p>
        </w:tc>
        <w:tc>
          <w:tcPr>
            <w:tcW w:w="1820" w:type="dxa"/>
            <w:vAlign w:val="bottom"/>
            <w:gridSpan w:val="2"/>
          </w:tcPr>
          <w:p>
            <w:pPr>
              <w:ind w:left="240"/>
              <w:spacing w:after="0"/>
              <w:rPr>
                <w:sz w:val="20"/>
                <w:szCs w:val="20"/>
                <w:color w:val="auto"/>
              </w:rPr>
            </w:pPr>
            <w:r>
              <w:rPr>
                <w:rFonts w:ascii="Arial" w:cs="Arial" w:eastAsia="Arial" w:hAnsi="Arial"/>
                <w:sz w:val="18"/>
                <w:szCs w:val="18"/>
                <w:color w:val="auto"/>
              </w:rPr>
              <w:t>(5)</w:t>
            </w:r>
          </w:p>
        </w:tc>
        <w:tc>
          <w:tcPr>
            <w:tcW w:w="1560" w:type="dxa"/>
            <w:vAlign w:val="bottom"/>
            <w:gridSpan w:val="2"/>
          </w:tcPr>
          <w:p>
            <w:pPr>
              <w:ind w:left="220"/>
              <w:spacing w:after="0"/>
              <w:rPr>
                <w:sz w:val="20"/>
                <w:szCs w:val="20"/>
                <w:color w:val="auto"/>
              </w:rPr>
            </w:pPr>
            <w:r>
              <w:rPr>
                <w:rFonts w:ascii="Arial" w:cs="Arial" w:eastAsia="Arial" w:hAnsi="Arial"/>
                <w:sz w:val="18"/>
                <w:szCs w:val="18"/>
                <w:color w:val="auto"/>
              </w:rPr>
              <w:t>February 2010</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gridSpan w:val="3"/>
          </w:tcPr>
          <w:p>
            <w:pPr>
              <w:ind w:left="8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76,990</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97,987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20" w:type="dxa"/>
            <w:vAlign w:val="bottom"/>
            <w:gridSpan w:val="3"/>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0" w:type="dxa"/>
            <w:vAlign w:val="bottom"/>
            <w:shd w:val="clear" w:color="auto" w:fill="EAF9E8"/>
          </w:tcPr>
          <w:p>
            <w:pPr>
              <w:spacing w:after="0"/>
              <w:rPr>
                <w:sz w:val="18"/>
                <w:szCs w:val="18"/>
                <w:color w:val="auto"/>
              </w:rPr>
            </w:pPr>
          </w:p>
        </w:tc>
        <w:tc>
          <w:tcPr>
            <w:tcW w:w="620" w:type="dxa"/>
            <w:vAlign w:val="bottom"/>
            <w:shd w:val="clear" w:color="auto" w:fill="EAF9E8"/>
          </w:tcPr>
          <w:p>
            <w:pPr>
              <w:spacing w:after="0"/>
              <w:rPr>
                <w:sz w:val="18"/>
                <w:szCs w:val="18"/>
                <w:color w:val="auto"/>
              </w:rPr>
            </w:pPr>
          </w:p>
        </w:tc>
        <w:tc>
          <w:tcPr>
            <w:tcW w:w="4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46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146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158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34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80" w:type="dxa"/>
            <w:vAlign w:val="bottom"/>
            <w:tcBorders>
              <w:top w:val="single" w:sz="8" w:color="auto"/>
            </w:tcBorders>
            <w:shd w:val="clear" w:color="auto" w:fill="EAF9E8"/>
          </w:tcPr>
          <w:p>
            <w:pPr>
              <w:spacing w:after="0"/>
              <w:rPr>
                <w:sz w:val="18"/>
                <w:szCs w:val="18"/>
                <w:color w:val="auto"/>
              </w:rPr>
            </w:pPr>
          </w:p>
        </w:tc>
        <w:tc>
          <w:tcPr>
            <w:tcW w:w="1000" w:type="dxa"/>
            <w:vAlign w:val="bottom"/>
            <w:tcBorders>
              <w:top w:val="single" w:sz="8" w:color="auto"/>
            </w:tcBorders>
            <w:gridSpan w:val="2"/>
            <w:shd w:val="clear" w:color="auto" w:fill="EAF9E8"/>
          </w:tcPr>
          <w:p>
            <w:pPr>
              <w:ind w:left="820"/>
              <w:spacing w:after="0"/>
              <w:rPr>
                <w:sz w:val="20"/>
                <w:szCs w:val="20"/>
                <w:color w:val="auto"/>
              </w:rPr>
            </w:pPr>
            <w:r>
              <w:rPr>
                <w:rFonts w:ascii="Arial" w:cs="Arial" w:eastAsia="Arial" w:hAnsi="Arial"/>
                <w:sz w:val="18"/>
                <w:szCs w:val="18"/>
                <w:color w:val="auto"/>
                <w:w w:val="88"/>
              </w:rPr>
              <w:t>—</w:t>
            </w:r>
          </w:p>
        </w:tc>
        <w:tc>
          <w:tcPr>
            <w:tcW w:w="220" w:type="dxa"/>
            <w:vAlign w:val="bottom"/>
            <w:shd w:val="clear" w:color="auto" w:fill="EAF9E8"/>
          </w:tcPr>
          <w:p>
            <w:pPr>
              <w:spacing w:after="0"/>
              <w:rPr>
                <w:sz w:val="18"/>
                <w:szCs w:val="18"/>
                <w:color w:val="auto"/>
              </w:rPr>
            </w:pPr>
          </w:p>
        </w:tc>
        <w:tc>
          <w:tcPr>
            <w:tcW w:w="140" w:type="dxa"/>
            <w:vAlign w:val="bottom"/>
            <w:tcBorders>
              <w:top w:val="single" w:sz="8" w:color="auto"/>
            </w:tcBorders>
            <w:shd w:val="clear" w:color="auto" w:fill="EAF9E8"/>
          </w:tcPr>
          <w:p>
            <w:pPr>
              <w:spacing w:after="0"/>
              <w:rPr>
                <w:sz w:val="18"/>
                <w:szCs w:val="18"/>
                <w:color w:val="auto"/>
              </w:rPr>
            </w:pPr>
          </w:p>
        </w:tc>
        <w:tc>
          <w:tcPr>
            <w:tcW w:w="96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129,363</w:t>
            </w:r>
          </w:p>
        </w:tc>
        <w:tc>
          <w:tcPr>
            <w:tcW w:w="220" w:type="dxa"/>
            <w:vAlign w:val="bottom"/>
            <w:shd w:val="clear" w:color="auto" w:fill="EAF9E8"/>
          </w:tcPr>
          <w:p>
            <w:pPr>
              <w:spacing w:after="0"/>
              <w:rPr>
                <w:sz w:val="18"/>
                <w:szCs w:val="18"/>
                <w:color w:val="auto"/>
              </w:rPr>
            </w:pPr>
          </w:p>
        </w:tc>
        <w:tc>
          <w:tcPr>
            <w:tcW w:w="140" w:type="dxa"/>
            <w:vAlign w:val="bottom"/>
            <w:tcBorders>
              <w:top w:val="single" w:sz="8" w:color="auto"/>
            </w:tcBorders>
            <w:shd w:val="clear" w:color="auto" w:fill="EAF9E8"/>
          </w:tcPr>
          <w:p>
            <w:pPr>
              <w:spacing w:after="0"/>
              <w:rPr>
                <w:sz w:val="18"/>
                <w:szCs w:val="18"/>
                <w:color w:val="auto"/>
              </w:rPr>
            </w:pPr>
          </w:p>
        </w:tc>
        <w:tc>
          <w:tcPr>
            <w:tcW w:w="124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97,987</w:t>
            </w:r>
          </w:p>
        </w:tc>
        <w:tc>
          <w:tcPr>
            <w:tcW w:w="12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660" w:type="dxa"/>
            <w:vAlign w:val="bottom"/>
            <w:gridSpan w:val="8"/>
            <w:vMerge w:val="restart"/>
          </w:tcPr>
          <w:p>
            <w:pPr>
              <w:spacing w:after="0"/>
              <w:rPr>
                <w:sz w:val="20"/>
                <w:szCs w:val="20"/>
                <w:color w:val="auto"/>
              </w:rPr>
            </w:pPr>
            <w:r>
              <w:rPr>
                <w:rFonts w:ascii="Arial" w:cs="Arial" w:eastAsia="Arial" w:hAnsi="Arial"/>
                <w:sz w:val="18"/>
                <w:szCs w:val="18"/>
                <w:color w:val="auto"/>
              </w:rPr>
              <w:t>Loans and Residuals:</w:t>
            </w:r>
          </w:p>
        </w:tc>
        <w:tc>
          <w:tcPr>
            <w:tcW w:w="24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18"/>
        </w:trPr>
        <w:tc>
          <w:tcPr>
            <w:tcW w:w="3660" w:type="dxa"/>
            <w:vAlign w:val="bottom"/>
            <w:gridSpan w:val="8"/>
            <w:vMerge w:val="continue"/>
          </w:tcPr>
          <w:p>
            <w:pPr>
              <w:spacing w:after="0"/>
              <w:rPr>
                <w:sz w:val="24"/>
                <w:szCs w:val="24"/>
                <w:color w:val="auto"/>
              </w:rPr>
            </w:pPr>
          </w:p>
        </w:tc>
        <w:tc>
          <w:tcPr>
            <w:tcW w:w="2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6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vMerge w:val="continue"/>
          </w:tcPr>
          <w:p>
            <w:pPr>
              <w:spacing w:after="0"/>
              <w:rPr>
                <w:sz w:val="18"/>
                <w:szCs w:val="18"/>
                <w:color w:val="auto"/>
              </w:rPr>
            </w:pPr>
          </w:p>
        </w:tc>
        <w:tc>
          <w:tcPr>
            <w:tcW w:w="1360" w:type="dxa"/>
            <w:vAlign w:val="bottom"/>
            <w:gridSpan w:val="3"/>
            <w:shd w:val="clear" w:color="auto" w:fill="EAF9E8"/>
          </w:tcPr>
          <w:p>
            <w:pPr>
              <w:spacing w:after="0"/>
              <w:rPr>
                <w:sz w:val="20"/>
                <w:szCs w:val="20"/>
                <w:color w:val="auto"/>
              </w:rPr>
            </w:pPr>
            <w:r>
              <w:rPr>
                <w:rFonts w:ascii="Arial" w:cs="Arial" w:eastAsia="Arial" w:hAnsi="Arial"/>
                <w:sz w:val="18"/>
                <w:szCs w:val="18"/>
                <w:color w:val="auto"/>
                <w:w w:val="86"/>
              </w:rPr>
              <w:t>Class A-1 notes (6)</w:t>
            </w:r>
          </w:p>
        </w:tc>
        <w:tc>
          <w:tcPr>
            <w:tcW w:w="120" w:type="dxa"/>
            <w:vAlign w:val="bottom"/>
            <w:shd w:val="clear" w:color="auto" w:fill="EAF9E8"/>
          </w:tcPr>
          <w:p>
            <w:pPr>
              <w:spacing w:after="0"/>
              <w:rPr>
                <w:sz w:val="18"/>
                <w:szCs w:val="18"/>
                <w:color w:val="auto"/>
              </w:rPr>
            </w:pPr>
          </w:p>
        </w:tc>
        <w:tc>
          <w:tcPr>
            <w:tcW w:w="460" w:type="dxa"/>
            <w:vAlign w:val="bottom"/>
            <w:shd w:val="clear" w:color="auto" w:fill="EAF9E8"/>
          </w:tcPr>
          <w:p>
            <w:pPr>
              <w:spacing w:after="0"/>
              <w:rPr>
                <w:sz w:val="18"/>
                <w:szCs w:val="18"/>
                <w:color w:val="auto"/>
              </w:rPr>
            </w:pPr>
          </w:p>
        </w:tc>
        <w:tc>
          <w:tcPr>
            <w:tcW w:w="1700" w:type="dxa"/>
            <w:vAlign w:val="bottom"/>
            <w:gridSpan w:val="2"/>
            <w:shd w:val="clear" w:color="auto" w:fill="EAF9E8"/>
          </w:tcPr>
          <w:p>
            <w:pPr>
              <w:ind w:left="240"/>
              <w:spacing w:after="0"/>
              <w:rPr>
                <w:sz w:val="20"/>
                <w:szCs w:val="20"/>
                <w:color w:val="auto"/>
              </w:rPr>
            </w:pPr>
            <w:r>
              <w:rPr>
                <w:rFonts w:ascii="Arial" w:cs="Arial" w:eastAsia="Arial" w:hAnsi="Arial"/>
                <w:sz w:val="18"/>
                <w:szCs w:val="18"/>
                <w:color w:val="auto"/>
              </w:rPr>
              <w:t>Loans held for</w:t>
            </w:r>
          </w:p>
        </w:tc>
        <w:tc>
          <w:tcPr>
            <w:tcW w:w="240" w:type="dxa"/>
            <w:vAlign w:val="bottom"/>
            <w:shd w:val="clear" w:color="auto" w:fill="EAF9E8"/>
          </w:tcPr>
          <w:p>
            <w:pPr>
              <w:spacing w:after="0"/>
              <w:rPr>
                <w:sz w:val="18"/>
                <w:szCs w:val="18"/>
                <w:color w:val="auto"/>
              </w:rPr>
            </w:pPr>
          </w:p>
        </w:tc>
        <w:tc>
          <w:tcPr>
            <w:tcW w:w="1580" w:type="dxa"/>
            <w:vAlign w:val="bottom"/>
            <w:shd w:val="clear" w:color="auto" w:fill="EAF9E8"/>
          </w:tcPr>
          <w:p>
            <w:pPr>
              <w:spacing w:after="0"/>
              <w:rPr>
                <w:sz w:val="20"/>
                <w:szCs w:val="20"/>
                <w:color w:val="auto"/>
              </w:rPr>
            </w:pPr>
            <w:r>
              <w:rPr>
                <w:rFonts w:ascii="Arial" w:cs="Arial" w:eastAsia="Arial" w:hAnsi="Arial"/>
                <w:sz w:val="18"/>
                <w:szCs w:val="18"/>
                <w:color w:val="auto"/>
              </w:rPr>
              <w:t>1-Month LIBOR +</w:t>
            </w:r>
          </w:p>
        </w:tc>
        <w:tc>
          <w:tcPr>
            <w:tcW w:w="220" w:type="dxa"/>
            <w:vAlign w:val="bottom"/>
            <w:shd w:val="clear" w:color="auto" w:fill="EAF9E8"/>
          </w:tcPr>
          <w:p>
            <w:pPr>
              <w:spacing w:after="0"/>
              <w:rPr>
                <w:sz w:val="18"/>
                <w:szCs w:val="18"/>
                <w:color w:val="auto"/>
              </w:rPr>
            </w:pPr>
          </w:p>
        </w:tc>
        <w:tc>
          <w:tcPr>
            <w:tcW w:w="134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98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96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24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00" w:type="dxa"/>
            <w:vAlign w:val="bottom"/>
            <w:shd w:val="clear" w:color="auto" w:fill="EAF9E8"/>
          </w:tcPr>
          <w:p>
            <w:pPr>
              <w:spacing w:after="0"/>
              <w:rPr>
                <w:sz w:val="19"/>
                <w:szCs w:val="19"/>
                <w:color w:val="auto"/>
              </w:rPr>
            </w:pPr>
          </w:p>
        </w:tc>
        <w:tc>
          <w:tcPr>
            <w:tcW w:w="620" w:type="dxa"/>
            <w:vAlign w:val="bottom"/>
            <w:shd w:val="clear" w:color="auto" w:fill="EAF9E8"/>
          </w:tcPr>
          <w:p>
            <w:pPr>
              <w:spacing w:after="0"/>
              <w:rPr>
                <w:sz w:val="19"/>
                <w:szCs w:val="19"/>
                <w:color w:val="auto"/>
              </w:rPr>
            </w:pPr>
          </w:p>
        </w:tc>
        <w:tc>
          <w:tcPr>
            <w:tcW w:w="4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460" w:type="dxa"/>
            <w:vAlign w:val="bottom"/>
            <w:shd w:val="clear" w:color="auto" w:fill="EAF9E8"/>
          </w:tcPr>
          <w:p>
            <w:pPr>
              <w:spacing w:after="0"/>
              <w:rPr>
                <w:sz w:val="19"/>
                <w:szCs w:val="19"/>
                <w:color w:val="auto"/>
              </w:rPr>
            </w:pPr>
          </w:p>
        </w:tc>
        <w:tc>
          <w:tcPr>
            <w:tcW w:w="1700" w:type="dxa"/>
            <w:vAlign w:val="bottom"/>
            <w:gridSpan w:val="2"/>
            <w:shd w:val="clear" w:color="auto" w:fill="EAF9E8"/>
          </w:tcPr>
          <w:p>
            <w:pPr>
              <w:ind w:left="240"/>
              <w:spacing w:after="0"/>
              <w:rPr>
                <w:sz w:val="20"/>
                <w:szCs w:val="20"/>
                <w:color w:val="auto"/>
              </w:rPr>
            </w:pPr>
            <w:r>
              <w:rPr>
                <w:rFonts w:ascii="Arial" w:cs="Arial" w:eastAsia="Arial" w:hAnsi="Arial"/>
                <w:sz w:val="18"/>
                <w:szCs w:val="18"/>
                <w:color w:val="auto"/>
                <w:w w:val="83"/>
              </w:rPr>
              <w:t>resale and real estate</w:t>
            </w:r>
          </w:p>
        </w:tc>
        <w:tc>
          <w:tcPr>
            <w:tcW w:w="240" w:type="dxa"/>
            <w:vAlign w:val="bottom"/>
            <w:shd w:val="clear" w:color="auto" w:fill="EAF9E8"/>
          </w:tcPr>
          <w:p>
            <w:pPr>
              <w:spacing w:after="0"/>
              <w:rPr>
                <w:sz w:val="19"/>
                <w:szCs w:val="19"/>
                <w:color w:val="auto"/>
              </w:rPr>
            </w:pPr>
          </w:p>
        </w:tc>
        <w:tc>
          <w:tcPr>
            <w:tcW w:w="1580" w:type="dxa"/>
            <w:vAlign w:val="bottom"/>
            <w:shd w:val="clear" w:color="auto" w:fill="EAF9E8"/>
          </w:tcPr>
          <w:p>
            <w:pPr>
              <w:spacing w:after="0"/>
              <w:rPr>
                <w:sz w:val="20"/>
                <w:szCs w:val="20"/>
                <w:color w:val="auto"/>
              </w:rPr>
            </w:pPr>
            <w:r>
              <w:rPr>
                <w:rFonts w:ascii="Arial" w:cs="Arial" w:eastAsia="Arial" w:hAnsi="Arial"/>
                <w:sz w:val="18"/>
                <w:szCs w:val="18"/>
                <w:color w:val="auto"/>
              </w:rPr>
              <w:t>600 basis points</w:t>
            </w:r>
          </w:p>
        </w:tc>
        <w:tc>
          <w:tcPr>
            <w:tcW w:w="1560" w:type="dxa"/>
            <w:vAlign w:val="bottom"/>
            <w:gridSpan w:val="2"/>
            <w:shd w:val="clear" w:color="auto" w:fill="EAF9E8"/>
          </w:tcPr>
          <w:p>
            <w:pPr>
              <w:ind w:left="220"/>
              <w:spacing w:after="0"/>
              <w:rPr>
                <w:sz w:val="20"/>
                <w:szCs w:val="20"/>
                <w:color w:val="auto"/>
              </w:rPr>
            </w:pPr>
            <w:r>
              <w:rPr>
                <w:rFonts w:ascii="Arial" w:cs="Arial" w:eastAsia="Arial" w:hAnsi="Arial"/>
                <w:sz w:val="18"/>
                <w:szCs w:val="18"/>
                <w:color w:val="auto"/>
              </w:rPr>
              <w:t>April 2037</w:t>
            </w:r>
          </w:p>
        </w:tc>
        <w:tc>
          <w:tcPr>
            <w:tcW w:w="240" w:type="dxa"/>
            <w:vAlign w:val="bottom"/>
            <w:shd w:val="clear" w:color="auto" w:fill="EAF9E8"/>
          </w:tcPr>
          <w:p>
            <w:pPr>
              <w:spacing w:after="0"/>
              <w:rPr>
                <w:sz w:val="19"/>
                <w:szCs w:val="19"/>
                <w:color w:val="auto"/>
              </w:rPr>
            </w:pPr>
          </w:p>
        </w:tc>
        <w:tc>
          <w:tcPr>
            <w:tcW w:w="20" w:type="dxa"/>
            <w:vAlign w:val="bottom"/>
            <w:shd w:val="clear" w:color="auto" w:fill="EAF9E8"/>
          </w:tcPr>
          <w:p>
            <w:pPr>
              <w:spacing w:after="0"/>
              <w:rPr>
                <w:sz w:val="19"/>
                <w:szCs w:val="19"/>
                <w:color w:val="auto"/>
              </w:rPr>
            </w:pPr>
          </w:p>
        </w:tc>
        <w:tc>
          <w:tcPr>
            <w:tcW w:w="80" w:type="dxa"/>
            <w:vAlign w:val="bottom"/>
            <w:shd w:val="clear" w:color="auto" w:fill="EAF9E8"/>
          </w:tcPr>
          <w:p>
            <w:pPr>
              <w:spacing w:after="0"/>
              <w:rPr>
                <w:sz w:val="19"/>
                <w:szCs w:val="19"/>
                <w:color w:val="auto"/>
              </w:rPr>
            </w:pPr>
          </w:p>
        </w:tc>
        <w:tc>
          <w:tcPr>
            <w:tcW w:w="1220" w:type="dxa"/>
            <w:vAlign w:val="bottom"/>
            <w:gridSpan w:val="3"/>
            <w:shd w:val="clear" w:color="auto" w:fill="EAF9E8"/>
          </w:tcPr>
          <w:p>
            <w:pPr>
              <w:ind w:left="820"/>
              <w:spacing w:after="0"/>
              <w:rPr>
                <w:sz w:val="20"/>
                <w:szCs w:val="20"/>
                <w:color w:val="auto"/>
              </w:rPr>
            </w:pPr>
            <w:r>
              <w:rPr>
                <w:rFonts w:ascii="Arial" w:cs="Arial" w:eastAsia="Arial" w:hAnsi="Arial"/>
                <w:sz w:val="18"/>
                <w:szCs w:val="18"/>
                <w:color w:val="auto"/>
              </w:rPr>
              <w:t>—</w:t>
            </w:r>
          </w:p>
        </w:tc>
        <w:tc>
          <w:tcPr>
            <w:tcW w:w="140" w:type="dxa"/>
            <w:vAlign w:val="bottom"/>
            <w:shd w:val="clear" w:color="auto" w:fill="EAF9E8"/>
          </w:tcPr>
          <w:p>
            <w:pPr>
              <w:spacing w:after="0"/>
              <w:rPr>
                <w:sz w:val="19"/>
                <w:szCs w:val="19"/>
                <w:color w:val="auto"/>
              </w:rPr>
            </w:pPr>
          </w:p>
        </w:tc>
        <w:tc>
          <w:tcPr>
            <w:tcW w:w="9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14,702</w:t>
            </w:r>
          </w:p>
        </w:tc>
        <w:tc>
          <w:tcPr>
            <w:tcW w:w="22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12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17,760</w:t>
            </w:r>
          </w:p>
        </w:tc>
        <w:tc>
          <w:tcPr>
            <w:tcW w:w="120" w:type="dxa"/>
            <w:vAlign w:val="bottom"/>
            <w:shd w:val="clear" w:color="auto" w:fill="EAF9E8"/>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380" w:type="dxa"/>
            <w:vAlign w:val="bottom"/>
            <w:gridSpan w:val="4"/>
            <w:vMerge w:val="restart"/>
          </w:tcPr>
          <w:p>
            <w:pPr>
              <w:spacing w:after="0"/>
              <w:rPr>
                <w:sz w:val="20"/>
                <w:szCs w:val="20"/>
                <w:color w:val="auto"/>
              </w:rPr>
            </w:pPr>
            <w:r>
              <w:rPr>
                <w:rFonts w:ascii="Arial" w:cs="Arial" w:eastAsia="Arial" w:hAnsi="Arial"/>
                <w:sz w:val="18"/>
                <w:szCs w:val="18"/>
                <w:color w:val="auto"/>
                <w:w w:val="90"/>
              </w:rPr>
              <w:t>Financial Services:</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18"/>
        </w:trPr>
        <w:tc>
          <w:tcPr>
            <w:tcW w:w="1380" w:type="dxa"/>
            <w:vAlign w:val="bottom"/>
            <w:gridSpan w:val="4"/>
            <w:vMerge w:val="continue"/>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6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vMerge w:val="continue"/>
          </w:tcPr>
          <w:p>
            <w:pPr>
              <w:spacing w:after="0"/>
              <w:rPr>
                <w:sz w:val="18"/>
                <w:szCs w:val="18"/>
                <w:color w:val="auto"/>
              </w:rPr>
            </w:pPr>
          </w:p>
        </w:tc>
        <w:tc>
          <w:tcPr>
            <w:tcW w:w="1360" w:type="dxa"/>
            <w:vAlign w:val="bottom"/>
            <w:gridSpan w:val="3"/>
            <w:shd w:val="clear" w:color="auto" w:fill="EAF9E8"/>
          </w:tcPr>
          <w:p>
            <w:pPr>
              <w:spacing w:after="0"/>
              <w:rPr>
                <w:sz w:val="20"/>
                <w:szCs w:val="20"/>
                <w:color w:val="auto"/>
              </w:rPr>
            </w:pPr>
            <w:r>
              <w:rPr>
                <w:rFonts w:ascii="Arial" w:cs="Arial" w:eastAsia="Arial" w:hAnsi="Arial"/>
                <w:sz w:val="18"/>
                <w:szCs w:val="18"/>
                <w:color w:val="auto"/>
                <w:w w:val="91"/>
              </w:rPr>
              <w:t>Revolving note (7)</w:t>
            </w:r>
          </w:p>
        </w:tc>
        <w:tc>
          <w:tcPr>
            <w:tcW w:w="120" w:type="dxa"/>
            <w:vAlign w:val="bottom"/>
            <w:shd w:val="clear" w:color="auto" w:fill="EAF9E8"/>
          </w:tcPr>
          <w:p>
            <w:pPr>
              <w:spacing w:after="0"/>
              <w:rPr>
                <w:sz w:val="18"/>
                <w:szCs w:val="18"/>
                <w:color w:val="auto"/>
              </w:rPr>
            </w:pPr>
          </w:p>
        </w:tc>
        <w:tc>
          <w:tcPr>
            <w:tcW w:w="460" w:type="dxa"/>
            <w:vAlign w:val="bottom"/>
            <w:shd w:val="clear" w:color="auto" w:fill="EAF9E8"/>
          </w:tcPr>
          <w:p>
            <w:pPr>
              <w:spacing w:after="0"/>
              <w:rPr>
                <w:sz w:val="18"/>
                <w:szCs w:val="18"/>
                <w:color w:val="auto"/>
              </w:rPr>
            </w:pPr>
          </w:p>
        </w:tc>
        <w:tc>
          <w:tcPr>
            <w:tcW w:w="1700" w:type="dxa"/>
            <w:vAlign w:val="bottom"/>
            <w:gridSpan w:val="2"/>
            <w:shd w:val="clear" w:color="auto" w:fill="EAF9E8"/>
          </w:tcPr>
          <w:p>
            <w:pPr>
              <w:ind w:left="240"/>
              <w:spacing w:after="0"/>
              <w:rPr>
                <w:sz w:val="20"/>
                <w:szCs w:val="20"/>
                <w:color w:val="auto"/>
              </w:rPr>
            </w:pPr>
            <w:r>
              <w:rPr>
                <w:rFonts w:ascii="Arial" w:cs="Arial" w:eastAsia="Arial" w:hAnsi="Arial"/>
                <w:sz w:val="18"/>
                <w:szCs w:val="18"/>
                <w:color w:val="auto"/>
              </w:rPr>
              <w:t>Receivables</w:t>
            </w:r>
          </w:p>
        </w:tc>
        <w:tc>
          <w:tcPr>
            <w:tcW w:w="240" w:type="dxa"/>
            <w:vAlign w:val="bottom"/>
            <w:shd w:val="clear" w:color="auto" w:fill="EAF9E8"/>
          </w:tcPr>
          <w:p>
            <w:pPr>
              <w:spacing w:after="0"/>
              <w:rPr>
                <w:sz w:val="18"/>
                <w:szCs w:val="18"/>
                <w:color w:val="auto"/>
              </w:rPr>
            </w:pPr>
          </w:p>
        </w:tc>
        <w:tc>
          <w:tcPr>
            <w:tcW w:w="1580" w:type="dxa"/>
            <w:vAlign w:val="bottom"/>
            <w:shd w:val="clear" w:color="auto" w:fill="EAF9E8"/>
          </w:tcPr>
          <w:p>
            <w:pPr>
              <w:spacing w:after="0"/>
              <w:rPr>
                <w:sz w:val="20"/>
                <w:szCs w:val="20"/>
                <w:color w:val="auto"/>
              </w:rPr>
            </w:pPr>
            <w:r>
              <w:rPr>
                <w:rFonts w:ascii="Arial" w:cs="Arial" w:eastAsia="Arial" w:hAnsi="Arial"/>
                <w:sz w:val="18"/>
                <w:szCs w:val="18"/>
                <w:color w:val="auto"/>
              </w:rPr>
              <w:t>1, 3, 6 or 12-Month</w:t>
            </w:r>
          </w:p>
        </w:tc>
        <w:tc>
          <w:tcPr>
            <w:tcW w:w="220" w:type="dxa"/>
            <w:vAlign w:val="bottom"/>
            <w:shd w:val="clear" w:color="auto" w:fill="EAF9E8"/>
          </w:tcPr>
          <w:p>
            <w:pPr>
              <w:spacing w:after="0"/>
              <w:rPr>
                <w:sz w:val="18"/>
                <w:szCs w:val="18"/>
                <w:color w:val="auto"/>
              </w:rPr>
            </w:pPr>
          </w:p>
        </w:tc>
        <w:tc>
          <w:tcPr>
            <w:tcW w:w="134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98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96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24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EAF9E8"/>
          </w:tcPr>
          <w:p>
            <w:pPr>
              <w:spacing w:after="0"/>
              <w:rPr>
                <w:sz w:val="18"/>
                <w:szCs w:val="18"/>
                <w:color w:val="auto"/>
              </w:rPr>
            </w:pPr>
          </w:p>
        </w:tc>
        <w:tc>
          <w:tcPr>
            <w:tcW w:w="620" w:type="dxa"/>
            <w:vAlign w:val="bottom"/>
            <w:shd w:val="clear" w:color="auto" w:fill="EAF9E8"/>
          </w:tcPr>
          <w:p>
            <w:pPr>
              <w:spacing w:after="0"/>
              <w:rPr>
                <w:sz w:val="18"/>
                <w:szCs w:val="18"/>
                <w:color w:val="auto"/>
              </w:rPr>
            </w:pPr>
          </w:p>
        </w:tc>
        <w:tc>
          <w:tcPr>
            <w:tcW w:w="4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46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146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1580" w:type="dxa"/>
            <w:vAlign w:val="bottom"/>
            <w:shd w:val="clear" w:color="auto" w:fill="EAF9E8"/>
          </w:tcPr>
          <w:p>
            <w:pPr>
              <w:spacing w:after="0"/>
              <w:rPr>
                <w:sz w:val="20"/>
                <w:szCs w:val="20"/>
                <w:color w:val="auto"/>
              </w:rPr>
            </w:pPr>
            <w:r>
              <w:rPr>
                <w:rFonts w:ascii="Arial" w:cs="Arial" w:eastAsia="Arial" w:hAnsi="Arial"/>
                <w:sz w:val="18"/>
                <w:szCs w:val="18"/>
                <w:color w:val="auto"/>
              </w:rPr>
              <w:t>LIBOR + 200 basis</w:t>
            </w:r>
          </w:p>
        </w:tc>
        <w:tc>
          <w:tcPr>
            <w:tcW w:w="220" w:type="dxa"/>
            <w:vAlign w:val="bottom"/>
            <w:shd w:val="clear" w:color="auto" w:fill="EAF9E8"/>
          </w:tcPr>
          <w:p>
            <w:pPr>
              <w:spacing w:after="0"/>
              <w:rPr>
                <w:sz w:val="18"/>
                <w:szCs w:val="18"/>
                <w:color w:val="auto"/>
              </w:rPr>
            </w:pPr>
          </w:p>
        </w:tc>
        <w:tc>
          <w:tcPr>
            <w:tcW w:w="134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98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96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24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EAF9E8"/>
          </w:tcPr>
          <w:p>
            <w:pPr>
              <w:spacing w:after="0"/>
              <w:rPr>
                <w:sz w:val="18"/>
                <w:szCs w:val="18"/>
                <w:color w:val="auto"/>
              </w:rPr>
            </w:pPr>
          </w:p>
        </w:tc>
        <w:tc>
          <w:tcPr>
            <w:tcW w:w="620" w:type="dxa"/>
            <w:vAlign w:val="bottom"/>
            <w:shd w:val="clear" w:color="auto" w:fill="EAF9E8"/>
          </w:tcPr>
          <w:p>
            <w:pPr>
              <w:spacing w:after="0"/>
              <w:rPr>
                <w:sz w:val="18"/>
                <w:szCs w:val="18"/>
                <w:color w:val="auto"/>
              </w:rPr>
            </w:pPr>
          </w:p>
        </w:tc>
        <w:tc>
          <w:tcPr>
            <w:tcW w:w="4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46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146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1580" w:type="dxa"/>
            <w:vAlign w:val="bottom"/>
            <w:shd w:val="clear" w:color="auto" w:fill="EAF9E8"/>
          </w:tcPr>
          <w:p>
            <w:pPr>
              <w:spacing w:after="0"/>
              <w:rPr>
                <w:sz w:val="20"/>
                <w:szCs w:val="20"/>
                <w:color w:val="auto"/>
              </w:rPr>
            </w:pPr>
            <w:r>
              <w:rPr>
                <w:rFonts w:ascii="Arial" w:cs="Arial" w:eastAsia="Arial" w:hAnsi="Arial"/>
                <w:sz w:val="18"/>
                <w:szCs w:val="18"/>
                <w:color w:val="auto"/>
                <w:w w:val="98"/>
              </w:rPr>
              <w:t>points or Prime plus</w:t>
            </w:r>
          </w:p>
        </w:tc>
        <w:tc>
          <w:tcPr>
            <w:tcW w:w="220" w:type="dxa"/>
            <w:vAlign w:val="bottom"/>
            <w:shd w:val="clear" w:color="auto" w:fill="EAF9E8"/>
          </w:tcPr>
          <w:p>
            <w:pPr>
              <w:spacing w:after="0"/>
              <w:rPr>
                <w:sz w:val="18"/>
                <w:szCs w:val="18"/>
                <w:color w:val="auto"/>
              </w:rPr>
            </w:pPr>
          </w:p>
        </w:tc>
        <w:tc>
          <w:tcPr>
            <w:tcW w:w="134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98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96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24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00" w:type="dxa"/>
            <w:vAlign w:val="bottom"/>
            <w:shd w:val="clear" w:color="auto" w:fill="EAF9E8"/>
          </w:tcPr>
          <w:p>
            <w:pPr>
              <w:spacing w:after="0"/>
              <w:rPr>
                <w:sz w:val="19"/>
                <w:szCs w:val="19"/>
                <w:color w:val="auto"/>
              </w:rPr>
            </w:pPr>
          </w:p>
        </w:tc>
        <w:tc>
          <w:tcPr>
            <w:tcW w:w="620" w:type="dxa"/>
            <w:vAlign w:val="bottom"/>
            <w:shd w:val="clear" w:color="auto" w:fill="EAF9E8"/>
          </w:tcPr>
          <w:p>
            <w:pPr>
              <w:spacing w:after="0"/>
              <w:rPr>
                <w:sz w:val="19"/>
                <w:szCs w:val="19"/>
                <w:color w:val="auto"/>
              </w:rPr>
            </w:pPr>
          </w:p>
        </w:tc>
        <w:tc>
          <w:tcPr>
            <w:tcW w:w="4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460" w:type="dxa"/>
            <w:vAlign w:val="bottom"/>
            <w:shd w:val="clear" w:color="auto" w:fill="EAF9E8"/>
          </w:tcPr>
          <w:p>
            <w:pPr>
              <w:spacing w:after="0"/>
              <w:rPr>
                <w:sz w:val="19"/>
                <w:szCs w:val="19"/>
                <w:color w:val="auto"/>
              </w:rPr>
            </w:pPr>
          </w:p>
        </w:tc>
        <w:tc>
          <w:tcPr>
            <w:tcW w:w="240" w:type="dxa"/>
            <w:vAlign w:val="bottom"/>
            <w:shd w:val="clear" w:color="auto" w:fill="EAF9E8"/>
          </w:tcPr>
          <w:p>
            <w:pPr>
              <w:spacing w:after="0"/>
              <w:rPr>
                <w:sz w:val="19"/>
                <w:szCs w:val="19"/>
                <w:color w:val="auto"/>
              </w:rPr>
            </w:pPr>
          </w:p>
        </w:tc>
        <w:tc>
          <w:tcPr>
            <w:tcW w:w="1460" w:type="dxa"/>
            <w:vAlign w:val="bottom"/>
            <w:shd w:val="clear" w:color="auto" w:fill="EAF9E8"/>
          </w:tcPr>
          <w:p>
            <w:pPr>
              <w:spacing w:after="0"/>
              <w:rPr>
                <w:sz w:val="19"/>
                <w:szCs w:val="19"/>
                <w:color w:val="auto"/>
              </w:rPr>
            </w:pPr>
          </w:p>
        </w:tc>
        <w:tc>
          <w:tcPr>
            <w:tcW w:w="240" w:type="dxa"/>
            <w:vAlign w:val="bottom"/>
            <w:shd w:val="clear" w:color="auto" w:fill="EAF9E8"/>
          </w:tcPr>
          <w:p>
            <w:pPr>
              <w:spacing w:after="0"/>
              <w:rPr>
                <w:sz w:val="19"/>
                <w:szCs w:val="19"/>
                <w:color w:val="auto"/>
              </w:rPr>
            </w:pPr>
          </w:p>
        </w:tc>
        <w:tc>
          <w:tcPr>
            <w:tcW w:w="1580" w:type="dxa"/>
            <w:vAlign w:val="bottom"/>
            <w:shd w:val="clear" w:color="auto" w:fill="EAF9E8"/>
          </w:tcPr>
          <w:p>
            <w:pPr>
              <w:spacing w:after="0"/>
              <w:rPr>
                <w:sz w:val="20"/>
                <w:szCs w:val="20"/>
                <w:color w:val="auto"/>
              </w:rPr>
            </w:pPr>
            <w:r>
              <w:rPr>
                <w:rFonts w:ascii="Arial" w:cs="Arial" w:eastAsia="Arial" w:hAnsi="Arial"/>
                <w:sz w:val="18"/>
                <w:szCs w:val="18"/>
                <w:color w:val="auto"/>
              </w:rPr>
              <w:t>125 basis points</w:t>
            </w:r>
          </w:p>
        </w:tc>
        <w:tc>
          <w:tcPr>
            <w:tcW w:w="1560" w:type="dxa"/>
            <w:vAlign w:val="bottom"/>
            <w:gridSpan w:val="2"/>
            <w:shd w:val="clear" w:color="auto" w:fill="EAF9E8"/>
          </w:tcPr>
          <w:p>
            <w:pPr>
              <w:ind w:left="220"/>
              <w:spacing w:after="0"/>
              <w:rPr>
                <w:sz w:val="20"/>
                <w:szCs w:val="20"/>
                <w:color w:val="auto"/>
              </w:rPr>
            </w:pPr>
            <w:r>
              <w:rPr>
                <w:rFonts w:ascii="Arial" w:cs="Arial" w:eastAsia="Arial" w:hAnsi="Arial"/>
                <w:sz w:val="18"/>
                <w:szCs w:val="18"/>
                <w:color w:val="auto"/>
              </w:rPr>
              <w:t>July 2011</w:t>
            </w:r>
          </w:p>
        </w:tc>
        <w:tc>
          <w:tcPr>
            <w:tcW w:w="240" w:type="dxa"/>
            <w:vAlign w:val="bottom"/>
            <w:shd w:val="clear" w:color="auto" w:fill="EAF9E8"/>
          </w:tcPr>
          <w:p>
            <w:pPr>
              <w:spacing w:after="0"/>
              <w:rPr>
                <w:sz w:val="19"/>
                <w:szCs w:val="19"/>
                <w:color w:val="auto"/>
              </w:rPr>
            </w:pPr>
          </w:p>
        </w:tc>
        <w:tc>
          <w:tcPr>
            <w:tcW w:w="20" w:type="dxa"/>
            <w:vAlign w:val="bottom"/>
            <w:shd w:val="clear" w:color="auto" w:fill="EAF9E8"/>
          </w:tcPr>
          <w:p>
            <w:pPr>
              <w:spacing w:after="0"/>
              <w:rPr>
                <w:sz w:val="19"/>
                <w:szCs w:val="19"/>
                <w:color w:val="auto"/>
              </w:rPr>
            </w:pPr>
          </w:p>
        </w:tc>
        <w:tc>
          <w:tcPr>
            <w:tcW w:w="80" w:type="dxa"/>
            <w:vAlign w:val="bottom"/>
            <w:shd w:val="clear" w:color="auto" w:fill="EAF9E8"/>
          </w:tcPr>
          <w:p>
            <w:pPr>
              <w:spacing w:after="0"/>
              <w:rPr>
                <w:sz w:val="19"/>
                <w:szCs w:val="19"/>
                <w:color w:val="auto"/>
              </w:rPr>
            </w:pPr>
          </w:p>
        </w:tc>
        <w:tc>
          <w:tcPr>
            <w:tcW w:w="1000" w:type="dxa"/>
            <w:vAlign w:val="bottom"/>
            <w:gridSpan w:val="2"/>
            <w:shd w:val="clear" w:color="auto" w:fill="EAF9E8"/>
          </w:tcPr>
          <w:p>
            <w:pPr>
              <w:ind w:left="500"/>
              <w:spacing w:after="0"/>
              <w:rPr>
                <w:sz w:val="20"/>
                <w:szCs w:val="20"/>
                <w:color w:val="auto"/>
              </w:rPr>
            </w:pPr>
            <w:r>
              <w:rPr>
                <w:rFonts w:ascii="Arial" w:cs="Arial" w:eastAsia="Arial" w:hAnsi="Arial"/>
                <w:sz w:val="18"/>
                <w:szCs w:val="18"/>
                <w:color w:val="auto"/>
                <w:w w:val="87"/>
              </w:rPr>
              <w:t>10,000</w:t>
            </w:r>
          </w:p>
        </w:tc>
        <w:tc>
          <w:tcPr>
            <w:tcW w:w="22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9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12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1,123</w:t>
            </w:r>
          </w:p>
        </w:tc>
        <w:tc>
          <w:tcPr>
            <w:tcW w:w="120" w:type="dxa"/>
            <w:vAlign w:val="bottom"/>
            <w:shd w:val="clear" w:color="auto" w:fill="EAF9E8"/>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gridSpan w:val="2"/>
          </w:tcPr>
          <w:p>
            <w:pPr>
              <w:spacing w:after="0"/>
              <w:rPr>
                <w:sz w:val="21"/>
                <w:szCs w:val="21"/>
                <w:color w:val="auto"/>
              </w:rPr>
            </w:pPr>
          </w:p>
        </w:tc>
        <w:tc>
          <w:tcPr>
            <w:tcW w:w="1000" w:type="dxa"/>
            <w:vAlign w:val="bottom"/>
            <w:gridSpan w:val="2"/>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60" w:type="dxa"/>
            <w:vAlign w:val="bottom"/>
            <w:gridSpan w:val="2"/>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tcBorders>
          </w:tcPr>
          <w:p>
            <w:pPr>
              <w:ind w:left="500"/>
              <w:spacing w:after="0"/>
              <w:rPr>
                <w:sz w:val="20"/>
                <w:szCs w:val="20"/>
                <w:color w:val="auto"/>
              </w:rPr>
            </w:pPr>
            <w:r>
              <w:rPr>
                <w:rFonts w:ascii="Arial" w:cs="Arial" w:eastAsia="Arial" w:hAnsi="Arial"/>
                <w:sz w:val="18"/>
                <w:szCs w:val="18"/>
                <w:color w:val="auto"/>
                <w:w w:val="83"/>
              </w:rPr>
              <w:t>10,000</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144,065</w:t>
            </w:r>
          </w:p>
        </w:tc>
        <w:tc>
          <w:tcPr>
            <w:tcW w:w="220" w:type="dxa"/>
            <w:vAlign w:val="bottom"/>
          </w:tcPr>
          <w:p>
            <w:pPr>
              <w:spacing w:after="0"/>
              <w:rPr>
                <w:sz w:val="18"/>
                <w:szCs w:val="18"/>
                <w:color w:val="auto"/>
              </w:rPr>
            </w:pPr>
          </w:p>
        </w:tc>
        <w:tc>
          <w:tcPr>
            <w:tcW w:w="1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116,870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ind w:left="580" w:hanging="572"/>
        <w:spacing w:after="0"/>
        <w:tabs>
          <w:tab w:leader="none" w:pos="5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1-Month LIBOR was 0.50% and 0.44% at March 31, 2009 and December 31, 2008, respectively.</w:t>
      </w:r>
    </w:p>
    <w:p>
      <w:pPr>
        <w:spacing w:after="0" w:line="15" w:lineRule="exact"/>
        <w:rPr>
          <w:rFonts w:ascii="Arial" w:cs="Arial" w:eastAsia="Arial" w:hAnsi="Arial"/>
          <w:sz w:val="18"/>
          <w:szCs w:val="18"/>
          <w:color w:val="auto"/>
        </w:rPr>
      </w:pPr>
    </w:p>
    <w:p>
      <w:pPr>
        <w:jc w:val="both"/>
        <w:ind w:left="580" w:hanging="572"/>
        <w:spacing w:after="0" w:line="250" w:lineRule="auto"/>
        <w:tabs>
          <w:tab w:leader="none" w:pos="5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Unused borrowing capacity is available for use only to the extent that there are assets that have been pledged as collateral to a facility but against which no funds have been drawn. At March 31, 2009, we had $4,096 of available borrowing capacity based on the amount of eligible collateral that was available.</w:t>
      </w:r>
    </w:p>
    <w:p>
      <w:pPr>
        <w:spacing w:after="0" w:line="1" w:lineRule="exact"/>
        <w:rPr>
          <w:rFonts w:ascii="Arial" w:cs="Arial" w:eastAsia="Arial" w:hAnsi="Arial"/>
          <w:sz w:val="18"/>
          <w:szCs w:val="18"/>
          <w:color w:val="auto"/>
        </w:rPr>
      </w:pPr>
    </w:p>
    <w:p>
      <w:pPr>
        <w:jc w:val="both"/>
        <w:ind w:left="580" w:hanging="572"/>
        <w:spacing w:after="0" w:line="281" w:lineRule="auto"/>
        <w:tabs>
          <w:tab w:leader="none" w:pos="5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This advance is secured by the pledge to the lender of our interest in a $60,000 term note issued by OSAF. The OSAF note, in turn, is secured by advances on loans serviced for others, similar to match funded advances and liabilities. The advance is payable annually in five installments of $12,000. The advance does not carry a stated rate of interest. However, we are compensating the lender for the advance of funds by forgoing payment of fees due from the lender over the five-year term of the advance. Accordingly, the advance has been recorded as a zero-coupon bond issued at an implied discount of $14,627. We calculated the discount using an implicit market rate.</w:t>
      </w:r>
    </w:p>
    <w:p>
      <w:pPr>
        <w:spacing w:after="0" w:line="3" w:lineRule="exact"/>
        <w:rPr>
          <w:rFonts w:ascii="Arial" w:cs="Arial" w:eastAsia="Arial" w:hAnsi="Arial"/>
          <w:sz w:val="16"/>
          <w:szCs w:val="16"/>
          <w:color w:val="auto"/>
        </w:rPr>
      </w:pPr>
    </w:p>
    <w:p>
      <w:pPr>
        <w:ind w:left="580" w:hanging="572"/>
        <w:spacing w:after="0" w:line="250" w:lineRule="auto"/>
        <w:tabs>
          <w:tab w:leader="none" w:pos="5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This note was issued by OSAF and is secured by advances on loans serviced for others, similar to match funded advances and liabilities. The lender has pledged its interest in this note to us as collateral against the $7,000 term note receivable due on April 1, 2014.</w:t>
      </w:r>
    </w:p>
    <w:p>
      <w:pPr>
        <w:ind w:left="580" w:hanging="572"/>
        <w:spacing w:after="0" w:line="250" w:lineRule="auto"/>
        <w:tabs>
          <w:tab w:leader="none" w:pos="5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interest incurred on this facility is based on 1-Month LIBOR plus 187.5 basis points but could be reduced to as low as 0.10% to the extent that we have available balances on deposit with the lender.</w:t>
      </w:r>
    </w:p>
    <w:p>
      <w:pPr>
        <w:jc w:val="both"/>
        <w:ind w:left="580" w:hanging="572"/>
        <w:spacing w:after="0" w:line="250" w:lineRule="auto"/>
        <w:tabs>
          <w:tab w:leader="none" w:pos="5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 2007 we issued A-rated securities in connection with the transfer of loan and real estate collateral to OREALT, a bankruptcy remote VIE that we consolidate. In August 2008, we sold a portion of these A-rated securities with a face value of $23,200 to a third party. The notes were sold net of a discount of $928 which is being amortized to interest expense over the estimated remaining life of the notes.</w:t>
      </w:r>
    </w:p>
    <w:p>
      <w:pPr>
        <w:spacing w:after="0" w:line="1" w:lineRule="exact"/>
        <w:rPr>
          <w:rFonts w:ascii="Arial" w:cs="Arial" w:eastAsia="Arial" w:hAnsi="Arial"/>
          <w:sz w:val="18"/>
          <w:szCs w:val="18"/>
          <w:color w:val="auto"/>
        </w:rPr>
      </w:pPr>
    </w:p>
    <w:p>
      <w:pPr>
        <w:ind w:left="580" w:right="20" w:hanging="572"/>
        <w:spacing w:after="0" w:line="261" w:lineRule="auto"/>
        <w:tabs>
          <w:tab w:leader="none" w:pos="5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 February 2009, we agreed to an increase in the interest rate on floating rate advances to prime plus 125 basis points in exchange for favorable modifications to the financial covenants under this facility.</w:t>
      </w:r>
    </w:p>
    <w:p>
      <w:pPr>
        <w:spacing w:after="0" w:line="226"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NOTE 14</w:t>
      </w:r>
      <w:r>
        <w:rPr>
          <w:sz w:val="20"/>
          <w:szCs w:val="20"/>
          <w:color w:val="auto"/>
        </w:rPr>
        <w:tab/>
      </w:r>
      <w:r>
        <w:rPr>
          <w:rFonts w:ascii="Arial" w:cs="Arial" w:eastAsia="Arial" w:hAnsi="Arial"/>
          <w:sz w:val="18"/>
          <w:szCs w:val="18"/>
          <w:b w:val="1"/>
          <w:bCs w:val="1"/>
          <w:color w:val="auto"/>
        </w:rPr>
        <w:t>INVESTMENT LINE</w:t>
      </w:r>
    </w:p>
    <w:p>
      <w:pPr>
        <w:spacing w:after="0" w:line="231" w:lineRule="exact"/>
        <w:rPr>
          <w:sz w:val="20"/>
          <w:szCs w:val="20"/>
          <w:color w:val="auto"/>
        </w:rPr>
      </w:pPr>
    </w:p>
    <w:p>
      <w:pPr>
        <w:jc w:val="both"/>
        <w:ind w:firstLine="455"/>
        <w:spacing w:after="0" w:line="256" w:lineRule="auto"/>
        <w:rPr>
          <w:sz w:val="20"/>
          <w:szCs w:val="20"/>
          <w:color w:val="auto"/>
        </w:rPr>
      </w:pPr>
      <w:r>
        <w:rPr>
          <w:rFonts w:ascii="Arial" w:cs="Arial" w:eastAsia="Arial" w:hAnsi="Arial"/>
          <w:sz w:val="18"/>
          <w:szCs w:val="18"/>
          <w:color w:val="auto"/>
        </w:rPr>
        <w:t>Under this agreement, we borrowed funds each month under a revolving demand note equal to the projected average float balance and invested those funds in certain permitted investments, including auction rate securities. The custodial funds comprising most of the float balance remained on deposit in bank accounts that meet the requirements of each trust. The terms of the Investment Line require that we sell the investments and repay the associated borrowings prior to the end of each quarter.</w:t>
      </w:r>
    </w:p>
    <w:p>
      <w:pPr>
        <w:spacing w:after="0" w:line="197" w:lineRule="exact"/>
        <w:rPr>
          <w:sz w:val="20"/>
          <w:szCs w:val="20"/>
          <w:color w:val="auto"/>
        </w:rPr>
      </w:pPr>
    </w:p>
    <w:p>
      <w:pPr>
        <w:jc w:val="both"/>
        <w:ind w:firstLine="447"/>
        <w:spacing w:after="0" w:line="298" w:lineRule="auto"/>
        <w:rPr>
          <w:sz w:val="20"/>
          <w:szCs w:val="20"/>
          <w:color w:val="auto"/>
        </w:rPr>
      </w:pPr>
      <w:r>
        <w:rPr>
          <w:rFonts w:ascii="Arial" w:cs="Arial" w:eastAsia="Arial" w:hAnsi="Arial"/>
          <w:sz w:val="16"/>
          <w:szCs w:val="16"/>
          <w:color w:val="auto"/>
        </w:rPr>
        <w:t>As a result of failed auctions in the first quarter of 2008, we were unable to fully liquidate our investment in auction rate securities. On March 28, 2008, we executed an amendment to the Investment Line that eliminated the requirement that borrowings be repaid at quarter end, increased the annual interest rate from 0.1% to 0.35% and limited borrowings to $350,000. We recognized these securities and a corresponding liability on our balance sheet in the first quarter of 2008. On June 30, 2008, we executed an extension of this agreement through July 13, 2008.</w:t>
      </w:r>
    </w:p>
    <w:p>
      <w:pPr>
        <w:sectPr>
          <w:pgSz w:w="11900" w:h="16838" w:orient="portrait"/>
          <w:cols w:equalWidth="0" w:num="1">
            <w:col w:w="11420"/>
          </w:cols>
          <w:pgMar w:left="240" w:top="139" w:right="239" w:bottom="1440" w:gutter="0" w:footer="0" w:header="0"/>
        </w:sectPr>
      </w:pP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67575"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39" w:right="239" w:bottom="1440" w:gutter="0" w:footer="0" w:header="0"/>
          <w:type w:val="continuous"/>
        </w:sectPr>
      </w:pPr>
    </w:p>
    <w:bookmarkStart w:id="22" w:name="page23"/>
    <w:bookmarkEnd w:id="22"/>
    <w:p>
      <w:pPr>
        <w:jc w:val="both"/>
        <w:ind w:firstLine="459"/>
        <w:spacing w:after="0" w:line="294" w:lineRule="auto"/>
        <w:rPr>
          <w:sz w:val="20"/>
          <w:szCs w:val="20"/>
          <w:color w:val="auto"/>
        </w:rPr>
      </w:pPr>
      <w:r>
        <w:rPr>
          <w:rFonts w:ascii="Arial" w:cs="Arial" w:eastAsia="Arial" w:hAnsi="Arial"/>
          <w:sz w:val="16"/>
          <w:szCs w:val="16"/>
          <w:color w:val="auto"/>
        </w:rPr>
        <w:t>On July 10, 2008, in addition to further reducing the borrowing limit under the revolving demand note to $120,000, we executed another amendment to the Investment Line that created a new term note maturing on June 30, 2009 that is secured by our investment in the auction rate securities. Interest on the term note is 0.35% to the extent that we have available balances on deposit with the lender. For any portion of the outstanding balance of the term note that is in excess of the available balances, the interest rate is 1-month LIBOR plus 35 basis points. In the event that the 0.35% rate does not fairly reflect the cost to the lender in providing the funds, the lender may, with notice, adjust the rate upward to a rate not exceeding 3.35%.</w:t>
      </w:r>
    </w:p>
    <w:p>
      <w:pPr>
        <w:spacing w:after="0" w:line="170" w:lineRule="exact"/>
        <w:rPr>
          <w:sz w:val="20"/>
          <w:szCs w:val="20"/>
          <w:color w:val="auto"/>
        </w:rPr>
      </w:pPr>
    </w:p>
    <w:p>
      <w:pPr>
        <w:jc w:val="both"/>
        <w:ind w:firstLine="466"/>
        <w:spacing w:after="0" w:line="253" w:lineRule="auto"/>
        <w:rPr>
          <w:sz w:val="20"/>
          <w:szCs w:val="20"/>
          <w:color w:val="auto"/>
        </w:rPr>
      </w:pPr>
      <w:r>
        <w:rPr>
          <w:rFonts w:ascii="Arial" w:cs="Arial" w:eastAsia="Arial" w:hAnsi="Arial"/>
          <w:sz w:val="18"/>
          <w:szCs w:val="18"/>
          <w:color w:val="auto"/>
        </w:rPr>
        <w:t>The maximum borrowing under the term note has been reduced from approximately 85% of the face value of the auction rate securities at the time that the note was executed to 75% on December 31, 2008 and to 70% on March 30, 2009. Under the term note, we receive the interest on the auction rate securities while the proceeds from the redemption or sale of auction rate securities are applied to the outstanding balance. If the proceeds are below the then-effective maximum borrowing percentage, we are required to make up the shortfall. If the application of proceeds to the outstanding balance results in the total outstanding balance of this note falling below 70% of the face value of the auction rate securities held, we receive one-half of sales or redemptions, and the remainder is used to pay down the Investment Line. During the first quarter of 2009, we made payments totaling $14,151 that reduced the Investment Line obligation to $186,568, or 70% of face value</w:t>
      </w:r>
      <w:r>
        <w:rPr>
          <w:rFonts w:ascii="Arial" w:cs="Arial" w:eastAsia="Arial" w:hAnsi="Arial"/>
          <w:sz w:val="18"/>
          <w:szCs w:val="18"/>
          <w:b w:val="1"/>
          <w:bCs w:val="1"/>
          <w:color w:val="auto"/>
        </w:rPr>
        <w:t>.</w:t>
      </w:r>
    </w:p>
    <w:p>
      <w:pPr>
        <w:spacing w:after="0" w:line="201" w:lineRule="exact"/>
        <w:rPr>
          <w:sz w:val="20"/>
          <w:szCs w:val="20"/>
          <w:color w:val="auto"/>
        </w:rPr>
      </w:pPr>
    </w:p>
    <w:p>
      <w:pPr>
        <w:jc w:val="both"/>
        <w:ind w:firstLine="479"/>
        <w:spacing w:after="0" w:line="268" w:lineRule="auto"/>
        <w:rPr>
          <w:sz w:val="20"/>
          <w:szCs w:val="20"/>
          <w:color w:val="auto"/>
        </w:rPr>
      </w:pPr>
      <w:r>
        <w:rPr>
          <w:rFonts w:ascii="Arial" w:cs="Arial" w:eastAsia="Arial" w:hAnsi="Arial"/>
          <w:sz w:val="18"/>
          <w:szCs w:val="18"/>
          <w:color w:val="auto"/>
        </w:rPr>
        <w:t>The revolving demand note expired on September 30, 2008. At that time, we repaid the borrowings in full using proceeds received from the liquidation of the investments.</w:t>
      </w:r>
    </w:p>
    <w:p>
      <w:pPr>
        <w:spacing w:after="0" w:line="18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On April 30, 2009, we negotiated a one-year extension of the term note maturity to June 30, 2010. See Note 21 for additional information.</w:t>
      </w:r>
    </w:p>
    <w:p>
      <w:pPr>
        <w:spacing w:after="0" w:line="233"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NOTE 15</w:t>
      </w:r>
      <w:r>
        <w:rPr>
          <w:sz w:val="20"/>
          <w:szCs w:val="20"/>
          <w:color w:val="auto"/>
        </w:rPr>
        <w:tab/>
      </w:r>
      <w:r>
        <w:rPr>
          <w:rFonts w:ascii="Arial" w:cs="Arial" w:eastAsia="Arial" w:hAnsi="Arial"/>
          <w:sz w:val="18"/>
          <w:szCs w:val="18"/>
          <w:b w:val="1"/>
          <w:bCs w:val="1"/>
          <w:color w:val="auto"/>
        </w:rPr>
        <w:t>SERVICER LIABILITIES</w:t>
      </w:r>
    </w:p>
    <w:p>
      <w:pPr>
        <w:spacing w:after="0" w:line="231" w:lineRule="exact"/>
        <w:rPr>
          <w:sz w:val="20"/>
          <w:szCs w:val="20"/>
          <w:color w:val="auto"/>
        </w:rPr>
      </w:pPr>
    </w:p>
    <w:p>
      <w:pPr>
        <w:jc w:val="both"/>
        <w:ind w:right="20" w:firstLine="506"/>
        <w:spacing w:after="0" w:line="332" w:lineRule="auto"/>
        <w:rPr>
          <w:sz w:val="20"/>
          <w:szCs w:val="20"/>
          <w:color w:val="auto"/>
        </w:rPr>
      </w:pPr>
      <w:r>
        <w:rPr>
          <w:rFonts w:ascii="Arial" w:cs="Arial" w:eastAsia="Arial" w:hAnsi="Arial"/>
          <w:sz w:val="16"/>
          <w:szCs w:val="16"/>
          <w:color w:val="auto"/>
        </w:rPr>
        <w:t>Servicer liabilities represent amounts we have collected, primarily from residential borrowers, whose loans we service, that will be deposited in custodial accounts, paid directly to an investment trust or refunded to borrowers. The following table sets forth the components of servicer liabilities at the dates indicated:</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060" w:type="dxa"/>
            <w:vAlign w:val="bottom"/>
          </w:tcPr>
          <w:p>
            <w:pPr>
              <w:spacing w:after="0"/>
              <w:rPr>
                <w:sz w:val="19"/>
                <w:szCs w:val="19"/>
                <w:color w:val="auto"/>
              </w:rPr>
            </w:pPr>
          </w:p>
        </w:tc>
        <w:tc>
          <w:tcPr>
            <w:tcW w:w="5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40" w:type="dxa"/>
            <w:vAlign w:val="bottom"/>
            <w:gridSpan w:val="2"/>
          </w:tcPr>
          <w:p>
            <w:pPr>
              <w:jc w:val="right"/>
              <w:ind w:right="460"/>
              <w:spacing w:after="0"/>
              <w:rPr>
                <w:sz w:val="20"/>
                <w:szCs w:val="20"/>
                <w:color w:val="auto"/>
              </w:rPr>
            </w:pPr>
            <w:r>
              <w:rPr>
                <w:rFonts w:ascii="Arial" w:cs="Arial" w:eastAsia="Arial" w:hAnsi="Arial"/>
                <w:sz w:val="18"/>
                <w:szCs w:val="18"/>
                <w:color w:val="auto"/>
              </w:rPr>
              <w:t>March 31, 2009</w:t>
            </w: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0" w:type="dxa"/>
            <w:vAlign w:val="bottom"/>
          </w:tcPr>
          <w:p>
            <w:pPr>
              <w:jc w:val="right"/>
              <w:ind w:right="232"/>
              <w:spacing w:after="0"/>
              <w:rPr>
                <w:sz w:val="20"/>
                <w:szCs w:val="20"/>
                <w:color w:val="auto"/>
              </w:rPr>
            </w:pPr>
            <w:r>
              <w:rPr>
                <w:rFonts w:ascii="Arial" w:cs="Arial" w:eastAsia="Arial" w:hAnsi="Arial"/>
                <w:sz w:val="18"/>
                <w:szCs w:val="18"/>
                <w:color w:val="auto"/>
                <w:w w:val="92"/>
              </w:rPr>
              <w:t>December 31, 2008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6940" w:type="dxa"/>
            <w:vAlign w:val="bottom"/>
            <w:gridSpan w:val="2"/>
          </w:tcPr>
          <w:p>
            <w:pPr>
              <w:spacing w:after="0"/>
              <w:rPr>
                <w:sz w:val="21"/>
                <w:szCs w:val="21"/>
                <w:color w:val="auto"/>
              </w:rPr>
            </w:pPr>
          </w:p>
        </w:tc>
        <w:tc>
          <w:tcPr>
            <w:tcW w:w="280" w:type="dxa"/>
            <w:vAlign w:val="bottom"/>
          </w:tcPr>
          <w:p>
            <w:pPr>
              <w:spacing w:after="0"/>
              <w:rPr>
                <w:sz w:val="21"/>
                <w:szCs w:val="21"/>
                <w:color w:val="auto"/>
              </w:rPr>
            </w:pPr>
          </w:p>
        </w:tc>
        <w:tc>
          <w:tcPr>
            <w:tcW w:w="1740" w:type="dxa"/>
            <w:vAlign w:val="bottom"/>
            <w:gridSpan w:val="2"/>
          </w:tcPr>
          <w:p>
            <w:pPr>
              <w:spacing w:after="0"/>
              <w:rPr>
                <w:sz w:val="21"/>
                <w:szCs w:val="21"/>
                <w:color w:val="auto"/>
              </w:rPr>
            </w:pP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694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Borrower payments due to custodial accounts</w:t>
            </w:r>
          </w:p>
        </w:tc>
        <w:tc>
          <w:tcPr>
            <w:tcW w:w="280" w:type="dxa"/>
            <w:vAlign w:val="bottom"/>
            <w:tcBorders>
              <w:top w:val="single" w:sz="8" w:color="auto"/>
            </w:tcBorders>
            <w:shd w:val="clear" w:color="auto" w:fill="EAF9E8"/>
          </w:tcPr>
          <w:p>
            <w:pPr>
              <w:jc w:val="right"/>
              <w:ind w:right="92"/>
              <w:spacing w:after="0"/>
              <w:rPr>
                <w:sz w:val="20"/>
                <w:szCs w:val="20"/>
                <w:color w:val="auto"/>
              </w:rPr>
            </w:pPr>
            <w:r>
              <w:rPr>
                <w:rFonts w:ascii="Arial" w:cs="Arial" w:eastAsia="Arial" w:hAnsi="Arial"/>
                <w:sz w:val="18"/>
                <w:szCs w:val="18"/>
                <w:color w:val="auto"/>
                <w:w w:val="79"/>
              </w:rPr>
              <w:t>$</w:t>
            </w:r>
          </w:p>
        </w:tc>
        <w:tc>
          <w:tcPr>
            <w:tcW w:w="172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14,418</w:t>
            </w:r>
          </w:p>
        </w:tc>
        <w:tc>
          <w:tcPr>
            <w:tcW w:w="2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200" w:type="dxa"/>
            <w:vAlign w:val="bottom"/>
            <w:tcBorders>
              <w:top w:val="single" w:sz="8" w:color="auto"/>
            </w:tcBorders>
            <w:shd w:val="clear" w:color="auto" w:fill="EAF9E8"/>
          </w:tcPr>
          <w:p>
            <w:pPr>
              <w:jc w:val="right"/>
              <w:ind w:right="43"/>
              <w:spacing w:after="0"/>
              <w:rPr>
                <w:sz w:val="20"/>
                <w:szCs w:val="20"/>
                <w:color w:val="auto"/>
              </w:rPr>
            </w:pPr>
            <w:r>
              <w:rPr>
                <w:rFonts w:ascii="Arial" w:cs="Arial" w:eastAsia="Arial" w:hAnsi="Arial"/>
                <w:sz w:val="15"/>
                <w:szCs w:val="15"/>
                <w:color w:val="auto"/>
                <w:w w:val="71"/>
              </w:rPr>
              <w:t>$</w:t>
            </w:r>
          </w:p>
        </w:tc>
        <w:tc>
          <w:tcPr>
            <w:tcW w:w="180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67,227</w:t>
            </w:r>
          </w:p>
        </w:tc>
        <w:tc>
          <w:tcPr>
            <w:tcW w:w="12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gridSpan w:val="2"/>
          </w:tcPr>
          <w:p>
            <w:pPr>
              <w:spacing w:after="0"/>
              <w:rPr>
                <w:sz w:val="20"/>
                <w:szCs w:val="20"/>
                <w:color w:val="auto"/>
              </w:rPr>
            </w:pPr>
            <w:r>
              <w:rPr>
                <w:rFonts w:ascii="Arial" w:cs="Arial" w:eastAsia="Arial" w:hAnsi="Arial"/>
                <w:sz w:val="18"/>
                <w:szCs w:val="18"/>
                <w:color w:val="auto"/>
              </w:rPr>
              <w:t>Escrow payments due to custodial accounts</w:t>
            </w:r>
          </w:p>
        </w:tc>
        <w:tc>
          <w:tcPr>
            <w:tcW w:w="280" w:type="dxa"/>
            <w:vAlign w:val="bottom"/>
          </w:tcPr>
          <w:p>
            <w:pPr>
              <w:spacing w:after="0"/>
              <w:rPr>
                <w:sz w:val="18"/>
                <w:szCs w:val="18"/>
                <w:color w:val="auto"/>
              </w:rPr>
            </w:pPr>
          </w:p>
        </w:tc>
        <w:tc>
          <w:tcPr>
            <w:tcW w:w="1740" w:type="dxa"/>
            <w:vAlign w:val="bottom"/>
            <w:gridSpan w:val="2"/>
          </w:tcPr>
          <w:p>
            <w:pPr>
              <w:jc w:val="right"/>
              <w:ind w:right="20"/>
              <w:spacing w:after="0"/>
              <w:rPr>
                <w:sz w:val="20"/>
                <w:szCs w:val="20"/>
                <w:color w:val="auto"/>
              </w:rPr>
            </w:pPr>
            <w:r>
              <w:rPr>
                <w:rFonts w:ascii="Arial" w:cs="Arial" w:eastAsia="Arial" w:hAnsi="Arial"/>
                <w:sz w:val="18"/>
                <w:szCs w:val="18"/>
                <w:color w:val="auto"/>
              </w:rPr>
              <w:t>7,063</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5,488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Partial payments and other unapplied balances</w:t>
            </w:r>
          </w:p>
        </w:tc>
        <w:tc>
          <w:tcPr>
            <w:tcW w:w="280" w:type="dxa"/>
            <w:vAlign w:val="bottom"/>
            <w:shd w:val="clear" w:color="auto" w:fill="EAF9E8"/>
          </w:tcPr>
          <w:p>
            <w:pPr>
              <w:spacing w:after="0"/>
              <w:rPr>
                <w:sz w:val="18"/>
                <w:szCs w:val="18"/>
                <w:color w:val="auto"/>
              </w:rPr>
            </w:pPr>
          </w:p>
        </w:tc>
        <w:tc>
          <w:tcPr>
            <w:tcW w:w="174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68,884</w:t>
            </w:r>
          </w:p>
        </w:tc>
        <w:tc>
          <w:tcPr>
            <w:tcW w:w="34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8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63,036</w:t>
            </w:r>
          </w:p>
        </w:tc>
        <w:tc>
          <w:tcPr>
            <w:tcW w:w="12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060" w:type="dxa"/>
            <w:vAlign w:val="bottom"/>
          </w:tcPr>
          <w:p>
            <w:pPr>
              <w:spacing w:after="0"/>
              <w:rPr>
                <w:sz w:val="21"/>
                <w:szCs w:val="21"/>
                <w:color w:val="auto"/>
              </w:rPr>
            </w:pPr>
          </w:p>
        </w:tc>
        <w:tc>
          <w:tcPr>
            <w:tcW w:w="58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740" w:type="dxa"/>
            <w:vAlign w:val="bottom"/>
            <w:gridSpan w:val="2"/>
          </w:tcPr>
          <w:p>
            <w:pPr>
              <w:spacing w:after="0"/>
              <w:rPr>
                <w:sz w:val="21"/>
                <w:szCs w:val="21"/>
                <w:color w:val="auto"/>
              </w:rPr>
            </w:pPr>
          </w:p>
        </w:tc>
        <w:tc>
          <w:tcPr>
            <w:tcW w:w="540" w:type="dxa"/>
            <w:vAlign w:val="bottom"/>
            <w:gridSpan w:val="2"/>
          </w:tcPr>
          <w:p>
            <w:pPr>
              <w:spacing w:after="0"/>
              <w:rPr>
                <w:sz w:val="21"/>
                <w:szCs w:val="21"/>
                <w:color w:val="auto"/>
              </w:rPr>
            </w:pPr>
          </w:p>
        </w:tc>
        <w:tc>
          <w:tcPr>
            <w:tcW w:w="1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060" w:type="dxa"/>
            <w:vAlign w:val="bottom"/>
          </w:tcPr>
          <w:p>
            <w:pPr>
              <w:spacing w:after="0"/>
              <w:rPr>
                <w:sz w:val="18"/>
                <w:szCs w:val="18"/>
                <w:color w:val="auto"/>
              </w:rPr>
            </w:pPr>
          </w:p>
        </w:tc>
        <w:tc>
          <w:tcPr>
            <w:tcW w:w="5880" w:type="dxa"/>
            <w:vAlign w:val="bottom"/>
          </w:tcPr>
          <w:p>
            <w:pPr>
              <w:spacing w:after="0"/>
              <w:rPr>
                <w:sz w:val="18"/>
                <w:szCs w:val="18"/>
                <w:color w:val="auto"/>
              </w:rPr>
            </w:pPr>
          </w:p>
        </w:tc>
        <w:tc>
          <w:tcPr>
            <w:tcW w:w="280" w:type="dxa"/>
            <w:vAlign w:val="bottom"/>
            <w:tcBorders>
              <w:top w:val="single" w:sz="8" w:color="auto"/>
            </w:tcBorders>
          </w:tcPr>
          <w:p>
            <w:pPr>
              <w:jc w:val="right"/>
              <w:ind w:right="92"/>
              <w:spacing w:after="0"/>
              <w:rPr>
                <w:sz w:val="20"/>
                <w:szCs w:val="20"/>
                <w:color w:val="auto"/>
              </w:rPr>
            </w:pPr>
            <w:r>
              <w:rPr>
                <w:rFonts w:ascii="Arial" w:cs="Arial" w:eastAsia="Arial" w:hAnsi="Arial"/>
                <w:sz w:val="18"/>
                <w:szCs w:val="18"/>
                <w:color w:val="auto"/>
                <w:w w:val="79"/>
              </w:rPr>
              <w:t>$</w:t>
            </w:r>
          </w:p>
        </w:tc>
        <w:tc>
          <w:tcPr>
            <w:tcW w:w="1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90,365</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Borders>
              <w:top w:val="single" w:sz="8" w:color="auto"/>
            </w:tcBorders>
          </w:tcPr>
          <w:p>
            <w:pPr>
              <w:jc w:val="right"/>
              <w:ind w:right="43"/>
              <w:spacing w:after="0"/>
              <w:rPr>
                <w:sz w:val="20"/>
                <w:szCs w:val="20"/>
                <w:color w:val="auto"/>
              </w:rPr>
            </w:pPr>
            <w:r>
              <w:rPr>
                <w:rFonts w:ascii="Arial" w:cs="Arial" w:eastAsia="Arial" w:hAnsi="Arial"/>
                <w:sz w:val="15"/>
                <w:szCs w:val="15"/>
                <w:color w:val="auto"/>
                <w:w w:val="71"/>
              </w:rPr>
              <w:t>$</w:t>
            </w:r>
          </w:p>
        </w:tc>
        <w:tc>
          <w:tcPr>
            <w:tcW w:w="1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135,751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060" w:type="dxa"/>
            <w:vAlign w:val="bottom"/>
            <w:vMerge w:val="restart"/>
          </w:tcPr>
          <w:p>
            <w:pPr>
              <w:spacing w:after="0"/>
              <w:rPr>
                <w:sz w:val="20"/>
                <w:szCs w:val="20"/>
                <w:color w:val="auto"/>
              </w:rPr>
            </w:pPr>
            <w:r>
              <w:rPr>
                <w:rFonts w:ascii="Arial" w:cs="Arial" w:eastAsia="Arial" w:hAnsi="Arial"/>
                <w:sz w:val="18"/>
                <w:szCs w:val="18"/>
                <w:b w:val="1"/>
                <w:bCs w:val="1"/>
                <w:color w:val="auto"/>
              </w:rPr>
              <w:t>NOTE 16</w:t>
            </w:r>
          </w:p>
        </w:tc>
        <w:tc>
          <w:tcPr>
            <w:tcW w:w="5880" w:type="dxa"/>
            <w:vAlign w:val="bottom"/>
            <w:vMerge w:val="restart"/>
          </w:tcPr>
          <w:p>
            <w:pPr>
              <w:ind w:left="320"/>
              <w:spacing w:after="0"/>
              <w:rPr>
                <w:sz w:val="20"/>
                <w:szCs w:val="20"/>
                <w:color w:val="auto"/>
              </w:rPr>
            </w:pPr>
            <w:r>
              <w:rPr>
                <w:rFonts w:ascii="Arial" w:cs="Arial" w:eastAsia="Arial" w:hAnsi="Arial"/>
                <w:sz w:val="18"/>
                <w:szCs w:val="18"/>
                <w:b w:val="1"/>
                <w:bCs w:val="1"/>
                <w:color w:val="auto"/>
              </w:rPr>
              <w:t>DEBT SECURITIES</w:t>
            </w:r>
          </w:p>
        </w:tc>
        <w:tc>
          <w:tcPr>
            <w:tcW w:w="28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060" w:type="dxa"/>
            <w:vAlign w:val="bottom"/>
            <w:vMerge w:val="continue"/>
          </w:tcPr>
          <w:p>
            <w:pPr>
              <w:spacing w:after="0" w:line="20" w:lineRule="exact"/>
              <w:rPr>
                <w:sz w:val="1"/>
                <w:szCs w:val="1"/>
                <w:color w:val="auto"/>
              </w:rPr>
            </w:pPr>
          </w:p>
        </w:tc>
        <w:tc>
          <w:tcPr>
            <w:tcW w:w="5880" w:type="dxa"/>
            <w:vAlign w:val="bottom"/>
            <w:vMerge w:val="continue"/>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1"/>
        </w:trPr>
        <w:tc>
          <w:tcPr>
            <w:tcW w:w="1060" w:type="dxa"/>
            <w:vAlign w:val="bottom"/>
            <w:vMerge w:val="continue"/>
          </w:tcPr>
          <w:p>
            <w:pPr>
              <w:spacing w:after="0"/>
              <w:rPr>
                <w:sz w:val="24"/>
                <w:szCs w:val="24"/>
                <w:color w:val="auto"/>
              </w:rPr>
            </w:pPr>
          </w:p>
        </w:tc>
        <w:tc>
          <w:tcPr>
            <w:tcW w:w="588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940" w:type="dxa"/>
            <w:vAlign w:val="bottom"/>
            <w:gridSpan w:val="2"/>
          </w:tcPr>
          <w:p>
            <w:pPr>
              <w:ind w:left="440"/>
              <w:spacing w:after="0"/>
              <w:rPr>
                <w:sz w:val="20"/>
                <w:szCs w:val="20"/>
                <w:color w:val="auto"/>
              </w:rPr>
            </w:pPr>
            <w:r>
              <w:rPr>
                <w:rFonts w:ascii="Arial" w:cs="Arial" w:eastAsia="Arial" w:hAnsi="Arial"/>
                <w:sz w:val="18"/>
                <w:szCs w:val="18"/>
                <w:color w:val="auto"/>
              </w:rPr>
              <w:t>Our debt securities consisted of the following at the dates indicated:</w:t>
            </w:r>
          </w:p>
        </w:tc>
        <w:tc>
          <w:tcPr>
            <w:tcW w:w="2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1060" w:type="dxa"/>
            <w:vAlign w:val="bottom"/>
          </w:tcPr>
          <w:p>
            <w:pPr>
              <w:spacing w:after="0"/>
              <w:rPr>
                <w:sz w:val="24"/>
                <w:szCs w:val="24"/>
                <w:color w:val="auto"/>
              </w:rPr>
            </w:pPr>
          </w:p>
        </w:tc>
        <w:tc>
          <w:tcPr>
            <w:tcW w:w="5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40" w:type="dxa"/>
            <w:vAlign w:val="bottom"/>
            <w:gridSpan w:val="2"/>
          </w:tcPr>
          <w:p>
            <w:pPr>
              <w:jc w:val="right"/>
              <w:ind w:right="460"/>
              <w:spacing w:after="0"/>
              <w:rPr>
                <w:sz w:val="20"/>
                <w:szCs w:val="20"/>
                <w:color w:val="auto"/>
              </w:rPr>
            </w:pPr>
            <w:r>
              <w:rPr>
                <w:rFonts w:ascii="Arial" w:cs="Arial" w:eastAsia="Arial" w:hAnsi="Arial"/>
                <w:sz w:val="18"/>
                <w:szCs w:val="18"/>
                <w:color w:val="auto"/>
              </w:rPr>
              <w:t>March 31, 2009</w:t>
            </w: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0" w:type="dxa"/>
            <w:vAlign w:val="bottom"/>
          </w:tcPr>
          <w:p>
            <w:pPr>
              <w:jc w:val="right"/>
              <w:ind w:right="232"/>
              <w:spacing w:after="0"/>
              <w:rPr>
                <w:sz w:val="20"/>
                <w:szCs w:val="20"/>
                <w:color w:val="auto"/>
              </w:rPr>
            </w:pPr>
            <w:r>
              <w:rPr>
                <w:rFonts w:ascii="Arial" w:cs="Arial" w:eastAsia="Arial" w:hAnsi="Arial"/>
                <w:sz w:val="18"/>
                <w:szCs w:val="18"/>
                <w:color w:val="auto"/>
                <w:w w:val="92"/>
              </w:rPr>
              <w:t>December 31, 2008</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6940" w:type="dxa"/>
            <w:vAlign w:val="bottom"/>
            <w:gridSpan w:val="2"/>
          </w:tcPr>
          <w:p>
            <w:pPr>
              <w:spacing w:after="0"/>
              <w:rPr>
                <w:sz w:val="21"/>
                <w:szCs w:val="21"/>
                <w:color w:val="auto"/>
              </w:rPr>
            </w:pPr>
          </w:p>
        </w:tc>
        <w:tc>
          <w:tcPr>
            <w:tcW w:w="280" w:type="dxa"/>
            <w:vAlign w:val="bottom"/>
          </w:tcPr>
          <w:p>
            <w:pPr>
              <w:spacing w:after="0"/>
              <w:rPr>
                <w:sz w:val="21"/>
                <w:szCs w:val="21"/>
                <w:color w:val="auto"/>
              </w:rPr>
            </w:pPr>
          </w:p>
        </w:tc>
        <w:tc>
          <w:tcPr>
            <w:tcW w:w="1740" w:type="dxa"/>
            <w:vAlign w:val="bottom"/>
            <w:gridSpan w:val="2"/>
          </w:tcPr>
          <w:p>
            <w:pPr>
              <w:spacing w:after="0"/>
              <w:rPr>
                <w:sz w:val="21"/>
                <w:szCs w:val="21"/>
                <w:color w:val="auto"/>
              </w:rPr>
            </w:pPr>
          </w:p>
        </w:tc>
        <w:tc>
          <w:tcPr>
            <w:tcW w:w="540" w:type="dxa"/>
            <w:vAlign w:val="bottom"/>
            <w:gridSpan w:val="2"/>
          </w:tcPr>
          <w:p>
            <w:pPr>
              <w:spacing w:after="0"/>
              <w:rPr>
                <w:sz w:val="21"/>
                <w:szCs w:val="21"/>
                <w:color w:val="auto"/>
              </w:rPr>
            </w:pPr>
          </w:p>
        </w:tc>
        <w:tc>
          <w:tcPr>
            <w:tcW w:w="1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694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3.25% Convertible Notes due August 1, 2024</w:t>
            </w:r>
          </w:p>
        </w:tc>
        <w:tc>
          <w:tcPr>
            <w:tcW w:w="280" w:type="dxa"/>
            <w:vAlign w:val="bottom"/>
            <w:tcBorders>
              <w:top w:val="single" w:sz="8" w:color="auto"/>
            </w:tcBorders>
            <w:shd w:val="clear" w:color="auto" w:fill="EAF9E8"/>
          </w:tcPr>
          <w:p>
            <w:pPr>
              <w:jc w:val="right"/>
              <w:ind w:right="92"/>
              <w:spacing w:after="0"/>
              <w:rPr>
                <w:sz w:val="20"/>
                <w:szCs w:val="20"/>
                <w:color w:val="auto"/>
              </w:rPr>
            </w:pPr>
            <w:r>
              <w:rPr>
                <w:rFonts w:ascii="Arial" w:cs="Arial" w:eastAsia="Arial" w:hAnsi="Arial"/>
                <w:sz w:val="18"/>
                <w:szCs w:val="18"/>
                <w:color w:val="auto"/>
                <w:w w:val="79"/>
              </w:rPr>
              <w:t>$</w:t>
            </w:r>
          </w:p>
        </w:tc>
        <w:tc>
          <w:tcPr>
            <w:tcW w:w="172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55,464</w:t>
            </w:r>
          </w:p>
        </w:tc>
        <w:tc>
          <w:tcPr>
            <w:tcW w:w="2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200" w:type="dxa"/>
            <w:vAlign w:val="bottom"/>
            <w:tcBorders>
              <w:top w:val="single" w:sz="8" w:color="auto"/>
            </w:tcBorders>
            <w:shd w:val="clear" w:color="auto" w:fill="EAF9E8"/>
          </w:tcPr>
          <w:p>
            <w:pPr>
              <w:jc w:val="right"/>
              <w:ind w:right="43"/>
              <w:spacing w:after="0"/>
              <w:rPr>
                <w:sz w:val="20"/>
                <w:szCs w:val="20"/>
                <w:color w:val="auto"/>
              </w:rPr>
            </w:pPr>
            <w:r>
              <w:rPr>
                <w:rFonts w:ascii="Arial" w:cs="Arial" w:eastAsia="Arial" w:hAnsi="Arial"/>
                <w:sz w:val="15"/>
                <w:szCs w:val="15"/>
                <w:color w:val="auto"/>
                <w:w w:val="71"/>
              </w:rPr>
              <w:t>$</w:t>
            </w:r>
          </w:p>
        </w:tc>
        <w:tc>
          <w:tcPr>
            <w:tcW w:w="180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79,988</w:t>
            </w:r>
          </w:p>
        </w:tc>
        <w:tc>
          <w:tcPr>
            <w:tcW w:w="12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940" w:type="dxa"/>
            <w:vAlign w:val="bottom"/>
            <w:gridSpan w:val="2"/>
          </w:tcPr>
          <w:p>
            <w:pPr>
              <w:spacing w:after="0"/>
              <w:rPr>
                <w:sz w:val="20"/>
                <w:szCs w:val="20"/>
                <w:color w:val="auto"/>
              </w:rPr>
            </w:pPr>
            <w:r>
              <w:rPr>
                <w:rFonts w:ascii="Arial" w:cs="Arial" w:eastAsia="Arial" w:hAnsi="Arial"/>
                <w:sz w:val="18"/>
                <w:szCs w:val="18"/>
                <w:color w:val="auto"/>
              </w:rPr>
              <w:t>10.875% Capital Trust Securities due August 1, 2027</w:t>
            </w:r>
          </w:p>
        </w:tc>
        <w:tc>
          <w:tcPr>
            <w:tcW w:w="280" w:type="dxa"/>
            <w:vAlign w:val="bottom"/>
          </w:tcPr>
          <w:p>
            <w:pPr>
              <w:spacing w:after="0"/>
              <w:rPr>
                <w:sz w:val="19"/>
                <w:szCs w:val="19"/>
                <w:color w:val="auto"/>
              </w:rPr>
            </w:pPr>
          </w:p>
        </w:tc>
        <w:tc>
          <w:tcPr>
            <w:tcW w:w="1740" w:type="dxa"/>
            <w:vAlign w:val="bottom"/>
            <w:gridSpan w:val="2"/>
          </w:tcPr>
          <w:p>
            <w:pPr>
              <w:jc w:val="right"/>
              <w:ind w:right="20"/>
              <w:spacing w:after="0"/>
              <w:rPr>
                <w:sz w:val="20"/>
                <w:szCs w:val="20"/>
                <w:color w:val="auto"/>
              </w:rPr>
            </w:pPr>
            <w:r>
              <w:rPr>
                <w:rFonts w:ascii="Arial" w:cs="Arial" w:eastAsia="Arial" w:hAnsi="Arial"/>
                <w:sz w:val="18"/>
                <w:szCs w:val="18"/>
                <w:color w:val="auto"/>
              </w:rPr>
              <w:t>53,379</w:t>
            </w: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53,379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1060" w:type="dxa"/>
            <w:vAlign w:val="bottom"/>
          </w:tcPr>
          <w:p>
            <w:pPr>
              <w:spacing w:after="0"/>
              <w:rPr>
                <w:sz w:val="20"/>
                <w:szCs w:val="20"/>
                <w:color w:val="auto"/>
              </w:rPr>
            </w:pPr>
          </w:p>
        </w:tc>
        <w:tc>
          <w:tcPr>
            <w:tcW w:w="5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40" w:type="dxa"/>
            <w:vAlign w:val="bottom"/>
            <w:gridSpan w:val="2"/>
          </w:tcPr>
          <w:p>
            <w:pPr>
              <w:spacing w:after="0"/>
              <w:rPr>
                <w:sz w:val="20"/>
                <w:szCs w:val="20"/>
                <w:color w:val="auto"/>
              </w:rPr>
            </w:pPr>
          </w:p>
        </w:tc>
        <w:tc>
          <w:tcPr>
            <w:tcW w:w="540" w:type="dxa"/>
            <w:vAlign w:val="bottom"/>
            <w:gridSpan w:val="2"/>
          </w:tcPr>
          <w:p>
            <w:pPr>
              <w:spacing w:after="0"/>
              <w:rPr>
                <w:sz w:val="20"/>
                <w:szCs w:val="20"/>
                <w:color w:val="auto"/>
              </w:rPr>
            </w:pPr>
          </w:p>
        </w:tc>
        <w:tc>
          <w:tcPr>
            <w:tcW w:w="1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060" w:type="dxa"/>
            <w:vAlign w:val="bottom"/>
            <w:shd w:val="clear" w:color="auto" w:fill="EAF9E8"/>
          </w:tcPr>
          <w:p>
            <w:pPr>
              <w:spacing w:after="0"/>
              <w:rPr>
                <w:sz w:val="18"/>
                <w:szCs w:val="18"/>
                <w:color w:val="auto"/>
              </w:rPr>
            </w:pPr>
          </w:p>
        </w:tc>
        <w:tc>
          <w:tcPr>
            <w:tcW w:w="5880" w:type="dxa"/>
            <w:vAlign w:val="bottom"/>
            <w:shd w:val="clear" w:color="auto" w:fill="EAF9E8"/>
          </w:tcPr>
          <w:p>
            <w:pPr>
              <w:spacing w:after="0"/>
              <w:rPr>
                <w:sz w:val="18"/>
                <w:szCs w:val="18"/>
                <w:color w:val="auto"/>
              </w:rPr>
            </w:pPr>
          </w:p>
        </w:tc>
        <w:tc>
          <w:tcPr>
            <w:tcW w:w="280" w:type="dxa"/>
            <w:vAlign w:val="bottom"/>
            <w:tcBorders>
              <w:top w:val="single" w:sz="8" w:color="auto"/>
            </w:tcBorders>
            <w:shd w:val="clear" w:color="auto" w:fill="EAF9E8"/>
          </w:tcPr>
          <w:p>
            <w:pPr>
              <w:jc w:val="right"/>
              <w:ind w:right="92"/>
              <w:spacing w:after="0"/>
              <w:rPr>
                <w:sz w:val="20"/>
                <w:szCs w:val="20"/>
                <w:color w:val="auto"/>
              </w:rPr>
            </w:pPr>
            <w:r>
              <w:rPr>
                <w:rFonts w:ascii="Arial" w:cs="Arial" w:eastAsia="Arial" w:hAnsi="Arial"/>
                <w:sz w:val="18"/>
                <w:szCs w:val="18"/>
                <w:color w:val="auto"/>
                <w:w w:val="79"/>
              </w:rPr>
              <w:t>$</w:t>
            </w:r>
          </w:p>
        </w:tc>
        <w:tc>
          <w:tcPr>
            <w:tcW w:w="1740" w:type="dxa"/>
            <w:vAlign w:val="bottom"/>
            <w:tcBorders>
              <w:top w:val="single" w:sz="8" w:color="auto"/>
            </w:tcBorders>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108,843</w:t>
            </w:r>
          </w:p>
        </w:tc>
        <w:tc>
          <w:tcPr>
            <w:tcW w:w="340" w:type="dxa"/>
            <w:vAlign w:val="bottom"/>
            <w:shd w:val="clear" w:color="auto" w:fill="EAF9E8"/>
          </w:tcPr>
          <w:p>
            <w:pPr>
              <w:spacing w:after="0"/>
              <w:rPr>
                <w:sz w:val="18"/>
                <w:szCs w:val="18"/>
                <w:color w:val="auto"/>
              </w:rPr>
            </w:pPr>
          </w:p>
        </w:tc>
        <w:tc>
          <w:tcPr>
            <w:tcW w:w="200" w:type="dxa"/>
            <w:vAlign w:val="bottom"/>
            <w:tcBorders>
              <w:top w:val="single" w:sz="8" w:color="auto"/>
            </w:tcBorders>
            <w:shd w:val="clear" w:color="auto" w:fill="EAF9E8"/>
          </w:tcPr>
          <w:p>
            <w:pPr>
              <w:jc w:val="right"/>
              <w:ind w:right="43"/>
              <w:spacing w:after="0"/>
              <w:rPr>
                <w:sz w:val="20"/>
                <w:szCs w:val="20"/>
                <w:color w:val="auto"/>
              </w:rPr>
            </w:pPr>
            <w:r>
              <w:rPr>
                <w:rFonts w:ascii="Arial" w:cs="Arial" w:eastAsia="Arial" w:hAnsi="Arial"/>
                <w:sz w:val="15"/>
                <w:szCs w:val="15"/>
                <w:color w:val="auto"/>
                <w:w w:val="71"/>
              </w:rPr>
              <w:t>$</w:t>
            </w:r>
          </w:p>
        </w:tc>
        <w:tc>
          <w:tcPr>
            <w:tcW w:w="180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133,367</w:t>
            </w:r>
          </w:p>
        </w:tc>
        <w:tc>
          <w:tcPr>
            <w:tcW w:w="12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060" w:type="dxa"/>
            <w:vAlign w:val="bottom"/>
          </w:tcPr>
          <w:p>
            <w:pPr>
              <w:spacing w:after="0"/>
              <w:rPr>
                <w:sz w:val="21"/>
                <w:szCs w:val="21"/>
                <w:color w:val="auto"/>
              </w:rPr>
            </w:pPr>
          </w:p>
        </w:tc>
        <w:tc>
          <w:tcPr>
            <w:tcW w:w="588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80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jc w:val="both"/>
        <w:ind w:firstLine="539"/>
        <w:spacing w:after="0" w:line="259" w:lineRule="auto"/>
        <w:rPr>
          <w:sz w:val="20"/>
          <w:szCs w:val="20"/>
          <w:color w:val="auto"/>
        </w:rPr>
      </w:pPr>
      <w:r>
        <w:rPr>
          <w:rFonts w:ascii="Arial" w:cs="Arial" w:eastAsia="Arial" w:hAnsi="Arial"/>
          <w:sz w:val="18"/>
          <w:szCs w:val="18"/>
          <w:color w:val="auto"/>
        </w:rPr>
        <w:t>Each of our debt securities contain qualitative and quantitative covenants that establish, among other things, the maintenance of specified net worth and restrictions on future indebtedness as well as the monitoring and reporting of various specified transactions or events. We are currently in compliance with these covenants.</w:t>
      </w:r>
    </w:p>
    <w:p>
      <w:pPr>
        <w:spacing w:after="0" w:line="194" w:lineRule="exact"/>
        <w:rPr>
          <w:sz w:val="20"/>
          <w:szCs w:val="20"/>
          <w:color w:val="auto"/>
        </w:rPr>
      </w:pPr>
    </w:p>
    <w:p>
      <w:pPr>
        <w:jc w:val="both"/>
        <w:ind w:firstLine="439"/>
        <w:spacing w:after="0" w:line="255" w:lineRule="auto"/>
        <w:rPr>
          <w:sz w:val="20"/>
          <w:szCs w:val="20"/>
          <w:color w:val="auto"/>
        </w:rPr>
      </w:pPr>
      <w:r>
        <w:rPr>
          <w:rFonts w:ascii="Arial" w:cs="Arial" w:eastAsia="Arial" w:hAnsi="Arial"/>
          <w:sz w:val="18"/>
          <w:szCs w:val="18"/>
          <w:i w:val="1"/>
          <w:iCs w:val="1"/>
          <w:color w:val="auto"/>
        </w:rPr>
        <w:t xml:space="preserve">Convertible Notes. </w:t>
      </w:r>
      <w:r>
        <w:rPr>
          <w:rFonts w:ascii="Arial" w:cs="Arial" w:eastAsia="Arial" w:hAnsi="Arial"/>
          <w:sz w:val="18"/>
          <w:szCs w:val="18"/>
          <w:color w:val="auto"/>
        </w:rPr>
        <w:t>In July 2004, OCN issued $175,000 aggregate principal amount of 3.25% Convertible Notes due 2024. The Convertible Notes are senior</w:t>
      </w:r>
      <w:r>
        <w:rPr>
          <w:rFonts w:ascii="Arial" w:cs="Arial" w:eastAsia="Arial" w:hAnsi="Arial"/>
          <w:sz w:val="18"/>
          <w:szCs w:val="18"/>
          <w:i w:val="1"/>
          <w:iCs w:val="1"/>
          <w:color w:val="auto"/>
        </w:rPr>
        <w:t xml:space="preserve"> </w:t>
      </w:r>
      <w:r>
        <w:rPr>
          <w:rFonts w:ascii="Arial" w:cs="Arial" w:eastAsia="Arial" w:hAnsi="Arial"/>
          <w:sz w:val="18"/>
          <w:szCs w:val="18"/>
          <w:color w:val="auto"/>
        </w:rPr>
        <w:t>general unsecured obligations not guaranteed by any of our subsidiaries and bear interest at the rate of 3.25% per year. Interest is payable on February 1 and August 1 of each year. The Convertible Notes mature on August 1, 2024. As a result of our adoption of FSP No. APB 14-1, we recognized a discount on the Convertible Notes. We are amortizing the debt discount over the period from the date of issuance to August 1, 2009, the first date at which holders may require us to repurchase their notes.</w:t>
      </w:r>
    </w:p>
    <w:p>
      <w:pPr>
        <w:spacing w:after="0" w:line="197" w:lineRule="exact"/>
        <w:rPr>
          <w:sz w:val="20"/>
          <w:szCs w:val="20"/>
          <w:color w:val="auto"/>
        </w:rPr>
      </w:pPr>
    </w:p>
    <w:p>
      <w:pPr>
        <w:jc w:val="both"/>
        <w:ind w:firstLine="455"/>
        <w:spacing w:after="0" w:line="335" w:lineRule="auto"/>
        <w:rPr>
          <w:sz w:val="20"/>
          <w:szCs w:val="20"/>
          <w:color w:val="auto"/>
        </w:rPr>
      </w:pPr>
      <w:r>
        <w:rPr>
          <w:rFonts w:ascii="Arial" w:cs="Arial" w:eastAsia="Arial" w:hAnsi="Arial"/>
          <w:sz w:val="15"/>
          <w:szCs w:val="15"/>
          <w:color w:val="auto"/>
        </w:rPr>
        <w:t>The principal outstanding on March 31, 2009 and December 31, 2008 of $56,445 and $82,355 is reported net of the unamortized debt discount of $981 and $2,367 respectively. Interest expense on the Convertible Notes for the first quarter of 2009 and 2008, respectively, include amortization of debt discount of $754 and $1,071 and cash interest expense at the contractual rate of $572 and $787. We are recognizing interest on the debt at an effective annual rate of 8.25%.</w:t>
      </w:r>
    </w:p>
    <w:p>
      <w:pPr>
        <w:spacing w:after="0" w:line="142" w:lineRule="exact"/>
        <w:rPr>
          <w:sz w:val="20"/>
          <w:szCs w:val="20"/>
          <w:color w:val="auto"/>
        </w:rPr>
      </w:pPr>
    </w:p>
    <w:p>
      <w:pPr>
        <w:jc w:val="both"/>
        <w:ind w:right="20" w:firstLine="620"/>
        <w:spacing w:after="0" w:line="268" w:lineRule="auto"/>
        <w:rPr>
          <w:sz w:val="20"/>
          <w:szCs w:val="20"/>
          <w:color w:val="auto"/>
        </w:rPr>
      </w:pPr>
      <w:r>
        <w:rPr>
          <w:rFonts w:ascii="Arial" w:cs="Arial" w:eastAsia="Arial" w:hAnsi="Arial"/>
          <w:sz w:val="18"/>
          <w:szCs w:val="18"/>
          <w:color w:val="auto"/>
        </w:rPr>
        <w:t>In February 2009, we repurchased $25,910 of our 3.25% Convertible Notes in the open market at a price equal to 95% of the principal amount. We recognized total gains of $534 on these repurchases, net of the write-off of unamortized issuance costs and debt discount.</w:t>
      </w:r>
    </w:p>
    <w:p>
      <w:pPr>
        <w:spacing w:after="0" w:line="186" w:lineRule="exact"/>
        <w:rPr>
          <w:sz w:val="20"/>
          <w:szCs w:val="20"/>
          <w:color w:val="auto"/>
        </w:rPr>
      </w:pPr>
    </w:p>
    <w:p>
      <w:pPr>
        <w:jc w:val="both"/>
        <w:ind w:firstLine="461"/>
        <w:spacing w:after="0" w:line="290" w:lineRule="auto"/>
        <w:rPr>
          <w:sz w:val="20"/>
          <w:szCs w:val="20"/>
          <w:color w:val="auto"/>
        </w:rPr>
      </w:pPr>
      <w:r>
        <w:rPr>
          <w:rFonts w:ascii="Arial" w:cs="Arial" w:eastAsia="Arial" w:hAnsi="Arial"/>
          <w:sz w:val="16"/>
          <w:szCs w:val="16"/>
          <w:color w:val="auto"/>
        </w:rPr>
        <w:t>Holders may convert all or a portion of their notes into shares of our common stock under the following circumstances: (1) at any time during any calendar quarter (and only during such calendar quarter) commencing after December 31, 2004, if the closing sale price of our common stock for at least 20 consecutive trading days in a period of 30 consecutive trading days ending on the last trading day of the preceding calendar quarter is greater than 125% of the conversion price per share of common stock on such last day; (2) subject to certain exceptions, during the five business day period after any five-consecutive-trading-day period in which the trading price per $1,000 (actual dollars) principal amount of the notes for each day of the five-consecutive-trading-day period was less than 98% of the product of the closing sale price of our common stock and the number of shares issuable upon conversion of $1,000 (actual dollars) principal amount of the notes; (3) if the notes have been called for redemption; or (4) upon the occurrence of specified corporate transactions.</w:t>
      </w:r>
    </w:p>
    <w:p>
      <w:pPr>
        <w:sectPr>
          <w:pgSz w:w="11900" w:h="16838" w:orient="portrait"/>
          <w:cols w:equalWidth="0" w:num="1">
            <w:col w:w="11420"/>
          </w:cols>
          <w:pgMar w:left="240" w:top="131" w:right="239" w:bottom="454" w:gutter="0" w:footer="0" w:header="0"/>
        </w:sectPr>
      </w:pP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67575"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31" w:right="239" w:bottom="454" w:gutter="0" w:footer="0" w:header="0"/>
          <w:type w:val="continuous"/>
        </w:sectPr>
      </w:pPr>
    </w:p>
    <w:bookmarkStart w:id="23" w:name="page24"/>
    <w:bookmarkEnd w:id="23"/>
    <w:p>
      <w:pPr>
        <w:jc w:val="both"/>
        <w:ind w:firstLine="534"/>
        <w:spacing w:after="0" w:line="254" w:lineRule="auto"/>
        <w:rPr>
          <w:sz w:val="20"/>
          <w:szCs w:val="20"/>
          <w:color w:val="auto"/>
        </w:rPr>
      </w:pPr>
      <w:r>
        <w:rPr>
          <w:rFonts w:ascii="Arial" w:cs="Arial" w:eastAsia="Arial" w:hAnsi="Arial"/>
          <w:sz w:val="18"/>
          <w:szCs w:val="18"/>
          <w:color w:val="auto"/>
        </w:rPr>
        <w:t>The conversion rate is 82.1693 shares of our common stock per $1,000 (actual dollars) principal amount of the notes, subject to adjustment. Events that may cause the conversion rate to be adjusted primarily relate to cash dividends or other distributions to holders of our common stock. Upon conversion, we may at our option choose to deliver, in lieu of our common stock, cash or a combination of cash and common stock. Upon the occurrence of a prorata stock distribution in connection with the Separation, the conversion price will be adjusted based on the 20-day average trading price of OCN’s common stock, subsequent to the ex-dividend date. At March 31, 2009 and December 31, 2008 the if-converted value of the Convertible Notes was $53,013 and $62,106 respectively.</w:t>
      </w:r>
    </w:p>
    <w:p>
      <w:pPr>
        <w:spacing w:after="0" w:line="198" w:lineRule="exact"/>
        <w:rPr>
          <w:sz w:val="20"/>
          <w:szCs w:val="20"/>
          <w:color w:val="auto"/>
        </w:rPr>
      </w:pPr>
    </w:p>
    <w:p>
      <w:pPr>
        <w:jc w:val="both"/>
        <w:ind w:firstLine="606"/>
        <w:spacing w:after="0" w:line="306" w:lineRule="auto"/>
        <w:rPr>
          <w:sz w:val="20"/>
          <w:szCs w:val="20"/>
          <w:color w:val="auto"/>
        </w:rPr>
      </w:pPr>
      <w:r>
        <w:rPr>
          <w:rFonts w:ascii="Arial" w:cs="Arial" w:eastAsia="Arial" w:hAnsi="Arial"/>
          <w:sz w:val="16"/>
          <w:szCs w:val="16"/>
          <w:color w:val="auto"/>
        </w:rPr>
        <w:t>Holders may require us to repurchase all or a portion of their notes for cash on August 1, 2009, August 1, 2014 and August 1, 2019. Also, upon the occurrence of a “fundamental change”, Holders may redeem the notes at a redemption price equal to 100% of the principal amount of the notes to be redeemed plus accrued and unpaid interest, if any. A “fundamental change” is a change of control or a termination of trading in our common stock.</w:t>
      </w:r>
    </w:p>
    <w:p>
      <w:pPr>
        <w:spacing w:after="0" w:line="161" w:lineRule="exact"/>
        <w:rPr>
          <w:sz w:val="20"/>
          <w:szCs w:val="20"/>
          <w:color w:val="auto"/>
        </w:rPr>
      </w:pPr>
    </w:p>
    <w:p>
      <w:pPr>
        <w:jc w:val="both"/>
        <w:ind w:firstLine="506"/>
        <w:spacing w:after="0" w:line="256" w:lineRule="auto"/>
        <w:rPr>
          <w:sz w:val="20"/>
          <w:szCs w:val="20"/>
          <w:color w:val="auto"/>
        </w:rPr>
      </w:pPr>
      <w:r>
        <w:rPr>
          <w:rFonts w:ascii="Arial" w:cs="Arial" w:eastAsia="Arial" w:hAnsi="Arial"/>
          <w:sz w:val="18"/>
          <w:szCs w:val="18"/>
          <w:i w:val="1"/>
          <w:iCs w:val="1"/>
          <w:color w:val="auto"/>
        </w:rPr>
        <w:t>Capital Trust Securities</w:t>
      </w:r>
      <w:r>
        <w:rPr>
          <w:rFonts w:ascii="Arial" w:cs="Arial" w:eastAsia="Arial" w:hAnsi="Arial"/>
          <w:sz w:val="18"/>
          <w:szCs w:val="18"/>
          <w:color w:val="auto"/>
        </w:rPr>
        <w:t>. In August 1997, Ocwen Capital Trust (OCT) issued $125,000 of 10.875% Capital Securities (the Capital Trust Securities). OCT</w:t>
      </w:r>
      <w:r>
        <w:rPr>
          <w:rFonts w:ascii="Arial" w:cs="Arial" w:eastAsia="Arial" w:hAnsi="Arial"/>
          <w:sz w:val="18"/>
          <w:szCs w:val="18"/>
          <w:i w:val="1"/>
          <w:iCs w:val="1"/>
          <w:color w:val="auto"/>
        </w:rPr>
        <w:t xml:space="preserve"> </w:t>
      </w:r>
      <w:r>
        <w:rPr>
          <w:rFonts w:ascii="Arial" w:cs="Arial" w:eastAsia="Arial" w:hAnsi="Arial"/>
          <w:sz w:val="18"/>
          <w:szCs w:val="18"/>
          <w:color w:val="auto"/>
        </w:rPr>
        <w:t>invested the proceeds from issuance of the Capital Trust Securities in 10.875% Junior Subordinated Debentures issued by OCN. The Junior Subordinated Debentures, which represent the sole assets of OCT, will mature on August 1, 2027. For financial reporting purposes, we treat OCT as a subsidiary and, accordingly, the accounts of OCT are included in our consolidated financial statements.</w:t>
      </w:r>
    </w:p>
    <w:p>
      <w:pPr>
        <w:spacing w:after="0" w:line="197" w:lineRule="exact"/>
        <w:rPr>
          <w:sz w:val="20"/>
          <w:szCs w:val="20"/>
          <w:color w:val="auto"/>
        </w:rPr>
      </w:pPr>
    </w:p>
    <w:p>
      <w:pPr>
        <w:jc w:val="both"/>
        <w:ind w:firstLine="657"/>
        <w:spacing w:after="0" w:line="254" w:lineRule="auto"/>
        <w:rPr>
          <w:sz w:val="20"/>
          <w:szCs w:val="20"/>
          <w:color w:val="auto"/>
        </w:rPr>
      </w:pPr>
      <w:r>
        <w:rPr>
          <w:rFonts w:ascii="Arial" w:cs="Arial" w:eastAsia="Arial" w:hAnsi="Arial"/>
          <w:sz w:val="18"/>
          <w:szCs w:val="18"/>
          <w:color w:val="auto"/>
        </w:rPr>
        <w:t>Holders of the Capital Trust Securities are entitled to receive cumulative cash distributions accruing from the date of original issuance and payable semiannually in arrears on February 1 and August 1 of each year at an annual rate of 10.875% of the liquidation amount of $1,000 (actual dollars) per Capital Security. OCN guarantees payment of distributions out of moneys held by OCT, and payments on liquidation of OCT or the redemption of Capital Trust Securities to the extent OCT has funds available. If OCN does not make principal or interest payments on the Junior Subordinated Debentures, OCT will not have sufficient funds to make distributions on the Capital Trust Securities in which event the guarantee shall not apply to such distributions until OCT has sufficient funds available therefore.</w:t>
      </w:r>
    </w:p>
    <w:p>
      <w:pPr>
        <w:spacing w:after="0" w:line="198" w:lineRule="exact"/>
        <w:rPr>
          <w:sz w:val="20"/>
          <w:szCs w:val="20"/>
          <w:color w:val="auto"/>
        </w:rPr>
      </w:pPr>
    </w:p>
    <w:p>
      <w:pPr>
        <w:jc w:val="both"/>
        <w:ind w:firstLine="589"/>
        <w:spacing w:after="0" w:line="288" w:lineRule="auto"/>
        <w:rPr>
          <w:sz w:val="20"/>
          <w:szCs w:val="20"/>
          <w:color w:val="auto"/>
        </w:rPr>
      </w:pPr>
      <w:r>
        <w:rPr>
          <w:rFonts w:ascii="Arial" w:cs="Arial" w:eastAsia="Arial" w:hAnsi="Arial"/>
          <w:sz w:val="16"/>
          <w:szCs w:val="16"/>
          <w:color w:val="auto"/>
        </w:rPr>
        <w:t>We have the right to defer payment of interest on the Junior Subordinated Debentures at any time or from time to time for a period not exceeding 10 consecutive semiannual periods with respect to each deferral period provided that no extension period may extend beyond the stated maturity of the Junior Subordinated Debentures. Upon the termination of any such extension period and the payment of all amounts then due on any interest payment date, we may elect to begin a new extension period. Accordingly, there could be multiple extension periods of varying lengths throughout the term of the Junior Subordinated Debentures. If we defer interest payments on the Junior Subordinated Debentures, distributions on the Capital Trust Securities will also be deferred, and we may not, nor may any of our subsidiaries, (i) declare or pay any dividends or distributions on, or redeem, purchase, acquire, or make a liquidation payment with respect to, their capital stock or (ii) make any payment of principal, interest or premium, if any, on or repay, repurchase or redeem any debt securities that rank pari passu with or junior to the Junior Subordinated Debentures. During an extension period, interest on the Junior Subordinated Debentures will continue to accrue at the rate of 10.875% per annum, compounded semiannually.</w:t>
      </w:r>
    </w:p>
    <w:p>
      <w:pPr>
        <w:spacing w:after="0" w:line="174" w:lineRule="exact"/>
        <w:rPr>
          <w:sz w:val="20"/>
          <w:szCs w:val="20"/>
          <w:color w:val="auto"/>
        </w:rPr>
      </w:pPr>
    </w:p>
    <w:p>
      <w:pPr>
        <w:jc w:val="both"/>
        <w:ind w:firstLine="575"/>
        <w:spacing w:after="0" w:line="259" w:lineRule="auto"/>
        <w:rPr>
          <w:sz w:val="20"/>
          <w:szCs w:val="20"/>
          <w:color w:val="auto"/>
        </w:rPr>
      </w:pPr>
      <w:r>
        <w:rPr>
          <w:rFonts w:ascii="Arial" w:cs="Arial" w:eastAsia="Arial" w:hAnsi="Arial"/>
          <w:sz w:val="18"/>
          <w:szCs w:val="18"/>
          <w:color w:val="auto"/>
        </w:rPr>
        <w:t>We may redeem the Junior Subordinated Debentures before maturity at our option subject to the receipt of any necessary prior regulatory approval, in whole or in part at the redemption prices (expressed as a percentage of the principal amount) set forth below, plus accrued interest thereon, if redeemed during the twelve-month period beginning on August 1 of the years indicated below:</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9680" w:type="dxa"/>
            <w:vAlign w:val="bottom"/>
          </w:tcPr>
          <w:p>
            <w:pPr>
              <w:spacing w:after="0"/>
              <w:rPr>
                <w:sz w:val="19"/>
                <w:szCs w:val="19"/>
                <w:color w:val="auto"/>
              </w:rPr>
            </w:pPr>
          </w:p>
        </w:tc>
        <w:tc>
          <w:tcPr>
            <w:tcW w:w="1620" w:type="dxa"/>
            <w:vAlign w:val="bottom"/>
          </w:tcPr>
          <w:p>
            <w:pPr>
              <w:ind w:left="380"/>
              <w:spacing w:after="0"/>
              <w:rPr>
                <w:sz w:val="20"/>
                <w:szCs w:val="20"/>
                <w:color w:val="auto"/>
              </w:rPr>
            </w:pPr>
            <w:r>
              <w:rPr>
                <w:rFonts w:ascii="Arial" w:cs="Arial" w:eastAsia="Arial" w:hAnsi="Arial"/>
                <w:sz w:val="18"/>
                <w:szCs w:val="18"/>
                <w:color w:val="auto"/>
              </w:rPr>
              <w:t>Percentages</w:t>
            </w:r>
          </w:p>
        </w:tc>
        <w:tc>
          <w:tcPr>
            <w:tcW w:w="120" w:type="dxa"/>
            <w:vAlign w:val="bottom"/>
          </w:tcPr>
          <w:p>
            <w:pPr>
              <w:spacing w:after="0"/>
              <w:rPr>
                <w:sz w:val="19"/>
                <w:szCs w:val="19"/>
                <w:color w:val="auto"/>
              </w:rPr>
            </w:pPr>
          </w:p>
        </w:tc>
      </w:tr>
      <w:tr>
        <w:trPr>
          <w:trHeight w:val="245"/>
        </w:trPr>
        <w:tc>
          <w:tcPr>
            <w:tcW w:w="9680" w:type="dxa"/>
            <w:vAlign w:val="bottom"/>
          </w:tcPr>
          <w:p>
            <w:pPr>
              <w:spacing w:after="0"/>
              <w:rPr>
                <w:sz w:val="21"/>
                <w:szCs w:val="21"/>
                <w:color w:val="auto"/>
              </w:rPr>
            </w:pPr>
          </w:p>
        </w:tc>
        <w:tc>
          <w:tcPr>
            <w:tcW w:w="162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r>
      <w:tr>
        <w:trPr>
          <w:trHeight w:val="210"/>
        </w:trPr>
        <w:tc>
          <w:tcPr>
            <w:tcW w:w="9680" w:type="dxa"/>
            <w:vAlign w:val="bottom"/>
            <w:shd w:val="clear" w:color="auto" w:fill="EAF9E8"/>
          </w:tcPr>
          <w:p>
            <w:pPr>
              <w:jc w:val="right"/>
              <w:ind w:right="9232"/>
              <w:spacing w:after="0"/>
              <w:rPr>
                <w:sz w:val="20"/>
                <w:szCs w:val="20"/>
                <w:color w:val="auto"/>
              </w:rPr>
            </w:pPr>
            <w:r>
              <w:rPr>
                <w:rFonts w:ascii="Arial" w:cs="Arial" w:eastAsia="Arial" w:hAnsi="Arial"/>
                <w:sz w:val="18"/>
                <w:szCs w:val="18"/>
                <w:color w:val="auto"/>
                <w:w w:val="84"/>
              </w:rPr>
              <w:t>2008</w:t>
            </w:r>
          </w:p>
        </w:tc>
        <w:tc>
          <w:tcPr>
            <w:tcW w:w="1620" w:type="dxa"/>
            <w:vAlign w:val="bottom"/>
            <w:shd w:val="clear" w:color="auto" w:fill="EAF9E8"/>
          </w:tcPr>
          <w:p>
            <w:pPr>
              <w:ind w:left="580"/>
              <w:spacing w:after="0"/>
              <w:rPr>
                <w:sz w:val="20"/>
                <w:szCs w:val="20"/>
                <w:color w:val="auto"/>
              </w:rPr>
            </w:pPr>
            <w:r>
              <w:rPr>
                <w:rFonts w:ascii="Arial" w:cs="Arial" w:eastAsia="Arial" w:hAnsi="Arial"/>
                <w:sz w:val="18"/>
                <w:szCs w:val="18"/>
                <w:color w:val="auto"/>
              </w:rPr>
              <w:t>104.894%</w:t>
            </w:r>
          </w:p>
        </w:tc>
        <w:tc>
          <w:tcPr>
            <w:tcW w:w="120" w:type="dxa"/>
            <w:vAlign w:val="bottom"/>
            <w:shd w:val="clear" w:color="auto" w:fill="EAF9E8"/>
          </w:tcPr>
          <w:p>
            <w:pPr>
              <w:spacing w:after="0"/>
              <w:rPr>
                <w:sz w:val="18"/>
                <w:szCs w:val="18"/>
                <w:color w:val="auto"/>
              </w:rPr>
            </w:pPr>
          </w:p>
        </w:tc>
      </w:tr>
      <w:tr>
        <w:trPr>
          <w:trHeight w:val="216"/>
        </w:trPr>
        <w:tc>
          <w:tcPr>
            <w:tcW w:w="9680" w:type="dxa"/>
            <w:vAlign w:val="bottom"/>
          </w:tcPr>
          <w:p>
            <w:pPr>
              <w:jc w:val="right"/>
              <w:ind w:right="9232"/>
              <w:spacing w:after="0"/>
              <w:rPr>
                <w:sz w:val="20"/>
                <w:szCs w:val="20"/>
                <w:color w:val="auto"/>
              </w:rPr>
            </w:pPr>
            <w:r>
              <w:rPr>
                <w:rFonts w:ascii="Arial" w:cs="Arial" w:eastAsia="Arial" w:hAnsi="Arial"/>
                <w:sz w:val="18"/>
                <w:szCs w:val="18"/>
                <w:color w:val="auto"/>
                <w:w w:val="84"/>
              </w:rPr>
              <w:t>2009</w:t>
            </w:r>
          </w:p>
        </w:tc>
        <w:tc>
          <w:tcPr>
            <w:tcW w:w="1620" w:type="dxa"/>
            <w:vAlign w:val="bottom"/>
          </w:tcPr>
          <w:p>
            <w:pPr>
              <w:ind w:left="580"/>
              <w:spacing w:after="0"/>
              <w:rPr>
                <w:sz w:val="20"/>
                <w:szCs w:val="20"/>
                <w:color w:val="auto"/>
              </w:rPr>
            </w:pPr>
            <w:r>
              <w:rPr>
                <w:rFonts w:ascii="Arial" w:cs="Arial" w:eastAsia="Arial" w:hAnsi="Arial"/>
                <w:sz w:val="18"/>
                <w:szCs w:val="18"/>
                <w:color w:val="auto"/>
              </w:rPr>
              <w:t>104.350</w:t>
            </w:r>
          </w:p>
        </w:tc>
        <w:tc>
          <w:tcPr>
            <w:tcW w:w="120" w:type="dxa"/>
            <w:vAlign w:val="bottom"/>
          </w:tcPr>
          <w:p>
            <w:pPr>
              <w:spacing w:after="0"/>
              <w:rPr>
                <w:sz w:val="18"/>
                <w:szCs w:val="18"/>
                <w:color w:val="auto"/>
              </w:rPr>
            </w:pPr>
          </w:p>
        </w:tc>
      </w:tr>
      <w:tr>
        <w:trPr>
          <w:trHeight w:val="216"/>
        </w:trPr>
        <w:tc>
          <w:tcPr>
            <w:tcW w:w="9680" w:type="dxa"/>
            <w:vAlign w:val="bottom"/>
            <w:shd w:val="clear" w:color="auto" w:fill="EAF9E8"/>
          </w:tcPr>
          <w:p>
            <w:pPr>
              <w:jc w:val="right"/>
              <w:ind w:right="9232"/>
              <w:spacing w:after="0"/>
              <w:rPr>
                <w:sz w:val="20"/>
                <w:szCs w:val="20"/>
                <w:color w:val="auto"/>
              </w:rPr>
            </w:pPr>
            <w:r>
              <w:rPr>
                <w:rFonts w:ascii="Arial" w:cs="Arial" w:eastAsia="Arial" w:hAnsi="Arial"/>
                <w:sz w:val="18"/>
                <w:szCs w:val="18"/>
                <w:color w:val="auto"/>
                <w:w w:val="84"/>
              </w:rPr>
              <w:t>2010</w:t>
            </w:r>
          </w:p>
        </w:tc>
        <w:tc>
          <w:tcPr>
            <w:tcW w:w="1620" w:type="dxa"/>
            <w:vAlign w:val="bottom"/>
            <w:shd w:val="clear" w:color="auto" w:fill="EAF9E8"/>
          </w:tcPr>
          <w:p>
            <w:pPr>
              <w:ind w:left="580"/>
              <w:spacing w:after="0"/>
              <w:rPr>
                <w:sz w:val="20"/>
                <w:szCs w:val="20"/>
                <w:color w:val="auto"/>
              </w:rPr>
            </w:pPr>
            <w:r>
              <w:rPr>
                <w:rFonts w:ascii="Arial" w:cs="Arial" w:eastAsia="Arial" w:hAnsi="Arial"/>
                <w:sz w:val="18"/>
                <w:szCs w:val="18"/>
                <w:color w:val="auto"/>
              </w:rPr>
              <w:t>103.806</w:t>
            </w:r>
          </w:p>
        </w:tc>
        <w:tc>
          <w:tcPr>
            <w:tcW w:w="120" w:type="dxa"/>
            <w:vAlign w:val="bottom"/>
            <w:shd w:val="clear" w:color="auto" w:fill="EAF9E8"/>
          </w:tcPr>
          <w:p>
            <w:pPr>
              <w:spacing w:after="0"/>
              <w:rPr>
                <w:sz w:val="18"/>
                <w:szCs w:val="18"/>
                <w:color w:val="auto"/>
              </w:rPr>
            </w:pPr>
          </w:p>
        </w:tc>
      </w:tr>
      <w:tr>
        <w:trPr>
          <w:trHeight w:val="216"/>
        </w:trPr>
        <w:tc>
          <w:tcPr>
            <w:tcW w:w="9680" w:type="dxa"/>
            <w:vAlign w:val="bottom"/>
          </w:tcPr>
          <w:p>
            <w:pPr>
              <w:jc w:val="right"/>
              <w:ind w:right="9232"/>
              <w:spacing w:after="0"/>
              <w:rPr>
                <w:sz w:val="20"/>
                <w:szCs w:val="20"/>
                <w:color w:val="auto"/>
              </w:rPr>
            </w:pPr>
            <w:r>
              <w:rPr>
                <w:rFonts w:ascii="Arial" w:cs="Arial" w:eastAsia="Arial" w:hAnsi="Arial"/>
                <w:sz w:val="18"/>
                <w:szCs w:val="18"/>
                <w:color w:val="auto"/>
                <w:w w:val="84"/>
              </w:rPr>
              <w:t>2011</w:t>
            </w:r>
          </w:p>
        </w:tc>
        <w:tc>
          <w:tcPr>
            <w:tcW w:w="1620" w:type="dxa"/>
            <w:vAlign w:val="bottom"/>
          </w:tcPr>
          <w:p>
            <w:pPr>
              <w:ind w:left="580"/>
              <w:spacing w:after="0"/>
              <w:rPr>
                <w:sz w:val="20"/>
                <w:szCs w:val="20"/>
                <w:color w:val="auto"/>
              </w:rPr>
            </w:pPr>
            <w:r>
              <w:rPr>
                <w:rFonts w:ascii="Arial" w:cs="Arial" w:eastAsia="Arial" w:hAnsi="Arial"/>
                <w:sz w:val="18"/>
                <w:szCs w:val="18"/>
                <w:color w:val="auto"/>
              </w:rPr>
              <w:t>103.263</w:t>
            </w:r>
          </w:p>
        </w:tc>
        <w:tc>
          <w:tcPr>
            <w:tcW w:w="120" w:type="dxa"/>
            <w:vAlign w:val="bottom"/>
          </w:tcPr>
          <w:p>
            <w:pPr>
              <w:spacing w:after="0"/>
              <w:rPr>
                <w:sz w:val="18"/>
                <w:szCs w:val="18"/>
                <w:color w:val="auto"/>
              </w:rPr>
            </w:pPr>
          </w:p>
        </w:tc>
      </w:tr>
      <w:tr>
        <w:trPr>
          <w:trHeight w:val="216"/>
        </w:trPr>
        <w:tc>
          <w:tcPr>
            <w:tcW w:w="9680" w:type="dxa"/>
            <w:vAlign w:val="bottom"/>
            <w:shd w:val="clear" w:color="auto" w:fill="EAF9E8"/>
          </w:tcPr>
          <w:p>
            <w:pPr>
              <w:jc w:val="right"/>
              <w:ind w:right="9232"/>
              <w:spacing w:after="0"/>
              <w:rPr>
                <w:sz w:val="20"/>
                <w:szCs w:val="20"/>
                <w:color w:val="auto"/>
              </w:rPr>
            </w:pPr>
            <w:r>
              <w:rPr>
                <w:rFonts w:ascii="Arial" w:cs="Arial" w:eastAsia="Arial" w:hAnsi="Arial"/>
                <w:sz w:val="18"/>
                <w:szCs w:val="18"/>
                <w:color w:val="auto"/>
                <w:w w:val="84"/>
              </w:rPr>
              <w:t>2012</w:t>
            </w:r>
          </w:p>
        </w:tc>
        <w:tc>
          <w:tcPr>
            <w:tcW w:w="1620" w:type="dxa"/>
            <w:vAlign w:val="bottom"/>
            <w:shd w:val="clear" w:color="auto" w:fill="EAF9E8"/>
          </w:tcPr>
          <w:p>
            <w:pPr>
              <w:ind w:left="580"/>
              <w:spacing w:after="0"/>
              <w:rPr>
                <w:sz w:val="20"/>
                <w:szCs w:val="20"/>
                <w:color w:val="auto"/>
              </w:rPr>
            </w:pPr>
            <w:r>
              <w:rPr>
                <w:rFonts w:ascii="Arial" w:cs="Arial" w:eastAsia="Arial" w:hAnsi="Arial"/>
                <w:sz w:val="18"/>
                <w:szCs w:val="18"/>
                <w:color w:val="auto"/>
              </w:rPr>
              <w:t>102.719</w:t>
            </w:r>
          </w:p>
        </w:tc>
        <w:tc>
          <w:tcPr>
            <w:tcW w:w="120" w:type="dxa"/>
            <w:vAlign w:val="bottom"/>
            <w:shd w:val="clear" w:color="auto" w:fill="EAF9E8"/>
          </w:tcPr>
          <w:p>
            <w:pPr>
              <w:spacing w:after="0"/>
              <w:rPr>
                <w:sz w:val="18"/>
                <w:szCs w:val="18"/>
                <w:color w:val="auto"/>
              </w:rPr>
            </w:pPr>
          </w:p>
        </w:tc>
      </w:tr>
      <w:tr>
        <w:trPr>
          <w:trHeight w:val="216"/>
        </w:trPr>
        <w:tc>
          <w:tcPr>
            <w:tcW w:w="9680" w:type="dxa"/>
            <w:vAlign w:val="bottom"/>
          </w:tcPr>
          <w:p>
            <w:pPr>
              <w:jc w:val="right"/>
              <w:ind w:right="9232"/>
              <w:spacing w:after="0"/>
              <w:rPr>
                <w:sz w:val="20"/>
                <w:szCs w:val="20"/>
                <w:color w:val="auto"/>
              </w:rPr>
            </w:pPr>
            <w:r>
              <w:rPr>
                <w:rFonts w:ascii="Arial" w:cs="Arial" w:eastAsia="Arial" w:hAnsi="Arial"/>
                <w:sz w:val="18"/>
                <w:szCs w:val="18"/>
                <w:color w:val="auto"/>
                <w:w w:val="84"/>
              </w:rPr>
              <w:t>2013</w:t>
            </w:r>
          </w:p>
        </w:tc>
        <w:tc>
          <w:tcPr>
            <w:tcW w:w="1620" w:type="dxa"/>
            <w:vAlign w:val="bottom"/>
          </w:tcPr>
          <w:p>
            <w:pPr>
              <w:ind w:left="580"/>
              <w:spacing w:after="0"/>
              <w:rPr>
                <w:sz w:val="20"/>
                <w:szCs w:val="20"/>
                <w:color w:val="auto"/>
              </w:rPr>
            </w:pPr>
            <w:r>
              <w:rPr>
                <w:rFonts w:ascii="Arial" w:cs="Arial" w:eastAsia="Arial" w:hAnsi="Arial"/>
                <w:sz w:val="18"/>
                <w:szCs w:val="18"/>
                <w:color w:val="auto"/>
              </w:rPr>
              <w:t>102.175</w:t>
            </w:r>
          </w:p>
        </w:tc>
        <w:tc>
          <w:tcPr>
            <w:tcW w:w="120" w:type="dxa"/>
            <w:vAlign w:val="bottom"/>
          </w:tcPr>
          <w:p>
            <w:pPr>
              <w:spacing w:after="0"/>
              <w:rPr>
                <w:sz w:val="18"/>
                <w:szCs w:val="18"/>
                <w:color w:val="auto"/>
              </w:rPr>
            </w:pPr>
          </w:p>
        </w:tc>
      </w:tr>
      <w:tr>
        <w:trPr>
          <w:trHeight w:val="216"/>
        </w:trPr>
        <w:tc>
          <w:tcPr>
            <w:tcW w:w="9680" w:type="dxa"/>
            <w:vAlign w:val="bottom"/>
            <w:shd w:val="clear" w:color="auto" w:fill="EAF9E8"/>
          </w:tcPr>
          <w:p>
            <w:pPr>
              <w:jc w:val="right"/>
              <w:ind w:right="9232"/>
              <w:spacing w:after="0"/>
              <w:rPr>
                <w:sz w:val="20"/>
                <w:szCs w:val="20"/>
                <w:color w:val="auto"/>
              </w:rPr>
            </w:pPr>
            <w:r>
              <w:rPr>
                <w:rFonts w:ascii="Arial" w:cs="Arial" w:eastAsia="Arial" w:hAnsi="Arial"/>
                <w:sz w:val="18"/>
                <w:szCs w:val="18"/>
                <w:color w:val="auto"/>
                <w:w w:val="84"/>
              </w:rPr>
              <w:t>2014</w:t>
            </w:r>
          </w:p>
        </w:tc>
        <w:tc>
          <w:tcPr>
            <w:tcW w:w="1620" w:type="dxa"/>
            <w:vAlign w:val="bottom"/>
            <w:shd w:val="clear" w:color="auto" w:fill="EAF9E8"/>
          </w:tcPr>
          <w:p>
            <w:pPr>
              <w:ind w:left="580"/>
              <w:spacing w:after="0"/>
              <w:rPr>
                <w:sz w:val="20"/>
                <w:szCs w:val="20"/>
                <w:color w:val="auto"/>
              </w:rPr>
            </w:pPr>
            <w:r>
              <w:rPr>
                <w:rFonts w:ascii="Arial" w:cs="Arial" w:eastAsia="Arial" w:hAnsi="Arial"/>
                <w:sz w:val="18"/>
                <w:szCs w:val="18"/>
                <w:color w:val="auto"/>
              </w:rPr>
              <w:t>101.631</w:t>
            </w:r>
          </w:p>
        </w:tc>
        <w:tc>
          <w:tcPr>
            <w:tcW w:w="120" w:type="dxa"/>
            <w:vAlign w:val="bottom"/>
            <w:shd w:val="clear" w:color="auto" w:fill="EAF9E8"/>
          </w:tcPr>
          <w:p>
            <w:pPr>
              <w:spacing w:after="0"/>
              <w:rPr>
                <w:sz w:val="18"/>
                <w:szCs w:val="18"/>
                <w:color w:val="auto"/>
              </w:rPr>
            </w:pPr>
          </w:p>
        </w:tc>
      </w:tr>
      <w:tr>
        <w:trPr>
          <w:trHeight w:val="216"/>
        </w:trPr>
        <w:tc>
          <w:tcPr>
            <w:tcW w:w="9680" w:type="dxa"/>
            <w:vAlign w:val="bottom"/>
          </w:tcPr>
          <w:p>
            <w:pPr>
              <w:jc w:val="right"/>
              <w:ind w:right="9232"/>
              <w:spacing w:after="0"/>
              <w:rPr>
                <w:sz w:val="20"/>
                <w:szCs w:val="20"/>
                <w:color w:val="auto"/>
              </w:rPr>
            </w:pPr>
            <w:r>
              <w:rPr>
                <w:rFonts w:ascii="Arial" w:cs="Arial" w:eastAsia="Arial" w:hAnsi="Arial"/>
                <w:sz w:val="18"/>
                <w:szCs w:val="18"/>
                <w:color w:val="auto"/>
                <w:w w:val="84"/>
              </w:rPr>
              <w:t>2015</w:t>
            </w:r>
          </w:p>
        </w:tc>
        <w:tc>
          <w:tcPr>
            <w:tcW w:w="1620" w:type="dxa"/>
            <w:vAlign w:val="bottom"/>
          </w:tcPr>
          <w:p>
            <w:pPr>
              <w:ind w:left="580"/>
              <w:spacing w:after="0"/>
              <w:rPr>
                <w:sz w:val="20"/>
                <w:szCs w:val="20"/>
                <w:color w:val="auto"/>
              </w:rPr>
            </w:pPr>
            <w:r>
              <w:rPr>
                <w:rFonts w:ascii="Arial" w:cs="Arial" w:eastAsia="Arial" w:hAnsi="Arial"/>
                <w:sz w:val="18"/>
                <w:szCs w:val="18"/>
                <w:color w:val="auto"/>
              </w:rPr>
              <w:t>101.088</w:t>
            </w:r>
          </w:p>
        </w:tc>
        <w:tc>
          <w:tcPr>
            <w:tcW w:w="120" w:type="dxa"/>
            <w:vAlign w:val="bottom"/>
          </w:tcPr>
          <w:p>
            <w:pPr>
              <w:spacing w:after="0"/>
              <w:rPr>
                <w:sz w:val="18"/>
                <w:szCs w:val="18"/>
                <w:color w:val="auto"/>
              </w:rPr>
            </w:pPr>
          </w:p>
        </w:tc>
      </w:tr>
      <w:tr>
        <w:trPr>
          <w:trHeight w:val="216"/>
        </w:trPr>
        <w:tc>
          <w:tcPr>
            <w:tcW w:w="9680" w:type="dxa"/>
            <w:vAlign w:val="bottom"/>
            <w:shd w:val="clear" w:color="auto" w:fill="EAF9E8"/>
          </w:tcPr>
          <w:p>
            <w:pPr>
              <w:jc w:val="right"/>
              <w:ind w:right="9232"/>
              <w:spacing w:after="0"/>
              <w:rPr>
                <w:sz w:val="20"/>
                <w:szCs w:val="20"/>
                <w:color w:val="auto"/>
              </w:rPr>
            </w:pPr>
            <w:r>
              <w:rPr>
                <w:rFonts w:ascii="Arial" w:cs="Arial" w:eastAsia="Arial" w:hAnsi="Arial"/>
                <w:sz w:val="18"/>
                <w:szCs w:val="18"/>
                <w:color w:val="auto"/>
                <w:w w:val="84"/>
              </w:rPr>
              <w:t>2016</w:t>
            </w:r>
          </w:p>
        </w:tc>
        <w:tc>
          <w:tcPr>
            <w:tcW w:w="1620" w:type="dxa"/>
            <w:vAlign w:val="bottom"/>
            <w:shd w:val="clear" w:color="auto" w:fill="EAF9E8"/>
          </w:tcPr>
          <w:p>
            <w:pPr>
              <w:ind w:left="580"/>
              <w:spacing w:after="0"/>
              <w:rPr>
                <w:sz w:val="20"/>
                <w:szCs w:val="20"/>
                <w:color w:val="auto"/>
              </w:rPr>
            </w:pPr>
            <w:r>
              <w:rPr>
                <w:rFonts w:ascii="Arial" w:cs="Arial" w:eastAsia="Arial" w:hAnsi="Arial"/>
                <w:sz w:val="18"/>
                <w:szCs w:val="18"/>
                <w:color w:val="auto"/>
              </w:rPr>
              <w:t>100.544</w:t>
            </w:r>
          </w:p>
        </w:tc>
        <w:tc>
          <w:tcPr>
            <w:tcW w:w="120" w:type="dxa"/>
            <w:vAlign w:val="bottom"/>
            <w:shd w:val="clear" w:color="auto" w:fill="EAF9E8"/>
          </w:tcPr>
          <w:p>
            <w:pPr>
              <w:spacing w:after="0"/>
              <w:rPr>
                <w:sz w:val="18"/>
                <w:szCs w:val="18"/>
                <w:color w:val="auto"/>
              </w:rPr>
            </w:pPr>
          </w:p>
        </w:tc>
      </w:tr>
    </w:tbl>
    <w:p>
      <w:pPr>
        <w:spacing w:after="0" w:line="20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On or after August 1, 2017, the redemption price will be 100%, plus accrued interest to the redemption date.</w:t>
      </w:r>
    </w:p>
    <w:p>
      <w:pPr>
        <w:spacing w:after="0" w:line="225" w:lineRule="exact"/>
        <w:rPr>
          <w:sz w:val="20"/>
          <w:szCs w:val="20"/>
          <w:color w:val="auto"/>
        </w:rPr>
      </w:pPr>
    </w:p>
    <w:p>
      <w:pPr>
        <w:jc w:val="both"/>
        <w:ind w:firstLine="583"/>
        <w:spacing w:after="0" w:line="255" w:lineRule="auto"/>
        <w:rPr>
          <w:sz w:val="20"/>
          <w:szCs w:val="20"/>
          <w:color w:val="auto"/>
        </w:rPr>
      </w:pPr>
      <w:r>
        <w:rPr>
          <w:rFonts w:ascii="Arial" w:cs="Arial" w:eastAsia="Arial" w:hAnsi="Arial"/>
          <w:sz w:val="18"/>
          <w:szCs w:val="18"/>
          <w:color w:val="auto"/>
        </w:rPr>
        <w:t>We may also redeem the Junior Subordinated Debentures at any time upon the occurrence and continuation of a special event (defined as a tax event, regulatory capital event or an investment company event) at 100%. The Capital Trust Securities are subject to mandatory redemption upon repayment of the Junior Subordinated Debentures, in an amount equal to the amount of the related Junior Subordinated Debentures maturing or being redeemed and at a redemption price equal to the redemption price of the Junior Subordinated Debentures, plus accumulated and unpaid distributions thereon to the date of redemption.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4" w:name="page25"/>
    <w:bookmarkEnd w:id="24"/>
    <w:p>
      <w:pPr>
        <w:spacing w:after="0"/>
        <w:tabs>
          <w:tab w:leader="none" w:pos="1360" w:val="left"/>
        </w:tabs>
        <w:rPr>
          <w:sz w:val="20"/>
          <w:szCs w:val="20"/>
          <w:color w:val="auto"/>
        </w:rPr>
      </w:pPr>
      <w:r>
        <w:rPr>
          <w:rFonts w:ascii="Arial" w:cs="Arial" w:eastAsia="Arial" w:hAnsi="Arial"/>
          <w:sz w:val="18"/>
          <w:szCs w:val="18"/>
          <w:b w:val="1"/>
          <w:bCs w:val="1"/>
          <w:color w:val="auto"/>
        </w:rPr>
        <w:t>NOTE 17</w:t>
      </w:r>
      <w:r>
        <w:rPr>
          <w:sz w:val="20"/>
          <w:szCs w:val="20"/>
          <w:color w:val="auto"/>
        </w:rPr>
        <w:tab/>
      </w:r>
      <w:r>
        <w:rPr>
          <w:rFonts w:ascii="Arial" w:cs="Arial" w:eastAsia="Arial" w:hAnsi="Arial"/>
          <w:sz w:val="16"/>
          <w:szCs w:val="16"/>
          <w:b w:val="1"/>
          <w:bCs w:val="1"/>
          <w:color w:val="auto"/>
        </w:rPr>
        <w:t>BASIC AND DILUTED EARNINGS PER SHARE</w:t>
      </w:r>
    </w:p>
    <w:p>
      <w:pPr>
        <w:spacing w:after="0" w:line="231" w:lineRule="exact"/>
        <w:rPr>
          <w:sz w:val="20"/>
          <w:szCs w:val="20"/>
          <w:color w:val="auto"/>
        </w:rPr>
      </w:pPr>
    </w:p>
    <w:p>
      <w:pPr>
        <w:jc w:val="both"/>
        <w:ind w:firstLine="517"/>
        <w:spacing w:after="0" w:line="298" w:lineRule="auto"/>
        <w:rPr>
          <w:sz w:val="20"/>
          <w:szCs w:val="20"/>
          <w:color w:val="auto"/>
        </w:rPr>
      </w:pPr>
      <w:r>
        <w:rPr>
          <w:rFonts w:ascii="Arial" w:cs="Arial" w:eastAsia="Arial" w:hAnsi="Arial"/>
          <w:sz w:val="16"/>
          <w:szCs w:val="16"/>
          <w:color w:val="auto"/>
        </w:rPr>
        <w:t>Basic EPS excludes common stock equivalents and is calculated by dividing net income by the weighted average number of common shares outstanding during the period. We calculate diluted EPS by dividing net income, as adjusted to add back interest expense net of tax on the Convertible Notes, by the weighted average number of common shares outstanding including the potential dilutive common shares related to outstanding stock options, restricted stock awards and the Convertible Notes. The following is a reconciliation of the calculation of basic EPS to diluted EPS for the three months ended March 31:</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2009</w:t>
            </w: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40" w:type="dxa"/>
            <w:vAlign w:val="bottom"/>
          </w:tcPr>
          <w:p>
            <w:pPr>
              <w:jc w:val="right"/>
              <w:ind w:right="732"/>
              <w:spacing w:after="0"/>
              <w:rPr>
                <w:sz w:val="20"/>
                <w:szCs w:val="20"/>
                <w:color w:val="auto"/>
              </w:rPr>
            </w:pPr>
            <w:r>
              <w:rPr>
                <w:rFonts w:ascii="Arial" w:cs="Arial" w:eastAsia="Arial" w:hAnsi="Arial"/>
                <w:sz w:val="18"/>
                <w:szCs w:val="18"/>
                <w:color w:val="auto"/>
              </w:rPr>
              <w:t>2008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20" w:type="dxa"/>
            <w:vAlign w:val="bottom"/>
          </w:tcPr>
          <w:p>
            <w:pPr>
              <w:spacing w:after="0"/>
              <w:rPr>
                <w:sz w:val="21"/>
                <w:szCs w:val="21"/>
                <w:color w:val="auto"/>
              </w:rPr>
            </w:pPr>
          </w:p>
        </w:tc>
        <w:tc>
          <w:tcPr>
            <w:tcW w:w="120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80" w:type="dxa"/>
            <w:vAlign w:val="bottom"/>
            <w:tcBorders>
              <w:bottom w:val="single" w:sz="8" w:color="auto"/>
            </w:tcBorders>
            <w:shd w:val="clear" w:color="auto" w:fill="EAF9E8"/>
          </w:tcPr>
          <w:p>
            <w:pPr>
              <w:spacing w:after="0" w:line="170" w:lineRule="exact"/>
              <w:rPr>
                <w:sz w:val="20"/>
                <w:szCs w:val="20"/>
                <w:color w:val="auto"/>
              </w:rPr>
            </w:pPr>
            <w:r>
              <w:rPr>
                <w:rFonts w:ascii="Arial" w:cs="Arial" w:eastAsia="Arial" w:hAnsi="Arial"/>
                <w:sz w:val="18"/>
                <w:szCs w:val="18"/>
                <w:color w:val="auto"/>
                <w:w w:val="84"/>
              </w:rPr>
              <w:t>Basic EPS:</w:t>
            </w:r>
          </w:p>
        </w:tc>
        <w:tc>
          <w:tcPr>
            <w:tcW w:w="6140" w:type="dxa"/>
            <w:vAlign w:val="bottom"/>
            <w:tcBorders>
              <w:bottom w:val="single" w:sz="8" w:color="EAF9E8"/>
            </w:tcBorders>
            <w:gridSpan w:val="2"/>
            <w:shd w:val="clear" w:color="auto" w:fill="EAF9E8"/>
          </w:tcPr>
          <w:p>
            <w:pPr>
              <w:spacing w:after="0"/>
              <w:rPr>
                <w:sz w:val="16"/>
                <w:szCs w:val="16"/>
                <w:color w:val="auto"/>
              </w:rPr>
            </w:pPr>
          </w:p>
        </w:tc>
        <w:tc>
          <w:tcPr>
            <w:tcW w:w="1200" w:type="dxa"/>
            <w:vAlign w:val="bottom"/>
            <w:tcBorders>
              <w:bottom w:val="single" w:sz="8" w:color="EAF9E8"/>
            </w:tcBorders>
            <w:shd w:val="clear" w:color="auto" w:fill="EAF9E8"/>
          </w:tcPr>
          <w:p>
            <w:pPr>
              <w:spacing w:after="0"/>
              <w:rPr>
                <w:sz w:val="16"/>
                <w:szCs w:val="16"/>
                <w:color w:val="auto"/>
              </w:rPr>
            </w:pPr>
          </w:p>
        </w:tc>
        <w:tc>
          <w:tcPr>
            <w:tcW w:w="800" w:type="dxa"/>
            <w:vAlign w:val="bottom"/>
            <w:tcBorders>
              <w:bottom w:val="single" w:sz="8" w:color="EAF9E8"/>
            </w:tcBorders>
            <w:shd w:val="clear" w:color="auto" w:fill="EAF9E8"/>
          </w:tcPr>
          <w:p>
            <w:pPr>
              <w:spacing w:after="0"/>
              <w:rPr>
                <w:sz w:val="16"/>
                <w:szCs w:val="16"/>
                <w:color w:val="auto"/>
              </w:rPr>
            </w:pPr>
          </w:p>
        </w:tc>
        <w:tc>
          <w:tcPr>
            <w:tcW w:w="20" w:type="dxa"/>
            <w:vAlign w:val="bottom"/>
            <w:tcBorders>
              <w:bottom w:val="single" w:sz="8" w:color="EAF9E8"/>
            </w:tcBorders>
            <w:shd w:val="clear" w:color="auto" w:fill="EAF9E8"/>
          </w:tcPr>
          <w:p>
            <w:pPr>
              <w:spacing w:after="0"/>
              <w:rPr>
                <w:sz w:val="16"/>
                <w:szCs w:val="16"/>
                <w:color w:val="auto"/>
              </w:rPr>
            </w:pPr>
          </w:p>
        </w:tc>
        <w:tc>
          <w:tcPr>
            <w:tcW w:w="340" w:type="dxa"/>
            <w:vAlign w:val="bottom"/>
            <w:tcBorders>
              <w:bottom w:val="single" w:sz="8" w:color="EAF9E8"/>
            </w:tcBorders>
            <w:shd w:val="clear" w:color="auto" w:fill="EAF9E8"/>
          </w:tcPr>
          <w:p>
            <w:pPr>
              <w:spacing w:after="0"/>
              <w:rPr>
                <w:sz w:val="16"/>
                <w:szCs w:val="16"/>
                <w:color w:val="auto"/>
              </w:rPr>
            </w:pPr>
          </w:p>
        </w:tc>
        <w:tc>
          <w:tcPr>
            <w:tcW w:w="460" w:type="dxa"/>
            <w:vAlign w:val="bottom"/>
            <w:tcBorders>
              <w:bottom w:val="single" w:sz="8" w:color="EAF9E8"/>
            </w:tcBorders>
            <w:shd w:val="clear" w:color="auto" w:fill="EAF9E8"/>
          </w:tcPr>
          <w:p>
            <w:pPr>
              <w:spacing w:after="0"/>
              <w:rPr>
                <w:sz w:val="16"/>
                <w:szCs w:val="16"/>
                <w:color w:val="auto"/>
              </w:rPr>
            </w:pPr>
          </w:p>
        </w:tc>
        <w:tc>
          <w:tcPr>
            <w:tcW w:w="1540" w:type="dxa"/>
            <w:vAlign w:val="bottom"/>
            <w:tcBorders>
              <w:bottom w:val="single" w:sz="8" w:color="EAF9E8"/>
            </w:tcBorders>
            <w:shd w:val="clear" w:color="auto" w:fill="EAF9E8"/>
          </w:tcPr>
          <w:p>
            <w:pPr>
              <w:spacing w:after="0"/>
              <w:rPr>
                <w:sz w:val="16"/>
                <w:szCs w:val="16"/>
                <w:color w:val="auto"/>
              </w:rPr>
            </w:pPr>
          </w:p>
        </w:tc>
        <w:tc>
          <w:tcPr>
            <w:tcW w:w="120" w:type="dxa"/>
            <w:vAlign w:val="bottom"/>
            <w:tcBorders>
              <w:bottom w:val="single" w:sz="8" w:color="EAF9E8"/>
            </w:tcBorders>
            <w:shd w:val="clear" w:color="auto" w:fill="EAF9E8"/>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920" w:type="dxa"/>
            <w:vAlign w:val="bottom"/>
            <w:gridSpan w:val="3"/>
          </w:tcPr>
          <w:p>
            <w:pPr>
              <w:spacing w:after="0"/>
              <w:rPr>
                <w:sz w:val="20"/>
                <w:szCs w:val="20"/>
                <w:color w:val="auto"/>
              </w:rPr>
            </w:pPr>
            <w:r>
              <w:rPr>
                <w:rFonts w:ascii="Arial" w:cs="Arial" w:eastAsia="Arial" w:hAnsi="Arial"/>
                <w:sz w:val="18"/>
                <w:szCs w:val="18"/>
                <w:color w:val="auto"/>
              </w:rPr>
              <w:t>Net income attributable to OCN</w:t>
            </w:r>
          </w:p>
        </w:tc>
        <w:tc>
          <w:tcPr>
            <w:tcW w:w="1200" w:type="dxa"/>
            <w:vAlign w:val="bottom"/>
          </w:tcPr>
          <w:p>
            <w:pPr>
              <w:jc w:val="right"/>
              <w:ind w:right="1012"/>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15,109</w:t>
            </w:r>
          </w:p>
        </w:tc>
        <w:tc>
          <w:tcPr>
            <w:tcW w:w="800" w:type="dxa"/>
            <w:vAlign w:val="bottom"/>
            <w:gridSpan w:val="2"/>
          </w:tcPr>
          <w:p>
            <w:pPr>
              <w:jc w:val="right"/>
              <w:ind w:right="303"/>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5,272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00" w:type="dxa"/>
            <w:vAlign w:val="bottom"/>
            <w:gridSpan w:val="2"/>
          </w:tcPr>
          <w:p>
            <w:pPr>
              <w:spacing w:after="0"/>
              <w:rPr>
                <w:sz w:val="20"/>
                <w:szCs w:val="20"/>
                <w:color w:val="auto"/>
              </w:rPr>
            </w:pPr>
          </w:p>
        </w:tc>
        <w:tc>
          <w:tcPr>
            <w:tcW w:w="120" w:type="dxa"/>
            <w:vAlign w:val="bottom"/>
          </w:tcPr>
          <w:p>
            <w:pPr>
              <w:spacing w:after="0"/>
              <w:rPr>
                <w:sz w:val="20"/>
                <w:szCs w:val="20"/>
                <w:color w:val="auto"/>
              </w:rPr>
            </w:pPr>
          </w:p>
        </w:tc>
        <w:tc>
          <w:tcPr>
            <w:tcW w:w="6020" w:type="dxa"/>
            <w:vAlign w:val="bottom"/>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gridSpan w:val="2"/>
          </w:tcPr>
          <w:p>
            <w:pPr>
              <w:spacing w:after="0"/>
              <w:rPr>
                <w:sz w:val="20"/>
                <w:szCs w:val="20"/>
                <w:color w:val="auto"/>
              </w:rPr>
            </w:pPr>
          </w:p>
        </w:tc>
        <w:tc>
          <w:tcPr>
            <w:tcW w:w="34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restart"/>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20" w:type="dxa"/>
            <w:vAlign w:val="bottom"/>
            <w:gridSpan w:val="2"/>
          </w:tcPr>
          <w:p>
            <w:pPr>
              <w:spacing w:after="0"/>
              <w:rPr>
                <w:sz w:val="11"/>
                <w:szCs w:val="11"/>
                <w:color w:val="auto"/>
              </w:rPr>
            </w:pPr>
          </w:p>
        </w:tc>
        <w:tc>
          <w:tcPr>
            <w:tcW w:w="3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20" w:type="dxa"/>
            <w:vAlign w:val="bottom"/>
            <w:gridSpan w:val="3"/>
            <w:shd w:val="clear" w:color="auto" w:fill="EAF9E8"/>
          </w:tcPr>
          <w:p>
            <w:pPr>
              <w:spacing w:after="0"/>
              <w:rPr>
                <w:sz w:val="20"/>
                <w:szCs w:val="20"/>
                <w:color w:val="auto"/>
              </w:rPr>
            </w:pPr>
            <w:r>
              <w:rPr>
                <w:rFonts w:ascii="Arial" w:cs="Arial" w:eastAsia="Arial" w:hAnsi="Arial"/>
                <w:sz w:val="18"/>
                <w:szCs w:val="18"/>
                <w:color w:val="auto"/>
              </w:rPr>
              <w:t>Weighted average shares of common stock</w:t>
            </w:r>
          </w:p>
        </w:tc>
        <w:tc>
          <w:tcPr>
            <w:tcW w:w="1200" w:type="dxa"/>
            <w:vAlign w:val="bottom"/>
            <w:shd w:val="clear" w:color="auto" w:fill="EAF9E8"/>
          </w:tcPr>
          <w:p>
            <w:pPr>
              <w:spacing w:after="0"/>
              <w:rPr>
                <w:sz w:val="18"/>
                <w:szCs w:val="18"/>
                <w:color w:val="auto"/>
              </w:rPr>
            </w:pPr>
          </w:p>
        </w:tc>
        <w:tc>
          <w:tcPr>
            <w:tcW w:w="82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w w:val="86"/>
              </w:rPr>
              <w:t>62,750,010</w:t>
            </w:r>
          </w:p>
        </w:tc>
        <w:tc>
          <w:tcPr>
            <w:tcW w:w="340" w:type="dxa"/>
            <w:vAlign w:val="bottom"/>
            <w:shd w:val="clear" w:color="auto" w:fill="EAF9E8"/>
          </w:tcPr>
          <w:p>
            <w:pPr>
              <w:spacing w:after="0"/>
              <w:rPr>
                <w:sz w:val="18"/>
                <w:szCs w:val="18"/>
                <w:color w:val="auto"/>
              </w:rPr>
            </w:pPr>
          </w:p>
        </w:tc>
        <w:tc>
          <w:tcPr>
            <w:tcW w:w="460" w:type="dxa"/>
            <w:vAlign w:val="bottom"/>
            <w:shd w:val="clear" w:color="auto" w:fill="EAF9E8"/>
          </w:tcPr>
          <w:p>
            <w:pPr>
              <w:spacing w:after="0"/>
              <w:rPr>
                <w:sz w:val="18"/>
                <w:szCs w:val="18"/>
                <w:color w:val="auto"/>
              </w:rPr>
            </w:pPr>
          </w:p>
        </w:tc>
        <w:tc>
          <w:tcPr>
            <w:tcW w:w="15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62,567,972</w:t>
            </w:r>
          </w:p>
        </w:tc>
        <w:tc>
          <w:tcPr>
            <w:tcW w:w="12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800" w:type="dxa"/>
            <w:vAlign w:val="bottom"/>
            <w:gridSpan w:val="2"/>
          </w:tcPr>
          <w:p>
            <w:pPr>
              <w:spacing w:after="0"/>
              <w:rPr>
                <w:sz w:val="21"/>
                <w:szCs w:val="21"/>
                <w:color w:val="auto"/>
              </w:rPr>
            </w:pPr>
          </w:p>
        </w:tc>
        <w:tc>
          <w:tcPr>
            <w:tcW w:w="120" w:type="dxa"/>
            <w:vAlign w:val="bottom"/>
          </w:tcPr>
          <w:p>
            <w:pPr>
              <w:spacing w:after="0"/>
              <w:rPr>
                <w:sz w:val="21"/>
                <w:szCs w:val="21"/>
                <w:color w:val="auto"/>
              </w:rPr>
            </w:pPr>
          </w:p>
        </w:tc>
        <w:tc>
          <w:tcPr>
            <w:tcW w:w="6020" w:type="dxa"/>
            <w:vAlign w:val="bottom"/>
          </w:tcPr>
          <w:p>
            <w:pPr>
              <w:spacing w:after="0"/>
              <w:rPr>
                <w:sz w:val="21"/>
                <w:szCs w:val="21"/>
                <w:color w:val="auto"/>
              </w:rPr>
            </w:pPr>
          </w:p>
        </w:tc>
        <w:tc>
          <w:tcPr>
            <w:tcW w:w="120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3"/>
        </w:trPr>
        <w:tc>
          <w:tcPr>
            <w:tcW w:w="6940" w:type="dxa"/>
            <w:vAlign w:val="bottom"/>
            <w:gridSpan w:val="4"/>
          </w:tcPr>
          <w:p>
            <w:pPr>
              <w:spacing w:after="0"/>
              <w:rPr>
                <w:sz w:val="20"/>
                <w:szCs w:val="20"/>
                <w:color w:val="auto"/>
              </w:rPr>
            </w:pPr>
            <w:r>
              <w:rPr>
                <w:rFonts w:ascii="Arial" w:cs="Arial" w:eastAsia="Arial" w:hAnsi="Arial"/>
                <w:sz w:val="18"/>
                <w:szCs w:val="18"/>
                <w:color w:val="auto"/>
              </w:rPr>
              <w:t>Basic EPS</w:t>
            </w:r>
          </w:p>
        </w:tc>
        <w:tc>
          <w:tcPr>
            <w:tcW w:w="1200" w:type="dxa"/>
            <w:vAlign w:val="bottom"/>
          </w:tcPr>
          <w:p>
            <w:pPr>
              <w:jc w:val="right"/>
              <w:ind w:right="1012"/>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0.24</w:t>
            </w:r>
          </w:p>
        </w:tc>
        <w:tc>
          <w:tcPr>
            <w:tcW w:w="800" w:type="dxa"/>
            <w:vAlign w:val="bottom"/>
            <w:gridSpan w:val="2"/>
          </w:tcPr>
          <w:p>
            <w:pPr>
              <w:jc w:val="right"/>
              <w:ind w:right="303"/>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0.08</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800" w:type="dxa"/>
            <w:vAlign w:val="bottom"/>
            <w:gridSpan w:val="2"/>
          </w:tcPr>
          <w:p>
            <w:pPr>
              <w:spacing w:after="0"/>
              <w:rPr>
                <w:sz w:val="21"/>
                <w:szCs w:val="21"/>
                <w:color w:val="auto"/>
              </w:rPr>
            </w:pPr>
          </w:p>
        </w:tc>
        <w:tc>
          <w:tcPr>
            <w:tcW w:w="120" w:type="dxa"/>
            <w:vAlign w:val="bottom"/>
          </w:tcPr>
          <w:p>
            <w:pPr>
              <w:spacing w:after="0"/>
              <w:rPr>
                <w:sz w:val="21"/>
                <w:szCs w:val="21"/>
                <w:color w:val="auto"/>
              </w:rPr>
            </w:pPr>
          </w:p>
        </w:tc>
        <w:tc>
          <w:tcPr>
            <w:tcW w:w="6020" w:type="dxa"/>
            <w:vAlign w:val="bottom"/>
          </w:tcPr>
          <w:p>
            <w:pPr>
              <w:spacing w:after="0"/>
              <w:rPr>
                <w:sz w:val="21"/>
                <w:szCs w:val="21"/>
                <w:color w:val="auto"/>
              </w:rPr>
            </w:pPr>
          </w:p>
        </w:tc>
        <w:tc>
          <w:tcPr>
            <w:tcW w:w="120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restart"/>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6920" w:type="dxa"/>
            <w:vAlign w:val="bottom"/>
            <w:gridSpan w:val="3"/>
            <w:shd w:val="clear" w:color="auto" w:fill="EAF9E8"/>
          </w:tcPr>
          <w:p>
            <w:pPr>
              <w:spacing w:after="0" w:line="176" w:lineRule="exact"/>
              <w:rPr>
                <w:sz w:val="20"/>
                <w:szCs w:val="20"/>
                <w:color w:val="auto"/>
              </w:rPr>
            </w:pPr>
            <w:r>
              <w:rPr>
                <w:rFonts w:ascii="Arial" w:cs="Arial" w:eastAsia="Arial" w:hAnsi="Arial"/>
                <w:sz w:val="18"/>
                <w:szCs w:val="18"/>
                <w:color w:val="auto"/>
              </w:rPr>
              <w:t>Diluted EPS:</w:t>
            </w:r>
          </w:p>
        </w:tc>
        <w:tc>
          <w:tcPr>
            <w:tcW w:w="1200" w:type="dxa"/>
            <w:vAlign w:val="bottom"/>
            <w:shd w:val="clear" w:color="auto" w:fill="EAF9E8"/>
          </w:tcPr>
          <w:p>
            <w:pPr>
              <w:spacing w:after="0"/>
              <w:rPr>
                <w:sz w:val="15"/>
                <w:szCs w:val="15"/>
                <w:color w:val="auto"/>
              </w:rPr>
            </w:pPr>
          </w:p>
        </w:tc>
        <w:tc>
          <w:tcPr>
            <w:tcW w:w="800" w:type="dxa"/>
            <w:vAlign w:val="bottom"/>
            <w:shd w:val="clear" w:color="auto" w:fill="EAF9E8"/>
          </w:tcPr>
          <w:p>
            <w:pPr>
              <w:spacing w:after="0"/>
              <w:rPr>
                <w:sz w:val="15"/>
                <w:szCs w:val="15"/>
                <w:color w:val="auto"/>
              </w:rPr>
            </w:pPr>
          </w:p>
        </w:tc>
        <w:tc>
          <w:tcPr>
            <w:tcW w:w="20" w:type="dxa"/>
            <w:vAlign w:val="bottom"/>
            <w:shd w:val="clear" w:color="auto" w:fill="EAF9E8"/>
          </w:tcPr>
          <w:p>
            <w:pPr>
              <w:spacing w:after="0"/>
              <w:rPr>
                <w:sz w:val="15"/>
                <w:szCs w:val="15"/>
                <w:color w:val="auto"/>
              </w:rPr>
            </w:pPr>
          </w:p>
        </w:tc>
        <w:tc>
          <w:tcPr>
            <w:tcW w:w="340" w:type="dxa"/>
            <w:vAlign w:val="bottom"/>
            <w:shd w:val="clear" w:color="auto" w:fill="EAF9E8"/>
          </w:tcPr>
          <w:p>
            <w:pPr>
              <w:spacing w:after="0"/>
              <w:rPr>
                <w:sz w:val="15"/>
                <w:szCs w:val="15"/>
                <w:color w:val="auto"/>
              </w:rPr>
            </w:pPr>
          </w:p>
        </w:tc>
        <w:tc>
          <w:tcPr>
            <w:tcW w:w="460" w:type="dxa"/>
            <w:vAlign w:val="bottom"/>
            <w:shd w:val="clear" w:color="auto" w:fill="EAF9E8"/>
          </w:tcPr>
          <w:p>
            <w:pPr>
              <w:spacing w:after="0"/>
              <w:rPr>
                <w:sz w:val="15"/>
                <w:szCs w:val="15"/>
                <w:color w:val="auto"/>
              </w:rPr>
            </w:pPr>
          </w:p>
        </w:tc>
        <w:tc>
          <w:tcPr>
            <w:tcW w:w="1540" w:type="dxa"/>
            <w:vAlign w:val="bottom"/>
            <w:shd w:val="clear" w:color="auto" w:fill="EAF9E8"/>
          </w:tcPr>
          <w:p>
            <w:pPr>
              <w:spacing w:after="0"/>
              <w:rPr>
                <w:sz w:val="15"/>
                <w:szCs w:val="15"/>
                <w:color w:val="auto"/>
              </w:rPr>
            </w:pPr>
          </w:p>
        </w:tc>
        <w:tc>
          <w:tcPr>
            <w:tcW w:w="120" w:type="dxa"/>
            <w:vAlign w:val="bottom"/>
            <w:shd w:val="clear" w:color="auto" w:fill="EAF9E8"/>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80" w:type="dxa"/>
            <w:vAlign w:val="bottom"/>
            <w:tcBorders>
              <w:top w:val="single" w:sz="8" w:color="auto"/>
            </w:tcBorders>
            <w:shd w:val="clear" w:color="auto" w:fill="EAF9E8"/>
          </w:tcPr>
          <w:p>
            <w:pPr>
              <w:spacing w:after="0" w:line="20" w:lineRule="exact"/>
              <w:rPr>
                <w:sz w:val="1"/>
                <w:szCs w:val="1"/>
                <w:color w:val="auto"/>
              </w:rPr>
            </w:pPr>
          </w:p>
        </w:tc>
        <w:tc>
          <w:tcPr>
            <w:tcW w:w="120" w:type="dxa"/>
            <w:vAlign w:val="bottom"/>
            <w:tcBorders>
              <w:top w:val="single" w:sz="8" w:color="auto"/>
            </w:tcBorders>
            <w:shd w:val="clear" w:color="auto" w:fill="EAF9E8"/>
          </w:tcPr>
          <w:p>
            <w:pPr>
              <w:spacing w:after="0" w:line="20" w:lineRule="exact"/>
              <w:rPr>
                <w:sz w:val="1"/>
                <w:szCs w:val="1"/>
                <w:color w:val="auto"/>
              </w:rPr>
            </w:pPr>
          </w:p>
        </w:tc>
        <w:tc>
          <w:tcPr>
            <w:tcW w:w="6020" w:type="dxa"/>
            <w:vAlign w:val="bottom"/>
            <w:tcBorders>
              <w:top w:val="single" w:sz="8" w:color="EAF9E8"/>
            </w:tcBorders>
            <w:shd w:val="clear" w:color="auto" w:fill="EAF9E8"/>
          </w:tcPr>
          <w:p>
            <w:pPr>
              <w:spacing w:after="0" w:line="20" w:lineRule="exact"/>
              <w:rPr>
                <w:sz w:val="1"/>
                <w:szCs w:val="1"/>
                <w:color w:val="auto"/>
              </w:rPr>
            </w:pPr>
          </w:p>
        </w:tc>
        <w:tc>
          <w:tcPr>
            <w:tcW w:w="1200" w:type="dxa"/>
            <w:vAlign w:val="bottom"/>
            <w:tcBorders>
              <w:top w:val="single" w:sz="8" w:color="EAF9E8"/>
            </w:tcBorders>
            <w:shd w:val="clear" w:color="auto" w:fill="EAF9E8"/>
          </w:tcPr>
          <w:p>
            <w:pPr>
              <w:spacing w:after="0" w:line="20" w:lineRule="exact"/>
              <w:rPr>
                <w:sz w:val="1"/>
                <w:szCs w:val="1"/>
                <w:color w:val="auto"/>
              </w:rPr>
            </w:pPr>
          </w:p>
        </w:tc>
        <w:tc>
          <w:tcPr>
            <w:tcW w:w="800" w:type="dxa"/>
            <w:vAlign w:val="bottom"/>
            <w:tcBorders>
              <w:top w:val="single" w:sz="8" w:color="EAF9E8"/>
            </w:tcBorders>
            <w:shd w:val="clear" w:color="auto" w:fill="EAF9E8"/>
          </w:tcPr>
          <w:p>
            <w:pPr>
              <w:spacing w:after="0" w:line="20" w:lineRule="exact"/>
              <w:rPr>
                <w:sz w:val="1"/>
                <w:szCs w:val="1"/>
                <w:color w:val="auto"/>
              </w:rPr>
            </w:pPr>
          </w:p>
        </w:tc>
        <w:tc>
          <w:tcPr>
            <w:tcW w:w="20" w:type="dxa"/>
            <w:vAlign w:val="bottom"/>
            <w:tcBorders>
              <w:top w:val="single" w:sz="8" w:color="EAF9E8"/>
            </w:tcBorders>
            <w:shd w:val="clear" w:color="auto" w:fill="EAF9E8"/>
          </w:tcPr>
          <w:p>
            <w:pPr>
              <w:spacing w:after="0" w:line="20" w:lineRule="exact"/>
              <w:rPr>
                <w:sz w:val="1"/>
                <w:szCs w:val="1"/>
                <w:color w:val="auto"/>
              </w:rPr>
            </w:pPr>
          </w:p>
        </w:tc>
        <w:tc>
          <w:tcPr>
            <w:tcW w:w="340" w:type="dxa"/>
            <w:vAlign w:val="bottom"/>
            <w:tcBorders>
              <w:top w:val="single" w:sz="8" w:color="EAF9E8"/>
            </w:tcBorders>
            <w:shd w:val="clear" w:color="auto" w:fill="EAF9E8"/>
          </w:tcPr>
          <w:p>
            <w:pPr>
              <w:spacing w:after="0" w:line="20" w:lineRule="exact"/>
              <w:rPr>
                <w:sz w:val="1"/>
                <w:szCs w:val="1"/>
                <w:color w:val="auto"/>
              </w:rPr>
            </w:pPr>
          </w:p>
        </w:tc>
        <w:tc>
          <w:tcPr>
            <w:tcW w:w="460" w:type="dxa"/>
            <w:vAlign w:val="bottom"/>
            <w:tcBorders>
              <w:top w:val="single" w:sz="8" w:color="EAF9E8"/>
            </w:tcBorders>
            <w:shd w:val="clear" w:color="auto" w:fill="EAF9E8"/>
          </w:tcPr>
          <w:p>
            <w:pPr>
              <w:spacing w:after="0" w:line="20" w:lineRule="exact"/>
              <w:rPr>
                <w:sz w:val="1"/>
                <w:szCs w:val="1"/>
                <w:color w:val="auto"/>
              </w:rPr>
            </w:pPr>
          </w:p>
        </w:tc>
        <w:tc>
          <w:tcPr>
            <w:tcW w:w="1540" w:type="dxa"/>
            <w:vAlign w:val="bottom"/>
            <w:tcBorders>
              <w:top w:val="single" w:sz="8" w:color="EAF9E8"/>
            </w:tcBorders>
            <w:shd w:val="clear" w:color="auto" w:fill="EAF9E8"/>
          </w:tcPr>
          <w:p>
            <w:pPr>
              <w:spacing w:after="0" w:line="20" w:lineRule="exact"/>
              <w:rPr>
                <w:sz w:val="1"/>
                <w:szCs w:val="1"/>
                <w:color w:val="auto"/>
              </w:rPr>
            </w:pPr>
          </w:p>
        </w:tc>
        <w:tc>
          <w:tcPr>
            <w:tcW w:w="120" w:type="dxa"/>
            <w:vAlign w:val="bottom"/>
            <w:tcBorders>
              <w:top w:val="single" w:sz="8" w:color="EAF9E8"/>
            </w:tcBorders>
            <w:shd w:val="clear" w:color="auto" w:fill="EAF9E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20" w:type="dxa"/>
            <w:vAlign w:val="bottom"/>
            <w:gridSpan w:val="3"/>
          </w:tcPr>
          <w:p>
            <w:pPr>
              <w:spacing w:after="0"/>
              <w:rPr>
                <w:sz w:val="20"/>
                <w:szCs w:val="20"/>
                <w:color w:val="auto"/>
              </w:rPr>
            </w:pPr>
            <w:r>
              <w:rPr>
                <w:rFonts w:ascii="Arial" w:cs="Arial" w:eastAsia="Arial" w:hAnsi="Arial"/>
                <w:sz w:val="18"/>
                <w:szCs w:val="18"/>
                <w:color w:val="auto"/>
              </w:rPr>
              <w:t>Net income attributable to OCN</w:t>
            </w:r>
          </w:p>
        </w:tc>
        <w:tc>
          <w:tcPr>
            <w:tcW w:w="1200" w:type="dxa"/>
            <w:vAlign w:val="bottom"/>
          </w:tcPr>
          <w:p>
            <w:pPr>
              <w:jc w:val="right"/>
              <w:ind w:right="1012"/>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15,109</w:t>
            </w:r>
          </w:p>
        </w:tc>
        <w:tc>
          <w:tcPr>
            <w:tcW w:w="800" w:type="dxa"/>
            <w:vAlign w:val="bottom"/>
            <w:gridSpan w:val="2"/>
          </w:tcPr>
          <w:p>
            <w:pPr>
              <w:jc w:val="right"/>
              <w:ind w:right="303"/>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5,272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gridSpan w:val="3"/>
            <w:shd w:val="clear" w:color="auto" w:fill="EAF9E8"/>
          </w:tcPr>
          <w:p>
            <w:pPr>
              <w:spacing w:after="0"/>
              <w:rPr>
                <w:sz w:val="20"/>
                <w:szCs w:val="20"/>
                <w:color w:val="auto"/>
              </w:rPr>
            </w:pPr>
            <w:r>
              <w:rPr>
                <w:rFonts w:ascii="Arial" w:cs="Arial" w:eastAsia="Arial" w:hAnsi="Arial"/>
                <w:sz w:val="18"/>
                <w:szCs w:val="18"/>
                <w:color w:val="auto"/>
              </w:rPr>
              <w:t>Interest expense on Convertible Notes, net of income tax (1)</w:t>
            </w:r>
          </w:p>
        </w:tc>
        <w:tc>
          <w:tcPr>
            <w:tcW w:w="1200" w:type="dxa"/>
            <w:vAlign w:val="bottom"/>
            <w:shd w:val="clear" w:color="auto" w:fill="EAF9E8"/>
          </w:tcPr>
          <w:p>
            <w:pPr>
              <w:spacing w:after="0"/>
              <w:rPr>
                <w:sz w:val="18"/>
                <w:szCs w:val="18"/>
                <w:color w:val="auto"/>
              </w:rPr>
            </w:pPr>
          </w:p>
        </w:tc>
        <w:tc>
          <w:tcPr>
            <w:tcW w:w="82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935</w:t>
            </w:r>
          </w:p>
        </w:tc>
        <w:tc>
          <w:tcPr>
            <w:tcW w:w="340" w:type="dxa"/>
            <w:vAlign w:val="bottom"/>
            <w:shd w:val="clear" w:color="auto" w:fill="EAF9E8"/>
          </w:tcPr>
          <w:p>
            <w:pPr>
              <w:spacing w:after="0"/>
              <w:rPr>
                <w:sz w:val="18"/>
                <w:szCs w:val="18"/>
                <w:color w:val="auto"/>
              </w:rPr>
            </w:pPr>
          </w:p>
        </w:tc>
        <w:tc>
          <w:tcPr>
            <w:tcW w:w="460" w:type="dxa"/>
            <w:vAlign w:val="bottom"/>
            <w:shd w:val="clear" w:color="auto" w:fill="EAF9E8"/>
          </w:tcPr>
          <w:p>
            <w:pPr>
              <w:spacing w:after="0"/>
              <w:rPr>
                <w:sz w:val="18"/>
                <w:szCs w:val="18"/>
                <w:color w:val="auto"/>
              </w:rPr>
            </w:pPr>
          </w:p>
        </w:tc>
        <w:tc>
          <w:tcPr>
            <w:tcW w:w="15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6940" w:type="dxa"/>
            <w:vAlign w:val="bottom"/>
            <w:gridSpan w:val="4"/>
            <w:vMerge w:val="restart"/>
          </w:tcPr>
          <w:p>
            <w:pPr>
              <w:spacing w:after="0"/>
              <w:rPr>
                <w:sz w:val="20"/>
                <w:szCs w:val="20"/>
                <w:color w:val="auto"/>
              </w:rPr>
            </w:pPr>
            <w:r>
              <w:rPr>
                <w:rFonts w:ascii="Arial" w:cs="Arial" w:eastAsia="Arial" w:hAnsi="Arial"/>
                <w:sz w:val="18"/>
                <w:szCs w:val="18"/>
                <w:color w:val="auto"/>
              </w:rPr>
              <w:t>Adjusted net income attributable to OCN</w:t>
            </w:r>
          </w:p>
        </w:tc>
        <w:tc>
          <w:tcPr>
            <w:tcW w:w="1200" w:type="dxa"/>
            <w:vAlign w:val="bottom"/>
          </w:tcPr>
          <w:p>
            <w:pPr>
              <w:spacing w:after="0"/>
              <w:rPr>
                <w:sz w:val="21"/>
                <w:szCs w:val="21"/>
                <w:color w:val="auto"/>
              </w:rPr>
            </w:pPr>
          </w:p>
        </w:tc>
        <w:tc>
          <w:tcPr>
            <w:tcW w:w="820" w:type="dxa"/>
            <w:vAlign w:val="bottom"/>
            <w:gridSpan w:val="2"/>
          </w:tcPr>
          <w:p>
            <w:pPr>
              <w:spacing w:after="0"/>
              <w:rPr>
                <w:sz w:val="21"/>
                <w:szCs w:val="21"/>
                <w:color w:val="auto"/>
              </w:rPr>
            </w:pPr>
          </w:p>
        </w:tc>
        <w:tc>
          <w:tcPr>
            <w:tcW w:w="800" w:type="dxa"/>
            <w:vAlign w:val="bottom"/>
            <w:gridSpan w:val="2"/>
          </w:tcPr>
          <w:p>
            <w:pPr>
              <w:spacing w:after="0"/>
              <w:rPr>
                <w:sz w:val="21"/>
                <w:szCs w:val="21"/>
                <w:color w:val="auto"/>
              </w:rPr>
            </w:pPr>
          </w:p>
        </w:tc>
        <w:tc>
          <w:tcPr>
            <w:tcW w:w="1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6940" w:type="dxa"/>
            <w:vAlign w:val="bottom"/>
            <w:gridSpan w:val="4"/>
            <w:vMerge w:val="continue"/>
          </w:tcPr>
          <w:p>
            <w:pPr>
              <w:spacing w:after="0"/>
              <w:rPr>
                <w:sz w:val="18"/>
                <w:szCs w:val="18"/>
                <w:color w:val="auto"/>
              </w:rPr>
            </w:pPr>
          </w:p>
        </w:tc>
        <w:tc>
          <w:tcPr>
            <w:tcW w:w="1200" w:type="dxa"/>
            <w:vAlign w:val="bottom"/>
            <w:tcBorders>
              <w:top w:val="single" w:sz="8" w:color="auto"/>
            </w:tcBorders>
          </w:tcPr>
          <w:p>
            <w:pPr>
              <w:jc w:val="right"/>
              <w:ind w:right="1012"/>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16,044</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Borders>
              <w:top w:val="single" w:sz="8" w:color="auto"/>
            </w:tcBorders>
          </w:tcPr>
          <w:p>
            <w:pPr>
              <w:jc w:val="right"/>
              <w:ind w:right="303"/>
              <w:spacing w:after="0"/>
              <w:rPr>
                <w:sz w:val="20"/>
                <w:szCs w:val="20"/>
                <w:color w:val="auto"/>
              </w:rPr>
            </w:pPr>
            <w:r>
              <w:rPr>
                <w:rFonts w:ascii="Arial" w:cs="Arial" w:eastAsia="Arial" w:hAnsi="Arial"/>
                <w:sz w:val="15"/>
                <w:szCs w:val="15"/>
                <w:color w:val="auto"/>
                <w:w w:val="71"/>
              </w:rPr>
              <w:t>$</w:t>
            </w: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5,272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00" w:type="dxa"/>
            <w:vAlign w:val="bottom"/>
            <w:gridSpan w:val="2"/>
          </w:tcPr>
          <w:p>
            <w:pPr>
              <w:spacing w:after="0"/>
              <w:rPr>
                <w:sz w:val="20"/>
                <w:szCs w:val="20"/>
                <w:color w:val="auto"/>
              </w:rPr>
            </w:pPr>
          </w:p>
        </w:tc>
        <w:tc>
          <w:tcPr>
            <w:tcW w:w="120" w:type="dxa"/>
            <w:vAlign w:val="bottom"/>
          </w:tcPr>
          <w:p>
            <w:pPr>
              <w:spacing w:after="0"/>
              <w:rPr>
                <w:sz w:val="20"/>
                <w:szCs w:val="20"/>
                <w:color w:val="auto"/>
              </w:rPr>
            </w:pPr>
          </w:p>
        </w:tc>
        <w:tc>
          <w:tcPr>
            <w:tcW w:w="6020" w:type="dxa"/>
            <w:vAlign w:val="bottom"/>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gridSpan w:val="2"/>
          </w:tcPr>
          <w:p>
            <w:pPr>
              <w:spacing w:after="0"/>
              <w:rPr>
                <w:sz w:val="20"/>
                <w:szCs w:val="20"/>
                <w:color w:val="auto"/>
              </w:rPr>
            </w:pPr>
          </w:p>
        </w:tc>
        <w:tc>
          <w:tcPr>
            <w:tcW w:w="34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restart"/>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20" w:type="dxa"/>
            <w:vAlign w:val="bottom"/>
            <w:gridSpan w:val="2"/>
          </w:tcPr>
          <w:p>
            <w:pPr>
              <w:spacing w:after="0"/>
              <w:rPr>
                <w:sz w:val="11"/>
                <w:szCs w:val="11"/>
                <w:color w:val="auto"/>
              </w:rPr>
            </w:pPr>
          </w:p>
        </w:tc>
        <w:tc>
          <w:tcPr>
            <w:tcW w:w="3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20" w:type="dxa"/>
            <w:vAlign w:val="bottom"/>
            <w:gridSpan w:val="3"/>
            <w:shd w:val="clear" w:color="auto" w:fill="EAF9E8"/>
          </w:tcPr>
          <w:p>
            <w:pPr>
              <w:spacing w:after="0"/>
              <w:rPr>
                <w:sz w:val="20"/>
                <w:szCs w:val="20"/>
                <w:color w:val="auto"/>
              </w:rPr>
            </w:pPr>
            <w:r>
              <w:rPr>
                <w:rFonts w:ascii="Arial" w:cs="Arial" w:eastAsia="Arial" w:hAnsi="Arial"/>
                <w:sz w:val="18"/>
                <w:szCs w:val="18"/>
                <w:color w:val="auto"/>
              </w:rPr>
              <w:t>Weighted average shares of common stock</w:t>
            </w:r>
          </w:p>
        </w:tc>
        <w:tc>
          <w:tcPr>
            <w:tcW w:w="1200" w:type="dxa"/>
            <w:vAlign w:val="bottom"/>
            <w:shd w:val="clear" w:color="auto" w:fill="EAF9E8"/>
          </w:tcPr>
          <w:p>
            <w:pPr>
              <w:spacing w:after="0"/>
              <w:rPr>
                <w:sz w:val="18"/>
                <w:szCs w:val="18"/>
                <w:color w:val="auto"/>
              </w:rPr>
            </w:pPr>
          </w:p>
        </w:tc>
        <w:tc>
          <w:tcPr>
            <w:tcW w:w="82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w w:val="86"/>
              </w:rPr>
              <w:t>62,750,010</w:t>
            </w:r>
          </w:p>
        </w:tc>
        <w:tc>
          <w:tcPr>
            <w:tcW w:w="340" w:type="dxa"/>
            <w:vAlign w:val="bottom"/>
            <w:shd w:val="clear" w:color="auto" w:fill="EAF9E8"/>
          </w:tcPr>
          <w:p>
            <w:pPr>
              <w:spacing w:after="0"/>
              <w:rPr>
                <w:sz w:val="18"/>
                <w:szCs w:val="18"/>
                <w:color w:val="auto"/>
              </w:rPr>
            </w:pPr>
          </w:p>
        </w:tc>
        <w:tc>
          <w:tcPr>
            <w:tcW w:w="460" w:type="dxa"/>
            <w:vAlign w:val="bottom"/>
            <w:shd w:val="clear" w:color="auto" w:fill="EAF9E8"/>
          </w:tcPr>
          <w:p>
            <w:pPr>
              <w:spacing w:after="0"/>
              <w:rPr>
                <w:sz w:val="18"/>
                <w:szCs w:val="18"/>
                <w:color w:val="auto"/>
              </w:rPr>
            </w:pPr>
          </w:p>
        </w:tc>
        <w:tc>
          <w:tcPr>
            <w:tcW w:w="15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62,567,972</w:t>
            </w:r>
          </w:p>
        </w:tc>
        <w:tc>
          <w:tcPr>
            <w:tcW w:w="12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gridSpan w:val="3"/>
          </w:tcPr>
          <w:p>
            <w:pPr>
              <w:spacing w:after="0"/>
              <w:rPr>
                <w:sz w:val="20"/>
                <w:szCs w:val="20"/>
                <w:color w:val="auto"/>
              </w:rPr>
            </w:pPr>
            <w:r>
              <w:rPr>
                <w:rFonts w:ascii="Arial" w:cs="Arial" w:eastAsia="Arial" w:hAnsi="Arial"/>
                <w:sz w:val="18"/>
                <w:szCs w:val="18"/>
                <w:color w:val="auto"/>
              </w:rPr>
              <w:t>Effect of dilutive elements:</w:t>
            </w:r>
          </w:p>
        </w:tc>
        <w:tc>
          <w:tcPr>
            <w:tcW w:w="1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gridSpan w:val="3"/>
            <w:shd w:val="clear" w:color="auto" w:fill="EAF9E8"/>
          </w:tcPr>
          <w:p>
            <w:pPr>
              <w:ind w:left="140"/>
              <w:spacing w:after="0"/>
              <w:rPr>
                <w:sz w:val="20"/>
                <w:szCs w:val="20"/>
                <w:color w:val="auto"/>
              </w:rPr>
            </w:pPr>
            <w:r>
              <w:rPr>
                <w:rFonts w:ascii="Arial" w:cs="Arial" w:eastAsia="Arial" w:hAnsi="Arial"/>
                <w:sz w:val="18"/>
                <w:szCs w:val="18"/>
                <w:color w:val="auto"/>
              </w:rPr>
              <w:t>Convertible Notes (1)</w:t>
            </w:r>
          </w:p>
        </w:tc>
        <w:tc>
          <w:tcPr>
            <w:tcW w:w="1200" w:type="dxa"/>
            <w:vAlign w:val="bottom"/>
            <w:shd w:val="clear" w:color="auto" w:fill="EAF9E8"/>
          </w:tcPr>
          <w:p>
            <w:pPr>
              <w:spacing w:after="0"/>
              <w:rPr>
                <w:sz w:val="18"/>
                <w:szCs w:val="18"/>
                <w:color w:val="auto"/>
              </w:rPr>
            </w:pPr>
          </w:p>
        </w:tc>
        <w:tc>
          <w:tcPr>
            <w:tcW w:w="82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w w:val="97"/>
              </w:rPr>
              <w:t>4,638,046</w:t>
            </w:r>
          </w:p>
        </w:tc>
        <w:tc>
          <w:tcPr>
            <w:tcW w:w="340" w:type="dxa"/>
            <w:vAlign w:val="bottom"/>
            <w:shd w:val="clear" w:color="auto" w:fill="EAF9E8"/>
          </w:tcPr>
          <w:p>
            <w:pPr>
              <w:spacing w:after="0"/>
              <w:rPr>
                <w:sz w:val="18"/>
                <w:szCs w:val="18"/>
                <w:color w:val="auto"/>
              </w:rPr>
            </w:pPr>
          </w:p>
        </w:tc>
        <w:tc>
          <w:tcPr>
            <w:tcW w:w="460" w:type="dxa"/>
            <w:vAlign w:val="bottom"/>
            <w:shd w:val="clear" w:color="auto" w:fill="EAF9E8"/>
          </w:tcPr>
          <w:p>
            <w:pPr>
              <w:spacing w:after="0"/>
              <w:rPr>
                <w:sz w:val="18"/>
                <w:szCs w:val="18"/>
                <w:color w:val="auto"/>
              </w:rPr>
            </w:pPr>
          </w:p>
        </w:tc>
        <w:tc>
          <w:tcPr>
            <w:tcW w:w="15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gridSpan w:val="3"/>
          </w:tcPr>
          <w:p>
            <w:pPr>
              <w:ind w:left="140"/>
              <w:spacing w:after="0"/>
              <w:rPr>
                <w:sz w:val="20"/>
                <w:szCs w:val="20"/>
                <w:color w:val="auto"/>
              </w:rPr>
            </w:pPr>
            <w:r>
              <w:rPr>
                <w:rFonts w:ascii="Arial" w:cs="Arial" w:eastAsia="Arial" w:hAnsi="Arial"/>
                <w:sz w:val="18"/>
                <w:szCs w:val="18"/>
                <w:color w:val="auto"/>
              </w:rPr>
              <w:t>Stock options (2)</w:t>
            </w:r>
          </w:p>
        </w:tc>
        <w:tc>
          <w:tcPr>
            <w:tcW w:w="120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472,863</w:t>
            </w: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205,418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gridSpan w:val="3"/>
            <w:shd w:val="clear" w:color="auto" w:fill="EAF9E8"/>
          </w:tcPr>
          <w:p>
            <w:pPr>
              <w:ind w:left="140"/>
              <w:spacing w:after="0"/>
              <w:rPr>
                <w:sz w:val="20"/>
                <w:szCs w:val="20"/>
                <w:color w:val="auto"/>
              </w:rPr>
            </w:pPr>
            <w:r>
              <w:rPr>
                <w:rFonts w:ascii="Arial" w:cs="Arial" w:eastAsia="Arial" w:hAnsi="Arial"/>
                <w:sz w:val="18"/>
                <w:szCs w:val="18"/>
                <w:color w:val="auto"/>
              </w:rPr>
              <w:t>Common stock awards</w:t>
            </w:r>
          </w:p>
        </w:tc>
        <w:tc>
          <w:tcPr>
            <w:tcW w:w="1200" w:type="dxa"/>
            <w:vAlign w:val="bottom"/>
            <w:shd w:val="clear" w:color="auto" w:fill="EAF9E8"/>
          </w:tcPr>
          <w:p>
            <w:pPr>
              <w:spacing w:after="0"/>
              <w:rPr>
                <w:sz w:val="18"/>
                <w:szCs w:val="18"/>
                <w:color w:val="auto"/>
              </w:rPr>
            </w:pPr>
          </w:p>
        </w:tc>
        <w:tc>
          <w:tcPr>
            <w:tcW w:w="82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10,547</w:t>
            </w:r>
          </w:p>
        </w:tc>
        <w:tc>
          <w:tcPr>
            <w:tcW w:w="340" w:type="dxa"/>
            <w:vAlign w:val="bottom"/>
            <w:shd w:val="clear" w:color="auto" w:fill="EAF9E8"/>
          </w:tcPr>
          <w:p>
            <w:pPr>
              <w:spacing w:after="0"/>
              <w:rPr>
                <w:sz w:val="18"/>
                <w:szCs w:val="18"/>
                <w:color w:val="auto"/>
              </w:rPr>
            </w:pPr>
          </w:p>
        </w:tc>
        <w:tc>
          <w:tcPr>
            <w:tcW w:w="460" w:type="dxa"/>
            <w:vAlign w:val="bottom"/>
            <w:shd w:val="clear" w:color="auto" w:fill="EAF9E8"/>
          </w:tcPr>
          <w:p>
            <w:pPr>
              <w:spacing w:after="0"/>
              <w:rPr>
                <w:sz w:val="18"/>
                <w:szCs w:val="18"/>
                <w:color w:val="auto"/>
              </w:rPr>
            </w:pPr>
          </w:p>
        </w:tc>
        <w:tc>
          <w:tcPr>
            <w:tcW w:w="15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41,059</w:t>
            </w:r>
          </w:p>
        </w:tc>
        <w:tc>
          <w:tcPr>
            <w:tcW w:w="12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6940" w:type="dxa"/>
            <w:vAlign w:val="bottom"/>
            <w:gridSpan w:val="4"/>
            <w:vMerge w:val="restart"/>
          </w:tcPr>
          <w:p>
            <w:pPr>
              <w:spacing w:after="0"/>
              <w:rPr>
                <w:sz w:val="20"/>
                <w:szCs w:val="20"/>
                <w:color w:val="auto"/>
              </w:rPr>
            </w:pPr>
            <w:r>
              <w:rPr>
                <w:rFonts w:ascii="Arial" w:cs="Arial" w:eastAsia="Arial" w:hAnsi="Arial"/>
                <w:sz w:val="18"/>
                <w:szCs w:val="18"/>
                <w:color w:val="auto"/>
              </w:rPr>
              <w:t>Dilutive weighted average shares of common stock</w:t>
            </w:r>
          </w:p>
        </w:tc>
        <w:tc>
          <w:tcPr>
            <w:tcW w:w="1200" w:type="dxa"/>
            <w:vAlign w:val="bottom"/>
          </w:tcPr>
          <w:p>
            <w:pPr>
              <w:spacing w:after="0"/>
              <w:rPr>
                <w:sz w:val="21"/>
                <w:szCs w:val="21"/>
                <w:color w:val="auto"/>
              </w:rPr>
            </w:pPr>
          </w:p>
        </w:tc>
        <w:tc>
          <w:tcPr>
            <w:tcW w:w="820" w:type="dxa"/>
            <w:vAlign w:val="bottom"/>
            <w:gridSpan w:val="2"/>
          </w:tcPr>
          <w:p>
            <w:pPr>
              <w:spacing w:after="0"/>
              <w:rPr>
                <w:sz w:val="21"/>
                <w:szCs w:val="21"/>
                <w:color w:val="auto"/>
              </w:rPr>
            </w:pPr>
          </w:p>
        </w:tc>
        <w:tc>
          <w:tcPr>
            <w:tcW w:w="3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6940" w:type="dxa"/>
            <w:vAlign w:val="bottom"/>
            <w:gridSpan w:val="4"/>
            <w:vMerge w:val="continue"/>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67,871,466</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62,814,449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00" w:type="dxa"/>
            <w:vAlign w:val="bottom"/>
            <w:gridSpan w:val="2"/>
          </w:tcPr>
          <w:p>
            <w:pPr>
              <w:spacing w:after="0"/>
              <w:rPr>
                <w:sz w:val="20"/>
                <w:szCs w:val="20"/>
                <w:color w:val="auto"/>
              </w:rPr>
            </w:pPr>
          </w:p>
        </w:tc>
        <w:tc>
          <w:tcPr>
            <w:tcW w:w="120" w:type="dxa"/>
            <w:vAlign w:val="bottom"/>
          </w:tcPr>
          <w:p>
            <w:pPr>
              <w:spacing w:after="0"/>
              <w:rPr>
                <w:sz w:val="20"/>
                <w:szCs w:val="20"/>
                <w:color w:val="auto"/>
              </w:rPr>
            </w:pPr>
          </w:p>
        </w:tc>
        <w:tc>
          <w:tcPr>
            <w:tcW w:w="6020" w:type="dxa"/>
            <w:vAlign w:val="bottom"/>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gridSpan w:val="2"/>
          </w:tcPr>
          <w:p>
            <w:pPr>
              <w:spacing w:after="0"/>
              <w:rPr>
                <w:sz w:val="20"/>
                <w:szCs w:val="20"/>
                <w:color w:val="auto"/>
              </w:rPr>
            </w:pPr>
          </w:p>
        </w:tc>
        <w:tc>
          <w:tcPr>
            <w:tcW w:w="34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restart"/>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20" w:type="dxa"/>
            <w:vAlign w:val="bottom"/>
            <w:gridSpan w:val="2"/>
          </w:tcPr>
          <w:p>
            <w:pPr>
              <w:spacing w:after="0"/>
              <w:rPr>
                <w:sz w:val="11"/>
                <w:szCs w:val="11"/>
                <w:color w:val="auto"/>
              </w:rPr>
            </w:pPr>
          </w:p>
        </w:tc>
        <w:tc>
          <w:tcPr>
            <w:tcW w:w="800" w:type="dxa"/>
            <w:vAlign w:val="bottom"/>
            <w:gridSpan w:val="2"/>
          </w:tcPr>
          <w:p>
            <w:pPr>
              <w:spacing w:after="0"/>
              <w:rPr>
                <w:sz w:val="11"/>
                <w:szCs w:val="11"/>
                <w:color w:val="auto"/>
              </w:rPr>
            </w:pPr>
          </w:p>
        </w:tc>
        <w:tc>
          <w:tcPr>
            <w:tcW w:w="1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20" w:type="dxa"/>
            <w:vAlign w:val="bottom"/>
            <w:gridSpan w:val="3"/>
            <w:shd w:val="clear" w:color="auto" w:fill="EAF9E8"/>
          </w:tcPr>
          <w:p>
            <w:pPr>
              <w:spacing w:after="0"/>
              <w:rPr>
                <w:sz w:val="20"/>
                <w:szCs w:val="20"/>
                <w:color w:val="auto"/>
              </w:rPr>
            </w:pPr>
            <w:r>
              <w:rPr>
                <w:rFonts w:ascii="Arial" w:cs="Arial" w:eastAsia="Arial" w:hAnsi="Arial"/>
                <w:sz w:val="18"/>
                <w:szCs w:val="18"/>
                <w:color w:val="auto"/>
              </w:rPr>
              <w:t>Diluted EPS</w:t>
            </w:r>
          </w:p>
        </w:tc>
        <w:tc>
          <w:tcPr>
            <w:tcW w:w="1200" w:type="dxa"/>
            <w:vAlign w:val="bottom"/>
            <w:shd w:val="clear" w:color="auto" w:fill="EAF9E8"/>
          </w:tcPr>
          <w:p>
            <w:pPr>
              <w:jc w:val="right"/>
              <w:ind w:right="1012"/>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0.24</w:t>
            </w:r>
          </w:p>
        </w:tc>
        <w:tc>
          <w:tcPr>
            <w:tcW w:w="800" w:type="dxa"/>
            <w:vAlign w:val="bottom"/>
            <w:gridSpan w:val="2"/>
            <w:shd w:val="clear" w:color="auto" w:fill="EAF9E8"/>
          </w:tcPr>
          <w:p>
            <w:pPr>
              <w:jc w:val="right"/>
              <w:ind w:right="303"/>
              <w:spacing w:after="0"/>
              <w:rPr>
                <w:sz w:val="20"/>
                <w:szCs w:val="20"/>
                <w:color w:val="auto"/>
              </w:rPr>
            </w:pPr>
            <w:r>
              <w:rPr>
                <w:rFonts w:ascii="Arial" w:cs="Arial" w:eastAsia="Arial" w:hAnsi="Arial"/>
                <w:sz w:val="18"/>
                <w:szCs w:val="18"/>
                <w:color w:val="auto"/>
              </w:rPr>
              <w:t>$</w:t>
            </w:r>
          </w:p>
        </w:tc>
        <w:tc>
          <w:tcPr>
            <w:tcW w:w="15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0.08</w:t>
            </w:r>
          </w:p>
        </w:tc>
        <w:tc>
          <w:tcPr>
            <w:tcW w:w="12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20" w:type="dxa"/>
            <w:vAlign w:val="bottom"/>
          </w:tcPr>
          <w:p>
            <w:pPr>
              <w:spacing w:after="0"/>
              <w:rPr>
                <w:sz w:val="21"/>
                <w:szCs w:val="21"/>
                <w:color w:val="auto"/>
              </w:rPr>
            </w:pPr>
          </w:p>
        </w:tc>
        <w:tc>
          <w:tcPr>
            <w:tcW w:w="120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jc w:val="both"/>
        <w:ind w:left="580" w:hanging="572"/>
        <w:spacing w:after="0" w:line="283" w:lineRule="auto"/>
        <w:tabs>
          <w:tab w:leader="none" w:pos="5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effect of our Convertible Notes on diluted EPS is computed using the if-converted method. Interest expense and related amortization costs applicable to the Convertible Notes, net of income tax, are added back to net income. Conversion of the Convertible Notes into shares of common stock has not been assumed for purposes of computing diluted EPS for the first quarter of 2008 because the effect would be anti-dilutive. The effect is anti-dilutive whenever interest expense on the Convertible Notes, net of income tax, per common share obtainable on conversion exceeds basic EPS.</w:t>
      </w:r>
    </w:p>
    <w:p>
      <w:pPr>
        <w:spacing w:after="0" w:line="2" w:lineRule="exact"/>
        <w:rPr>
          <w:rFonts w:ascii="Arial" w:cs="Arial" w:eastAsia="Arial" w:hAnsi="Arial"/>
          <w:sz w:val="16"/>
          <w:szCs w:val="16"/>
          <w:color w:val="auto"/>
        </w:rPr>
      </w:pPr>
    </w:p>
    <w:p>
      <w:pPr>
        <w:jc w:val="both"/>
        <w:ind w:left="580" w:hanging="572"/>
        <w:spacing w:after="0" w:line="331" w:lineRule="auto"/>
        <w:tabs>
          <w:tab w:leader="none" w:pos="580" w:val="left"/>
        </w:tabs>
        <w:numPr>
          <w:ilvl w:val="0"/>
          <w:numId w:val="17"/>
        </w:numPr>
        <w:rPr>
          <w:rFonts w:ascii="Arial" w:cs="Arial" w:eastAsia="Arial" w:hAnsi="Arial"/>
          <w:sz w:val="15"/>
          <w:szCs w:val="15"/>
          <w:color w:val="auto"/>
        </w:rPr>
      </w:pPr>
      <w:r>
        <w:rPr>
          <w:rFonts w:ascii="Arial" w:cs="Arial" w:eastAsia="Arial" w:hAnsi="Arial"/>
          <w:sz w:val="15"/>
          <w:szCs w:val="15"/>
          <w:color w:val="auto"/>
        </w:rPr>
        <w:t>Excludes an average of 1,462,248 and 2,497,372 options that were anti-dilutive for the first quarter of 2009 and 2008, respectively, because their exercise price was greater than the average market price of our stock. Also excluded are 5,130,000 options granted on July 14, 2008, for shares that would be issuable contingent on the achievement of certain performance criteria related to OCN’s stock price and an annualized rate of return to investors.</w:t>
      </w:r>
    </w:p>
    <w:p>
      <w:pPr>
        <w:spacing w:after="0" w:line="179"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NOTE 18</w:t>
      </w:r>
      <w:r>
        <w:rPr>
          <w:sz w:val="20"/>
          <w:szCs w:val="20"/>
          <w:color w:val="auto"/>
        </w:rPr>
        <w:tab/>
      </w:r>
      <w:r>
        <w:rPr>
          <w:rFonts w:ascii="Arial" w:cs="Arial" w:eastAsia="Arial" w:hAnsi="Arial"/>
          <w:sz w:val="18"/>
          <w:szCs w:val="18"/>
          <w:b w:val="1"/>
          <w:bCs w:val="1"/>
          <w:color w:val="auto"/>
        </w:rPr>
        <w:t>DERIVATIVE FINANCIAL INSTRUMENTS</w:t>
      </w:r>
    </w:p>
    <w:p>
      <w:pPr>
        <w:spacing w:after="0" w:line="23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our use of derivative financial instruments during the three months ended March 31, 2009:</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6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80" w:type="dxa"/>
            <w:vAlign w:val="bottom"/>
            <w:gridSpan w:val="3"/>
          </w:tcPr>
          <w:p>
            <w:pPr>
              <w:jc w:val="right"/>
              <w:ind w:right="600"/>
              <w:spacing w:after="0"/>
              <w:rPr>
                <w:sz w:val="20"/>
                <w:szCs w:val="20"/>
                <w:color w:val="auto"/>
              </w:rPr>
            </w:pPr>
            <w:r>
              <w:rPr>
                <w:rFonts w:ascii="Arial" w:cs="Arial" w:eastAsia="Arial" w:hAnsi="Arial"/>
                <w:sz w:val="18"/>
                <w:szCs w:val="18"/>
                <w:color w:val="auto"/>
                <w:w w:val="96"/>
              </w:rPr>
              <w:t>Interest Rate Cap</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980" w:type="dxa"/>
            <w:vAlign w:val="bottom"/>
            <w:gridSpan w:val="2"/>
          </w:tcPr>
          <w:p>
            <w:pPr>
              <w:jc w:val="right"/>
              <w:ind w:right="320"/>
              <w:spacing w:after="0"/>
              <w:rPr>
                <w:sz w:val="20"/>
                <w:szCs w:val="20"/>
                <w:color w:val="auto"/>
              </w:rPr>
            </w:pPr>
            <w:r>
              <w:rPr>
                <w:rFonts w:ascii="Arial" w:cs="Arial" w:eastAsia="Arial" w:hAnsi="Arial"/>
                <w:sz w:val="18"/>
                <w:szCs w:val="18"/>
                <w:color w:val="auto"/>
                <w:w w:val="90"/>
              </w:rPr>
              <w:t>Euro Currency Futures</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69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80" w:type="dxa"/>
            <w:vAlign w:val="bottom"/>
            <w:gridSpan w:val="2"/>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20" w:type="dxa"/>
            <w:vAlign w:val="bottom"/>
            <w:shd w:val="clear" w:color="auto" w:fill="EAF9E8"/>
          </w:tcPr>
          <w:p>
            <w:pPr>
              <w:spacing w:after="0"/>
              <w:rPr>
                <w:sz w:val="20"/>
                <w:szCs w:val="20"/>
                <w:color w:val="auto"/>
              </w:rPr>
            </w:pPr>
            <w:r>
              <w:rPr>
                <w:rFonts w:ascii="Arial" w:cs="Arial" w:eastAsia="Arial" w:hAnsi="Arial"/>
                <w:sz w:val="18"/>
                <w:szCs w:val="18"/>
                <w:color w:val="auto"/>
              </w:rPr>
              <w:t>Notional balance at December 31, 2008</w:t>
            </w:r>
          </w:p>
        </w:tc>
        <w:tc>
          <w:tcPr>
            <w:tcW w:w="240" w:type="dxa"/>
            <w:vAlign w:val="bottom"/>
            <w:tcBorders>
              <w:top w:val="single" w:sz="8" w:color="auto"/>
            </w:tcBorders>
            <w:shd w:val="clear" w:color="auto" w:fill="EAF9E8"/>
          </w:tcPr>
          <w:p>
            <w:pPr>
              <w:jc w:val="right"/>
              <w:ind w:right="52"/>
              <w:spacing w:after="0"/>
              <w:rPr>
                <w:sz w:val="20"/>
                <w:szCs w:val="20"/>
                <w:color w:val="auto"/>
              </w:rPr>
            </w:pPr>
            <w:r>
              <w:rPr>
                <w:rFonts w:ascii="Arial" w:cs="Arial" w:eastAsia="Arial" w:hAnsi="Arial"/>
                <w:sz w:val="18"/>
                <w:szCs w:val="18"/>
                <w:color w:val="auto"/>
                <w:w w:val="79"/>
              </w:rPr>
              <w:t>$</w:t>
            </w:r>
          </w:p>
        </w:tc>
        <w:tc>
          <w:tcPr>
            <w:tcW w:w="176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450,000</w:t>
            </w:r>
          </w:p>
        </w:tc>
        <w:tc>
          <w:tcPr>
            <w:tcW w:w="2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4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5"/>
                <w:szCs w:val="15"/>
                <w:color w:val="auto"/>
                <w:w w:val="71"/>
              </w:rPr>
              <w:t>$</w:t>
            </w:r>
          </w:p>
        </w:tc>
        <w:tc>
          <w:tcPr>
            <w:tcW w:w="186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10,125</w:t>
            </w:r>
          </w:p>
        </w:tc>
        <w:tc>
          <w:tcPr>
            <w:tcW w:w="12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spacing w:after="0"/>
              <w:rPr>
                <w:sz w:val="20"/>
                <w:szCs w:val="20"/>
                <w:color w:val="auto"/>
              </w:rPr>
            </w:pPr>
            <w:r>
              <w:rPr>
                <w:rFonts w:ascii="Arial" w:cs="Arial" w:eastAsia="Arial" w:hAnsi="Arial"/>
                <w:sz w:val="18"/>
                <w:szCs w:val="18"/>
                <w:color w:val="auto"/>
              </w:rPr>
              <w:t>Additions</w:t>
            </w:r>
          </w:p>
        </w:tc>
        <w:tc>
          <w:tcPr>
            <w:tcW w:w="240" w:type="dxa"/>
            <w:vAlign w:val="bottom"/>
          </w:tcPr>
          <w:p>
            <w:pPr>
              <w:spacing w:after="0"/>
              <w:rPr>
                <w:sz w:val="18"/>
                <w:szCs w:val="18"/>
                <w:color w:val="auto"/>
              </w:rPr>
            </w:pPr>
          </w:p>
        </w:tc>
        <w:tc>
          <w:tcPr>
            <w:tcW w:w="198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9,605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EAF9E8"/>
          </w:tcPr>
          <w:p>
            <w:pPr>
              <w:spacing w:after="0"/>
              <w:rPr>
                <w:sz w:val="20"/>
                <w:szCs w:val="20"/>
                <w:color w:val="auto"/>
              </w:rPr>
            </w:pPr>
            <w:r>
              <w:rPr>
                <w:rFonts w:ascii="Arial" w:cs="Arial" w:eastAsia="Arial" w:hAnsi="Arial"/>
                <w:sz w:val="18"/>
                <w:szCs w:val="18"/>
                <w:color w:val="auto"/>
              </w:rPr>
              <w:t>Maturities</w:t>
            </w:r>
          </w:p>
        </w:tc>
        <w:tc>
          <w:tcPr>
            <w:tcW w:w="240" w:type="dxa"/>
            <w:vAlign w:val="bottom"/>
            <w:shd w:val="clear" w:color="auto" w:fill="EAF9E8"/>
          </w:tcPr>
          <w:p>
            <w:pPr>
              <w:spacing w:after="0"/>
              <w:rPr>
                <w:sz w:val="18"/>
                <w:szCs w:val="18"/>
                <w:color w:val="auto"/>
              </w:rPr>
            </w:pPr>
          </w:p>
        </w:tc>
        <w:tc>
          <w:tcPr>
            <w:tcW w:w="1980" w:type="dxa"/>
            <w:vAlign w:val="bottom"/>
            <w:gridSpan w:val="3"/>
            <w:shd w:val="clear" w:color="auto" w:fill="EAF9E8"/>
          </w:tcPr>
          <w:p>
            <w:pPr>
              <w:jc w:val="right"/>
              <w:ind w:right="160"/>
              <w:spacing w:after="0"/>
              <w:rPr>
                <w:sz w:val="20"/>
                <w:szCs w:val="20"/>
                <w:color w:val="auto"/>
              </w:rPr>
            </w:pPr>
            <w:r>
              <w:rPr>
                <w:rFonts w:ascii="Arial" w:cs="Arial" w:eastAsia="Arial" w:hAnsi="Arial"/>
                <w:sz w:val="18"/>
                <w:szCs w:val="18"/>
                <w:color w:val="auto"/>
              </w:rPr>
              <w:t>(16,667)</w:t>
            </w:r>
          </w:p>
        </w:tc>
        <w:tc>
          <w:tcPr>
            <w:tcW w:w="14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980" w:type="dxa"/>
            <w:vAlign w:val="bottom"/>
            <w:gridSpan w:val="2"/>
            <w:shd w:val="clear" w:color="auto" w:fill="EAF9E8"/>
          </w:tcPr>
          <w:p>
            <w:pPr>
              <w:jc w:val="right"/>
              <w:ind w:right="60"/>
              <w:spacing w:after="0"/>
              <w:rPr>
                <w:sz w:val="20"/>
                <w:szCs w:val="20"/>
                <w:color w:val="auto"/>
              </w:rPr>
            </w:pPr>
            <w:r>
              <w:rPr>
                <w:rFonts w:ascii="Arial" w:cs="Arial" w:eastAsia="Arial" w:hAnsi="Arial"/>
                <w:sz w:val="18"/>
                <w:szCs w:val="18"/>
                <w:color w:val="auto"/>
              </w:rPr>
              <w:t>(10,125)</w:t>
            </w:r>
          </w:p>
        </w:tc>
        <w:tc>
          <w:tcPr>
            <w:tcW w:w="0" w:type="dxa"/>
            <w:vAlign w:val="bottom"/>
          </w:tcPr>
          <w:p>
            <w:pPr>
              <w:spacing w:after="0"/>
              <w:rPr>
                <w:sz w:val="1"/>
                <w:szCs w:val="1"/>
                <w:color w:val="auto"/>
              </w:rPr>
            </w:pPr>
          </w:p>
        </w:tc>
      </w:tr>
      <w:tr>
        <w:trPr>
          <w:trHeight w:val="243"/>
        </w:trPr>
        <w:tc>
          <w:tcPr>
            <w:tcW w:w="6940" w:type="dxa"/>
            <w:vAlign w:val="bottom"/>
            <w:gridSpan w:val="2"/>
            <w:vMerge w:val="restart"/>
          </w:tcPr>
          <w:p>
            <w:pPr>
              <w:spacing w:after="0"/>
              <w:rPr>
                <w:sz w:val="20"/>
                <w:szCs w:val="20"/>
                <w:color w:val="auto"/>
              </w:rPr>
            </w:pPr>
            <w:r>
              <w:rPr>
                <w:rFonts w:ascii="Arial" w:cs="Arial" w:eastAsia="Arial" w:hAnsi="Arial"/>
                <w:sz w:val="18"/>
                <w:szCs w:val="18"/>
                <w:color w:val="auto"/>
              </w:rPr>
              <w:t>Notional balance at March 31, 2009</w:t>
            </w:r>
          </w:p>
        </w:tc>
        <w:tc>
          <w:tcPr>
            <w:tcW w:w="240" w:type="dxa"/>
            <w:vAlign w:val="bottom"/>
          </w:tcPr>
          <w:p>
            <w:pPr>
              <w:spacing w:after="0"/>
              <w:rPr>
                <w:sz w:val="21"/>
                <w:szCs w:val="21"/>
                <w:color w:val="auto"/>
              </w:rPr>
            </w:pPr>
          </w:p>
        </w:tc>
        <w:tc>
          <w:tcPr>
            <w:tcW w:w="1780" w:type="dxa"/>
            <w:vAlign w:val="bottom"/>
            <w:gridSpan w:val="2"/>
          </w:tcPr>
          <w:p>
            <w:pPr>
              <w:spacing w:after="0"/>
              <w:rPr>
                <w:sz w:val="21"/>
                <w:szCs w:val="21"/>
                <w:color w:val="auto"/>
              </w:rPr>
            </w:pPr>
          </w:p>
        </w:tc>
        <w:tc>
          <w:tcPr>
            <w:tcW w:w="200" w:type="dxa"/>
            <w:vAlign w:val="bottom"/>
          </w:tcPr>
          <w:p>
            <w:pPr>
              <w:spacing w:after="0"/>
              <w:rPr>
                <w:sz w:val="21"/>
                <w:szCs w:val="21"/>
                <w:color w:val="auto"/>
              </w:rPr>
            </w:pPr>
          </w:p>
        </w:tc>
        <w:tc>
          <w:tcPr>
            <w:tcW w:w="280" w:type="dxa"/>
            <w:vAlign w:val="bottom"/>
            <w:gridSpan w:val="2"/>
          </w:tcPr>
          <w:p>
            <w:pPr>
              <w:spacing w:after="0"/>
              <w:rPr>
                <w:sz w:val="21"/>
                <w:szCs w:val="21"/>
                <w:color w:val="auto"/>
              </w:rPr>
            </w:pPr>
          </w:p>
        </w:tc>
        <w:tc>
          <w:tcPr>
            <w:tcW w:w="1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6940" w:type="dxa"/>
            <w:vAlign w:val="bottom"/>
            <w:gridSpan w:val="2"/>
            <w:vMerge w:val="continue"/>
          </w:tcPr>
          <w:p>
            <w:pPr>
              <w:spacing w:after="0"/>
              <w:rPr>
                <w:sz w:val="18"/>
                <w:szCs w:val="18"/>
                <w:color w:val="auto"/>
              </w:rPr>
            </w:pPr>
          </w:p>
        </w:tc>
        <w:tc>
          <w:tcPr>
            <w:tcW w:w="24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w w:val="79"/>
              </w:rPr>
              <w:t>$</w:t>
            </w:r>
          </w:p>
        </w:tc>
        <w:tc>
          <w:tcPr>
            <w:tcW w:w="1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433,333</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9,605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6940" w:type="dxa"/>
            <w:vAlign w:val="bottom"/>
            <w:gridSpan w:val="2"/>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940" w:type="dxa"/>
            <w:vAlign w:val="bottom"/>
            <w:gridSpan w:val="2"/>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restart"/>
          </w:tcPr>
          <w:p>
            <w:pPr>
              <w:spacing w:after="0"/>
              <w:rPr>
                <w:sz w:val="11"/>
                <w:szCs w:val="11"/>
                <w:color w:val="auto"/>
              </w:rPr>
            </w:pPr>
          </w:p>
        </w:tc>
        <w:tc>
          <w:tcPr>
            <w:tcW w:w="6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20" w:type="dxa"/>
            <w:vAlign w:val="bottom"/>
            <w:shd w:val="clear" w:color="auto" w:fill="EAF9E8"/>
          </w:tcPr>
          <w:p>
            <w:pPr>
              <w:spacing w:after="0"/>
              <w:rPr>
                <w:sz w:val="20"/>
                <w:szCs w:val="20"/>
                <w:color w:val="auto"/>
              </w:rPr>
            </w:pPr>
            <w:r>
              <w:rPr>
                <w:rFonts w:ascii="Arial" w:cs="Arial" w:eastAsia="Arial" w:hAnsi="Arial"/>
                <w:sz w:val="18"/>
                <w:szCs w:val="18"/>
                <w:color w:val="auto"/>
              </w:rPr>
              <w:t>Fair value (1):</w:t>
            </w:r>
          </w:p>
        </w:tc>
        <w:tc>
          <w:tcPr>
            <w:tcW w:w="240" w:type="dxa"/>
            <w:vAlign w:val="bottom"/>
            <w:shd w:val="clear" w:color="auto" w:fill="EAF9E8"/>
          </w:tcPr>
          <w:p>
            <w:pPr>
              <w:spacing w:after="0"/>
              <w:rPr>
                <w:sz w:val="18"/>
                <w:szCs w:val="18"/>
                <w:color w:val="auto"/>
              </w:rPr>
            </w:pPr>
          </w:p>
        </w:tc>
        <w:tc>
          <w:tcPr>
            <w:tcW w:w="176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86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920" w:type="dxa"/>
            <w:vAlign w:val="bottom"/>
          </w:tcPr>
          <w:p>
            <w:pPr>
              <w:ind w:left="140"/>
              <w:spacing w:after="0"/>
              <w:rPr>
                <w:sz w:val="20"/>
                <w:szCs w:val="20"/>
                <w:color w:val="auto"/>
              </w:rPr>
            </w:pPr>
            <w:r>
              <w:rPr>
                <w:rFonts w:ascii="Arial" w:cs="Arial" w:eastAsia="Arial" w:hAnsi="Arial"/>
                <w:sz w:val="18"/>
                <w:szCs w:val="18"/>
                <w:color w:val="auto"/>
              </w:rPr>
              <w:t>March 31, 2009</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1780" w:type="dxa"/>
            <w:vAlign w:val="bottom"/>
            <w:gridSpan w:val="2"/>
          </w:tcPr>
          <w:p>
            <w:pPr>
              <w:jc w:val="right"/>
              <w:ind w:right="20"/>
              <w:spacing w:after="0"/>
              <w:rPr>
                <w:sz w:val="20"/>
                <w:szCs w:val="20"/>
                <w:color w:val="auto"/>
              </w:rPr>
            </w:pPr>
            <w:r>
              <w:rPr>
                <w:rFonts w:ascii="Arial" w:cs="Arial" w:eastAsia="Arial" w:hAnsi="Arial"/>
                <w:sz w:val="18"/>
                <w:szCs w:val="18"/>
                <w:color w:val="auto"/>
              </w:rPr>
              <w:t>355</w:t>
            </w:r>
          </w:p>
        </w:tc>
        <w:tc>
          <w:tcPr>
            <w:tcW w:w="200" w:type="dxa"/>
            <w:vAlign w:val="bottom"/>
          </w:tcPr>
          <w:p>
            <w:pPr>
              <w:spacing w:after="0"/>
              <w:rPr>
                <w:sz w:val="19"/>
                <w:szCs w:val="19"/>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980" w:type="dxa"/>
            <w:vAlign w:val="bottom"/>
            <w:gridSpan w:val="2"/>
          </w:tcPr>
          <w:p>
            <w:pPr>
              <w:jc w:val="right"/>
              <w:ind w:right="60"/>
              <w:spacing w:after="0"/>
              <w:rPr>
                <w:sz w:val="20"/>
                <w:szCs w:val="20"/>
                <w:color w:val="auto"/>
              </w:rPr>
            </w:pPr>
            <w:r>
              <w:rPr>
                <w:rFonts w:ascii="Arial" w:cs="Arial" w:eastAsia="Arial" w:hAnsi="Arial"/>
                <w:sz w:val="18"/>
                <w:szCs w:val="18"/>
                <w:color w:val="auto"/>
              </w:rPr>
              <w:t>(347)</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9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2"/>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6920" w:type="dxa"/>
            <w:vAlign w:val="bottom"/>
            <w:shd w:val="clear" w:color="auto" w:fill="EAF9E8"/>
          </w:tcPr>
          <w:p>
            <w:pPr>
              <w:ind w:left="140"/>
              <w:spacing w:after="0" w:line="196" w:lineRule="exact"/>
              <w:rPr>
                <w:sz w:val="20"/>
                <w:szCs w:val="20"/>
                <w:color w:val="auto"/>
              </w:rPr>
            </w:pPr>
            <w:r>
              <w:rPr>
                <w:rFonts w:ascii="Arial" w:cs="Arial" w:eastAsia="Arial" w:hAnsi="Arial"/>
                <w:sz w:val="18"/>
                <w:szCs w:val="18"/>
                <w:color w:val="auto"/>
              </w:rPr>
              <w:t>December 31, 2008</w:t>
            </w:r>
          </w:p>
        </w:tc>
        <w:tc>
          <w:tcPr>
            <w:tcW w:w="240" w:type="dxa"/>
            <w:vAlign w:val="bottom"/>
            <w:tcBorders>
              <w:top w:val="single" w:sz="8" w:color="auto"/>
            </w:tcBorders>
            <w:shd w:val="clear" w:color="auto" w:fill="EAF9E8"/>
          </w:tcPr>
          <w:p>
            <w:pPr>
              <w:jc w:val="right"/>
              <w:ind w:right="52"/>
              <w:spacing w:after="0" w:line="196" w:lineRule="exact"/>
              <w:rPr>
                <w:sz w:val="20"/>
                <w:szCs w:val="20"/>
                <w:color w:val="auto"/>
              </w:rPr>
            </w:pPr>
            <w:r>
              <w:rPr>
                <w:rFonts w:ascii="Arial" w:cs="Arial" w:eastAsia="Arial" w:hAnsi="Arial"/>
                <w:sz w:val="18"/>
                <w:szCs w:val="18"/>
                <w:color w:val="auto"/>
                <w:w w:val="79"/>
              </w:rPr>
              <w:t>$</w:t>
            </w:r>
          </w:p>
        </w:tc>
        <w:tc>
          <w:tcPr>
            <w:tcW w:w="1760" w:type="dxa"/>
            <w:vAlign w:val="bottom"/>
            <w:tcBorders>
              <w:top w:val="single" w:sz="8" w:color="auto"/>
            </w:tcBorders>
            <w:shd w:val="clear" w:color="auto" w:fill="EAF9E8"/>
          </w:tcPr>
          <w:p>
            <w:pPr>
              <w:jc w:val="right"/>
              <w:spacing w:after="0" w:line="196" w:lineRule="exact"/>
              <w:rPr>
                <w:sz w:val="20"/>
                <w:szCs w:val="20"/>
                <w:color w:val="auto"/>
              </w:rPr>
            </w:pPr>
            <w:r>
              <w:rPr>
                <w:rFonts w:ascii="Arial" w:cs="Arial" w:eastAsia="Arial" w:hAnsi="Arial"/>
                <w:sz w:val="18"/>
                <w:szCs w:val="18"/>
                <w:color w:val="auto"/>
              </w:rPr>
              <w:t>193</w:t>
            </w:r>
          </w:p>
        </w:tc>
        <w:tc>
          <w:tcPr>
            <w:tcW w:w="20" w:type="dxa"/>
            <w:vAlign w:val="bottom"/>
            <w:shd w:val="clear" w:color="auto" w:fill="EAF9E8"/>
          </w:tcPr>
          <w:p>
            <w:pPr>
              <w:spacing w:after="0"/>
              <w:rPr>
                <w:sz w:val="17"/>
                <w:szCs w:val="17"/>
                <w:color w:val="auto"/>
              </w:rPr>
            </w:pPr>
          </w:p>
        </w:tc>
        <w:tc>
          <w:tcPr>
            <w:tcW w:w="200" w:type="dxa"/>
            <w:vAlign w:val="bottom"/>
            <w:shd w:val="clear" w:color="auto" w:fill="EAF9E8"/>
          </w:tcPr>
          <w:p>
            <w:pPr>
              <w:spacing w:after="0"/>
              <w:rPr>
                <w:sz w:val="17"/>
                <w:szCs w:val="17"/>
                <w:color w:val="auto"/>
              </w:rPr>
            </w:pPr>
          </w:p>
        </w:tc>
        <w:tc>
          <w:tcPr>
            <w:tcW w:w="140" w:type="dxa"/>
            <w:vAlign w:val="bottom"/>
            <w:shd w:val="clear" w:color="auto" w:fill="EAF9E8"/>
          </w:tcPr>
          <w:p>
            <w:pPr>
              <w:spacing w:after="0"/>
              <w:rPr>
                <w:sz w:val="17"/>
                <w:szCs w:val="17"/>
                <w:color w:val="auto"/>
              </w:rPr>
            </w:pPr>
          </w:p>
        </w:tc>
        <w:tc>
          <w:tcPr>
            <w:tcW w:w="14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5"/>
                <w:szCs w:val="15"/>
                <w:color w:val="auto"/>
                <w:w w:val="71"/>
              </w:rPr>
              <w:t>$</w:t>
            </w:r>
          </w:p>
        </w:tc>
        <w:tc>
          <w:tcPr>
            <w:tcW w:w="1860" w:type="dxa"/>
            <w:vAlign w:val="bottom"/>
            <w:tcBorders>
              <w:top w:val="single" w:sz="8" w:color="auto"/>
            </w:tcBorders>
            <w:shd w:val="clear" w:color="auto" w:fill="EAF9E8"/>
          </w:tcPr>
          <w:p>
            <w:pPr>
              <w:jc w:val="right"/>
              <w:spacing w:after="0" w:line="196" w:lineRule="exact"/>
              <w:rPr>
                <w:sz w:val="20"/>
                <w:szCs w:val="20"/>
                <w:color w:val="auto"/>
              </w:rPr>
            </w:pPr>
            <w:r>
              <w:rPr>
                <w:rFonts w:ascii="Arial" w:cs="Arial" w:eastAsia="Arial" w:hAnsi="Arial"/>
                <w:sz w:val="18"/>
                <w:szCs w:val="18"/>
                <w:color w:val="auto"/>
              </w:rPr>
              <w:t>(726)</w:t>
            </w:r>
          </w:p>
        </w:tc>
        <w:tc>
          <w:tcPr>
            <w:tcW w:w="120" w:type="dxa"/>
            <w:vAlign w:val="bottom"/>
            <w:shd w:val="clear" w:color="auto" w:fill="EAF9E8"/>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9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760" w:type="dxa"/>
            <w:vAlign w:val="bottom"/>
            <w:tcBorders>
              <w:bottom w:val="single" w:sz="8" w:color="auto"/>
            </w:tcBorders>
          </w:tcPr>
          <w:p>
            <w:pPr>
              <w:spacing w:after="0"/>
              <w:rPr>
                <w:sz w:val="21"/>
                <w:szCs w:val="21"/>
                <w:color w:val="auto"/>
              </w:rPr>
            </w:pPr>
          </w:p>
        </w:tc>
        <w:tc>
          <w:tcPr>
            <w:tcW w:w="220" w:type="dxa"/>
            <w:vAlign w:val="bottom"/>
            <w:gridSpan w:val="2"/>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86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7"/>
        </w:trPr>
        <w:tc>
          <w:tcPr>
            <w:tcW w:w="20" w:type="dxa"/>
            <w:vAlign w:val="bottom"/>
          </w:tcPr>
          <w:p>
            <w:pPr>
              <w:spacing w:after="0"/>
              <w:rPr>
                <w:sz w:val="24"/>
                <w:szCs w:val="24"/>
                <w:color w:val="auto"/>
              </w:rPr>
            </w:pPr>
          </w:p>
        </w:tc>
        <w:tc>
          <w:tcPr>
            <w:tcW w:w="6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80" w:type="dxa"/>
            <w:vAlign w:val="bottom"/>
            <w:gridSpan w:val="3"/>
          </w:tcPr>
          <w:p>
            <w:pPr>
              <w:jc w:val="right"/>
              <w:ind w:right="540"/>
              <w:spacing w:after="0"/>
              <w:rPr>
                <w:sz w:val="20"/>
                <w:szCs w:val="20"/>
                <w:color w:val="auto"/>
              </w:rPr>
            </w:pPr>
            <w:r>
              <w:rPr>
                <w:rFonts w:ascii="Arial" w:cs="Arial" w:eastAsia="Arial" w:hAnsi="Arial"/>
                <w:sz w:val="18"/>
                <w:szCs w:val="18"/>
                <w:color w:val="auto"/>
                <w:w w:val="98"/>
              </w:rPr>
              <w:t>January 2011 and</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6940" w:type="dxa"/>
            <w:vAlign w:val="bottom"/>
            <w:gridSpan w:val="2"/>
          </w:tcPr>
          <w:p>
            <w:pPr>
              <w:spacing w:after="0"/>
              <w:rPr>
                <w:sz w:val="20"/>
                <w:szCs w:val="20"/>
                <w:color w:val="auto"/>
              </w:rPr>
            </w:pPr>
            <w:r>
              <w:rPr>
                <w:rFonts w:ascii="Arial" w:cs="Arial" w:eastAsia="Arial" w:hAnsi="Arial"/>
                <w:sz w:val="18"/>
                <w:szCs w:val="18"/>
                <w:color w:val="auto"/>
              </w:rPr>
              <w:t>Maturity</w:t>
            </w:r>
          </w:p>
        </w:tc>
        <w:tc>
          <w:tcPr>
            <w:tcW w:w="240" w:type="dxa"/>
            <w:vAlign w:val="bottom"/>
          </w:tcPr>
          <w:p>
            <w:pPr>
              <w:spacing w:after="0"/>
              <w:rPr>
                <w:sz w:val="19"/>
                <w:szCs w:val="19"/>
                <w:color w:val="auto"/>
              </w:rPr>
            </w:pPr>
          </w:p>
        </w:tc>
        <w:tc>
          <w:tcPr>
            <w:tcW w:w="1980" w:type="dxa"/>
            <w:vAlign w:val="bottom"/>
            <w:gridSpan w:val="3"/>
          </w:tcPr>
          <w:p>
            <w:pPr>
              <w:jc w:val="right"/>
              <w:ind w:right="600"/>
              <w:spacing w:after="0"/>
              <w:rPr>
                <w:sz w:val="20"/>
                <w:szCs w:val="20"/>
                <w:color w:val="auto"/>
              </w:rPr>
            </w:pPr>
            <w:r>
              <w:rPr>
                <w:rFonts w:ascii="Arial" w:cs="Arial" w:eastAsia="Arial" w:hAnsi="Arial"/>
                <w:sz w:val="18"/>
                <w:szCs w:val="18"/>
                <w:color w:val="auto"/>
              </w:rPr>
              <w:t>December 2013</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980" w:type="dxa"/>
            <w:vAlign w:val="bottom"/>
            <w:gridSpan w:val="2"/>
          </w:tcPr>
          <w:p>
            <w:pPr>
              <w:jc w:val="right"/>
              <w:ind w:right="700"/>
              <w:spacing w:after="0"/>
              <w:rPr>
                <w:sz w:val="20"/>
                <w:szCs w:val="20"/>
                <w:color w:val="auto"/>
              </w:rPr>
            </w:pPr>
            <w:r>
              <w:rPr>
                <w:rFonts w:ascii="Arial" w:cs="Arial" w:eastAsia="Arial" w:hAnsi="Arial"/>
                <w:sz w:val="18"/>
                <w:szCs w:val="18"/>
                <w:color w:val="auto"/>
              </w:rPr>
              <w:t>June 2009</w:t>
            </w:r>
          </w:p>
        </w:tc>
        <w:tc>
          <w:tcPr>
            <w:tcW w:w="0" w:type="dxa"/>
            <w:vAlign w:val="bottom"/>
          </w:tcPr>
          <w:p>
            <w:pPr>
              <w:spacing w:after="0"/>
              <w:rPr>
                <w:sz w:val="1"/>
                <w:szCs w:val="1"/>
                <w:color w:val="auto"/>
              </w:rPr>
            </w:pPr>
          </w:p>
        </w:tc>
      </w:tr>
    </w:tbl>
    <w:p>
      <w:pPr>
        <w:spacing w:after="0" w:line="250" w:lineRule="exact"/>
        <w:rPr>
          <w:sz w:val="20"/>
          <w:szCs w:val="20"/>
          <w:color w:val="auto"/>
        </w:rPr>
      </w:pPr>
    </w:p>
    <w:p>
      <w:pPr>
        <w:ind w:left="1160" w:hanging="680"/>
        <w:spacing w:after="0"/>
        <w:tabs>
          <w:tab w:leader="none" w:pos="11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Reported as a component of receivables in the consolidated balance sheets.</w:t>
      </w:r>
    </w:p>
    <w:p>
      <w:pPr>
        <w:sectPr>
          <w:pgSz w:w="11900" w:h="16838" w:orient="portrait"/>
          <w:cols w:equalWidth="0" w:num="1">
            <w:col w:w="11420"/>
          </w:cols>
          <w:pgMar w:left="240" w:top="139" w:right="239" w:bottom="333" w:gutter="0" w:footer="0" w:header="0"/>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67575"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39" w:right="239" w:bottom="333" w:gutter="0" w:footer="0" w:header="0"/>
          <w:type w:val="continuous"/>
        </w:sectPr>
      </w:pPr>
    </w:p>
    <w:bookmarkStart w:id="25" w:name="page26"/>
    <w:bookmarkEnd w:id="25"/>
    <w:p>
      <w:pPr>
        <w:jc w:val="both"/>
        <w:ind w:firstLine="523"/>
        <w:spacing w:after="0" w:line="290" w:lineRule="auto"/>
        <w:rPr>
          <w:sz w:val="20"/>
          <w:szCs w:val="20"/>
          <w:color w:val="auto"/>
        </w:rPr>
      </w:pPr>
      <w:r>
        <w:rPr>
          <w:rFonts w:ascii="Arial" w:cs="Arial" w:eastAsia="Arial" w:hAnsi="Arial"/>
          <w:sz w:val="16"/>
          <w:szCs w:val="16"/>
          <w:color w:val="auto"/>
        </w:rPr>
        <w:t>In our Servicing segment, we have entered into interest rate swaps, under which we pay a floating rate and receive a fixed rate, and interest rate caps. In connection with our issuance of a match funded variable funding note in December 2007 with a variable rate of interest and a $250,000 maximum borrowing capacity, we entered into interest rate caps with a notional amount of $250,000 to hedge our exposure to rising interest rates. We designated this cap as a cash flow hedge but de-designated it as of March 31, 2008 because of ineffectiveness. As a result, we reclassified to earnings the unrealized loss of $239 included in other comprehensive income at December 31, 2007. In connection with our renewal and upsizing of a match funded variable funding note in February 2008 that carried a variable interest rate and a maximum borrowing capacity of $200,000, we entered into an interest rate cap with a notional amount of $200,000 to hedge our exposure to rising interest rates. This cap began amortizing at the rate of $8,333 per month in February 2009. We did not designate this cap as a hedge.</w:t>
      </w:r>
    </w:p>
    <w:p>
      <w:pPr>
        <w:spacing w:after="0" w:line="172" w:lineRule="exact"/>
        <w:rPr>
          <w:sz w:val="20"/>
          <w:szCs w:val="20"/>
          <w:color w:val="auto"/>
        </w:rPr>
      </w:pPr>
    </w:p>
    <w:p>
      <w:pPr>
        <w:jc w:val="both"/>
        <w:ind w:firstLine="570"/>
        <w:spacing w:after="0" w:line="256" w:lineRule="auto"/>
        <w:rPr>
          <w:sz w:val="20"/>
          <w:szCs w:val="20"/>
          <w:color w:val="auto"/>
        </w:rPr>
      </w:pPr>
      <w:r>
        <w:rPr>
          <w:rFonts w:ascii="Arial" w:cs="Arial" w:eastAsia="Arial" w:hAnsi="Arial"/>
          <w:sz w:val="18"/>
          <w:szCs w:val="18"/>
          <w:color w:val="auto"/>
        </w:rPr>
        <w:t>In June 2008, we entered into foreign currency futures contracts to hedge our net investment in BOK against adverse changes in the value of the Euro versus the U.S. Dollar. We designated these derivatives as a foreign-currency net investment hedge. Net gains on these foreign currency futures were $463 for the first quarter of 2009. These gains were included in the net change in unrealized foreign currency translation adjustment in accumulated other comprehensive income.</w:t>
      </w:r>
    </w:p>
    <w:p>
      <w:pPr>
        <w:spacing w:after="0" w:line="19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operations in India and Canada also expose us to foreign currency exchange rate risk, but we consider this risk to be insignificant.</w:t>
      </w:r>
    </w:p>
    <w:p>
      <w:pPr>
        <w:spacing w:after="0" w:line="225" w:lineRule="exact"/>
        <w:rPr>
          <w:sz w:val="20"/>
          <w:szCs w:val="20"/>
          <w:color w:val="auto"/>
        </w:rPr>
      </w:pPr>
    </w:p>
    <w:p>
      <w:pPr>
        <w:jc w:val="both"/>
        <w:ind w:firstLine="561"/>
        <w:spacing w:after="0" w:line="255" w:lineRule="auto"/>
        <w:rPr>
          <w:sz w:val="20"/>
          <w:szCs w:val="20"/>
          <w:color w:val="auto"/>
        </w:rPr>
      </w:pPr>
      <w:r>
        <w:rPr>
          <w:rFonts w:ascii="Arial" w:cs="Arial" w:eastAsia="Arial" w:hAnsi="Arial"/>
          <w:sz w:val="18"/>
          <w:szCs w:val="18"/>
          <w:color w:val="auto"/>
        </w:rPr>
        <w:t>Net realized and unrealized gains included in other income (expense), net related to derivative financial instruments were $161 and $2,622 for the first quarter of 2009 and 2008, respectively, including in 2008 the $239 loss related to the interest rate cap that we de-designated as a cash flow hedge. In addition, we recorded unrealized losses of $3,149 in the first quarter of 2008 that represented fair value basis adjustments on the $165,000 fixed-rate match funded term note that we had designated as part of a fair value hedging relationship that was established using an interest rate swap that we subsequently terminated in the first quarter of 2008.</w:t>
      </w:r>
    </w:p>
    <w:p>
      <w:pPr>
        <w:spacing w:after="0" w:line="204"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NOTE 19</w:t>
      </w:r>
      <w:r>
        <w:rPr>
          <w:sz w:val="20"/>
          <w:szCs w:val="20"/>
          <w:color w:val="auto"/>
        </w:rPr>
        <w:tab/>
      </w:r>
      <w:r>
        <w:rPr>
          <w:rFonts w:ascii="Arial" w:cs="Arial" w:eastAsia="Arial" w:hAnsi="Arial"/>
          <w:sz w:val="16"/>
          <w:szCs w:val="16"/>
          <w:b w:val="1"/>
          <w:bCs w:val="1"/>
          <w:color w:val="auto"/>
        </w:rPr>
        <w:t>BUSINESS SEGMENT REPORTING</w:t>
      </w:r>
    </w:p>
    <w:p>
      <w:pPr>
        <w:spacing w:after="0" w:line="231" w:lineRule="exact"/>
        <w:rPr>
          <w:sz w:val="20"/>
          <w:szCs w:val="20"/>
          <w:color w:val="auto"/>
        </w:rPr>
      </w:pPr>
    </w:p>
    <w:p>
      <w:pPr>
        <w:jc w:val="both"/>
        <w:ind w:firstLine="490"/>
        <w:spacing w:after="0" w:line="314" w:lineRule="auto"/>
        <w:rPr>
          <w:sz w:val="20"/>
          <w:szCs w:val="20"/>
          <w:color w:val="auto"/>
        </w:rPr>
      </w:pPr>
      <w:r>
        <w:rPr>
          <w:rFonts w:ascii="Arial" w:cs="Arial" w:eastAsia="Arial" w:hAnsi="Arial"/>
          <w:sz w:val="15"/>
          <w:szCs w:val="15"/>
          <w:color w:val="auto"/>
        </w:rPr>
        <w:t>We manage our business through two distinct lines of business, Ocwen Asset Management and Ocwen Solutions. Ocwen Asset Management includes our core residential servicing business, equity investments in asset management vehicles and our remaining investments in subprime loans and residual securities. Ocwen Solutions, our knowledge-based business process outsourcing (BPO) operation, includes our residential fee-based loan processing businesses, all of our technology platforms, our unsecured collections business and our equity interest in BMS Holdings. We have aligned our internal planning and operating structure to give support and focus to these operations. Our business segments reflect the internal reporting that we have used to evaluate operating performance and to assess the allocation of our resources. Our segments are based upon our organizational structure that focuses primarily on the products and services offered.</w:t>
      </w:r>
    </w:p>
    <w:p>
      <w:pPr>
        <w:spacing w:after="0" w:line="15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brief description of our current business segments aligned within our two lines of business follows: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auto"/>
        </w:rPr>
        <w:t>Ocwen Asset Management</w:t>
      </w:r>
    </w:p>
    <w:p>
      <w:pPr>
        <w:spacing w:after="0" w:line="239" w:lineRule="exact"/>
        <w:rPr>
          <w:sz w:val="20"/>
          <w:szCs w:val="20"/>
          <w:color w:val="auto"/>
        </w:rPr>
      </w:pPr>
    </w:p>
    <w:p>
      <w:pPr>
        <w:jc w:val="both"/>
        <w:ind w:left="1160" w:hanging="571"/>
        <w:spacing w:after="0" w:line="252" w:lineRule="auto"/>
        <w:tabs>
          <w:tab w:leader="none" w:pos="1160"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Servicing</w:t>
      </w:r>
      <w:r>
        <w:rPr>
          <w:rFonts w:ascii="Arial" w:cs="Arial" w:eastAsia="Arial" w:hAnsi="Arial"/>
          <w:sz w:val="18"/>
          <w:szCs w:val="18"/>
          <w:color w:val="auto"/>
        </w:rPr>
        <w:t>. This segment provides loan servicing for a fee, including asset management and resolution services, primarily to owners of subprime</w:t>
      </w:r>
      <w:r>
        <w:rPr>
          <w:rFonts w:ascii="Arial" w:cs="Arial" w:eastAsia="Arial" w:hAnsi="Arial"/>
          <w:sz w:val="18"/>
          <w:szCs w:val="18"/>
          <w:i w:val="1"/>
          <w:iCs w:val="1"/>
          <w:color w:val="auto"/>
        </w:rPr>
        <w:t xml:space="preserve"> </w:t>
      </w:r>
      <w:r>
        <w:rPr>
          <w:rFonts w:ascii="Arial" w:cs="Arial" w:eastAsia="Arial" w:hAnsi="Arial"/>
          <w:sz w:val="18"/>
          <w:szCs w:val="18"/>
          <w:color w:val="auto"/>
        </w:rPr>
        <w:t>residential mortgages. Subprime loans represent residential loans we service that were made to borrowers who generally did not qualify under guidelines of Fannie Mae and Freddie Mac (nonconforming loans). This segment is primarily comprised of our core residential servicing business.</w:t>
      </w:r>
    </w:p>
    <w:p>
      <w:pPr>
        <w:spacing w:after="0" w:line="1" w:lineRule="exact"/>
        <w:rPr>
          <w:rFonts w:ascii="Arial" w:cs="Arial" w:eastAsia="Arial" w:hAnsi="Arial"/>
          <w:sz w:val="18"/>
          <w:szCs w:val="18"/>
          <w:color w:val="auto"/>
        </w:rPr>
      </w:pPr>
    </w:p>
    <w:p>
      <w:pPr>
        <w:jc w:val="both"/>
        <w:ind w:left="1160" w:hanging="571"/>
        <w:spacing w:after="0" w:line="250" w:lineRule="auto"/>
        <w:tabs>
          <w:tab w:leader="none" w:pos="1160"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Loans and Residuals</w:t>
      </w:r>
      <w:r>
        <w:rPr>
          <w:rFonts w:ascii="Arial" w:cs="Arial" w:eastAsia="Arial" w:hAnsi="Arial"/>
          <w:sz w:val="18"/>
          <w:szCs w:val="18"/>
          <w:color w:val="auto"/>
        </w:rPr>
        <w:t>. This segment includes our trading and investing activities and our former subprime loan origination operation. Our trading</w:t>
      </w:r>
      <w:r>
        <w:rPr>
          <w:rFonts w:ascii="Arial" w:cs="Arial" w:eastAsia="Arial" w:hAnsi="Arial"/>
          <w:sz w:val="18"/>
          <w:szCs w:val="18"/>
          <w:i w:val="1"/>
          <w:iCs w:val="1"/>
          <w:color w:val="auto"/>
        </w:rPr>
        <w:t xml:space="preserve"> </w:t>
      </w:r>
      <w:r>
        <w:rPr>
          <w:rFonts w:ascii="Arial" w:cs="Arial" w:eastAsia="Arial" w:hAnsi="Arial"/>
          <w:sz w:val="18"/>
          <w:szCs w:val="18"/>
          <w:color w:val="auto"/>
        </w:rPr>
        <w:t>and investing activities include our investments in subprime residual mortgage backed trading securities as well as the results of our whole loan purchase and securitization activities.</w:t>
      </w:r>
    </w:p>
    <w:p>
      <w:pPr>
        <w:spacing w:after="0" w:line="1" w:lineRule="exact"/>
        <w:rPr>
          <w:rFonts w:ascii="Arial" w:cs="Arial" w:eastAsia="Arial" w:hAnsi="Arial"/>
          <w:sz w:val="18"/>
          <w:szCs w:val="18"/>
          <w:color w:val="auto"/>
        </w:rPr>
      </w:pPr>
    </w:p>
    <w:p>
      <w:pPr>
        <w:ind w:left="1160" w:right="20" w:hanging="571"/>
        <w:spacing w:after="0" w:line="261" w:lineRule="auto"/>
        <w:tabs>
          <w:tab w:leader="none" w:pos="1160"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Asset Management Vehicles</w:t>
      </w:r>
      <w:r>
        <w:rPr>
          <w:rFonts w:ascii="Arial" w:cs="Arial" w:eastAsia="Arial" w:hAnsi="Arial"/>
          <w:sz w:val="18"/>
          <w:szCs w:val="18"/>
          <w:color w:val="auto"/>
        </w:rPr>
        <w:t>. This segment is comprised of our 25% equity investment in OSI and approximately a 25% equity investment in</w:t>
      </w:r>
      <w:r>
        <w:rPr>
          <w:rFonts w:ascii="Arial" w:cs="Arial" w:eastAsia="Arial" w:hAnsi="Arial"/>
          <w:sz w:val="18"/>
          <w:szCs w:val="18"/>
          <w:i w:val="1"/>
          <w:iCs w:val="1"/>
          <w:color w:val="auto"/>
        </w:rPr>
        <w:t xml:space="preserve"> </w:t>
      </w:r>
      <w:r>
        <w:rPr>
          <w:rFonts w:ascii="Arial" w:cs="Arial" w:eastAsia="Arial" w:hAnsi="Arial"/>
          <w:sz w:val="18"/>
          <w:szCs w:val="18"/>
          <w:color w:val="auto"/>
        </w:rPr>
        <w:t>ONL and OREO, unconsolidated entities engaged in the management of residential assets.</w:t>
      </w:r>
    </w:p>
    <w:p>
      <w:pPr>
        <w:spacing w:after="0" w:line="192"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auto"/>
        </w:rPr>
        <w:t>Ocwen Solutions</w:t>
      </w:r>
    </w:p>
    <w:p>
      <w:pPr>
        <w:spacing w:after="0" w:line="239" w:lineRule="exact"/>
        <w:rPr>
          <w:sz w:val="20"/>
          <w:szCs w:val="20"/>
          <w:color w:val="auto"/>
        </w:rPr>
      </w:pPr>
    </w:p>
    <w:p>
      <w:pPr>
        <w:jc w:val="both"/>
        <w:ind w:left="1160" w:hanging="571"/>
        <w:spacing w:after="0" w:line="253" w:lineRule="auto"/>
        <w:tabs>
          <w:tab w:leader="none" w:pos="1160"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 xml:space="preserve">Mortgage Services. </w:t>
      </w:r>
      <w:r>
        <w:rPr>
          <w:rFonts w:ascii="Arial" w:cs="Arial" w:eastAsia="Arial" w:hAnsi="Arial"/>
          <w:sz w:val="18"/>
          <w:szCs w:val="18"/>
          <w:color w:val="auto"/>
        </w:rPr>
        <w:t>This segment provides fee-based mortgage and default services including residential property valuation, mortgage due</w:t>
      </w:r>
      <w:r>
        <w:rPr>
          <w:rFonts w:ascii="Arial" w:cs="Arial" w:eastAsia="Arial" w:hAnsi="Arial"/>
          <w:sz w:val="18"/>
          <w:szCs w:val="18"/>
          <w:i w:val="1"/>
          <w:iCs w:val="1"/>
          <w:color w:val="auto"/>
        </w:rPr>
        <w:t xml:space="preserve"> </w:t>
      </w:r>
      <w:r>
        <w:rPr>
          <w:rFonts w:ascii="Arial" w:cs="Arial" w:eastAsia="Arial" w:hAnsi="Arial"/>
          <w:sz w:val="18"/>
          <w:szCs w:val="18"/>
          <w:color w:val="auto"/>
        </w:rPr>
        <w:t>diligence, mortgage underwriting and insurance support. This segment also includes international servicing for commercial loans which we conduct through GSS.</w:t>
      </w:r>
    </w:p>
    <w:p>
      <w:pPr>
        <w:jc w:val="both"/>
        <w:ind w:left="1160" w:hanging="571"/>
        <w:spacing w:after="0" w:line="250" w:lineRule="auto"/>
        <w:tabs>
          <w:tab w:leader="none" w:pos="1160"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Financial Services</w:t>
      </w:r>
      <w:r>
        <w:rPr>
          <w:rFonts w:ascii="Arial" w:cs="Arial" w:eastAsia="Arial" w:hAnsi="Arial"/>
          <w:sz w:val="18"/>
          <w:szCs w:val="18"/>
          <w:color w:val="auto"/>
        </w:rPr>
        <w:t>. This segment primarily generates fees by providing collection services for owners of delinquent and charged-off receivables.</w:t>
      </w:r>
      <w:r>
        <w:rPr>
          <w:rFonts w:ascii="Arial" w:cs="Arial" w:eastAsia="Arial" w:hAnsi="Arial"/>
          <w:sz w:val="18"/>
          <w:szCs w:val="18"/>
          <w:i w:val="1"/>
          <w:iCs w:val="1"/>
          <w:color w:val="auto"/>
        </w:rPr>
        <w:t xml:space="preserve"> </w:t>
      </w:r>
      <w:r>
        <w:rPr>
          <w:rFonts w:ascii="Arial" w:cs="Arial" w:eastAsia="Arial" w:hAnsi="Arial"/>
          <w:sz w:val="18"/>
          <w:szCs w:val="18"/>
          <w:color w:val="auto"/>
        </w:rPr>
        <w:t>This segment includes the results of NCI, a receivables management company specializing in contingency collections and customer relationship management for credit card issuers and other consumer and credit providers.</w:t>
      </w:r>
    </w:p>
    <w:p>
      <w:pPr>
        <w:spacing w:after="0" w:line="1" w:lineRule="exact"/>
        <w:rPr>
          <w:rFonts w:ascii="Arial" w:cs="Arial" w:eastAsia="Arial" w:hAnsi="Arial"/>
          <w:sz w:val="18"/>
          <w:szCs w:val="18"/>
          <w:color w:val="auto"/>
        </w:rPr>
      </w:pPr>
    </w:p>
    <w:p>
      <w:pPr>
        <w:jc w:val="both"/>
        <w:ind w:left="1160" w:hanging="571"/>
        <w:spacing w:after="0" w:line="294" w:lineRule="auto"/>
        <w:tabs>
          <w:tab w:leader="none" w:pos="1160" w:val="left"/>
        </w:tabs>
        <w:numPr>
          <w:ilvl w:val="0"/>
          <w:numId w:val="20"/>
        </w:numPr>
        <w:rPr>
          <w:rFonts w:ascii="Arial" w:cs="Arial" w:eastAsia="Arial" w:hAnsi="Arial"/>
          <w:sz w:val="15"/>
          <w:szCs w:val="15"/>
          <w:color w:val="auto"/>
        </w:rPr>
      </w:pPr>
      <w:r>
        <w:rPr>
          <w:rFonts w:ascii="Arial" w:cs="Arial" w:eastAsia="Arial" w:hAnsi="Arial"/>
          <w:sz w:val="15"/>
          <w:szCs w:val="15"/>
          <w:i w:val="1"/>
          <w:iCs w:val="1"/>
          <w:color w:val="auto"/>
        </w:rPr>
        <w:t xml:space="preserve">Technology Products. </w:t>
      </w:r>
      <w:r>
        <w:rPr>
          <w:rFonts w:ascii="Arial" w:cs="Arial" w:eastAsia="Arial" w:hAnsi="Arial"/>
          <w:sz w:val="15"/>
          <w:szCs w:val="15"/>
          <w:color w:val="auto"/>
        </w:rPr>
        <w:t>This segment includes revenues from our REAL suite of applications that support our servicing business as well as the</w:t>
      </w:r>
      <w:r>
        <w:rPr>
          <w:rFonts w:ascii="Arial" w:cs="Arial" w:eastAsia="Arial" w:hAnsi="Arial"/>
          <w:sz w:val="15"/>
          <w:szCs w:val="15"/>
          <w:i w:val="1"/>
          <w:iCs w:val="1"/>
          <w:color w:val="auto"/>
        </w:rPr>
        <w:t xml:space="preserve"> </w:t>
      </w:r>
      <w:r>
        <w:rPr>
          <w:rFonts w:ascii="Arial" w:cs="Arial" w:eastAsia="Arial" w:hAnsi="Arial"/>
          <w:sz w:val="15"/>
          <w:szCs w:val="15"/>
          <w:color w:val="auto"/>
        </w:rPr>
        <w:t>servicing and origination businesses of external customers. These products include REALServicing™, REALResolution™, REALTrans</w:t>
      </w:r>
      <w:r>
        <w:rPr>
          <w:rFonts w:ascii="Arial" w:cs="Arial" w:eastAsia="Arial" w:hAnsi="Arial"/>
          <w:sz w:val="24"/>
          <w:szCs w:val="24"/>
          <w:color w:val="auto"/>
          <w:vertAlign w:val="superscript"/>
        </w:rPr>
        <w:t>SM</w:t>
      </w:r>
      <w:r>
        <w:rPr>
          <w:rFonts w:ascii="Arial" w:cs="Arial" w:eastAsia="Arial" w:hAnsi="Arial"/>
          <w:sz w:val="15"/>
          <w:szCs w:val="15"/>
          <w:color w:val="auto"/>
        </w:rPr>
        <w:t>, REALSynergy™ and REALRemit™. REALServicing is the core residential loan servicing application used by OCN. This segment also earns fees from providing technology support services to OCN that cover IT enablement, call center services and third-party applications. The results of our 45% equity investment in BMS Holdings, which provides technology-based case management solutions to trustees, law firms and debtor companies that administer cases in the federal bankruptcy system, is also included in this segment. During the second quarter of 2008, Technology Products began charging Servicing and other segments for technology services according to a market-based rate card instead of the cost-based method that was previously used. As a result, the revenues of Technology Products are approximately $664 greater for the first quarter of 2009 than they would have been if the cost-based system had continued to be used. This increase in revenues by segment for the first quarter of 2009 was approximately $411 for Servicing, $189 for Financial Services and $64 for all other segments and Corporate Items and Other.</w:t>
      </w:r>
    </w:p>
    <w:p>
      <w:pPr>
        <w:sectPr>
          <w:pgSz w:w="11900" w:h="16838" w:orient="portrait"/>
          <w:cols w:equalWidth="0" w:num="1">
            <w:col w:w="11420"/>
          </w:cols>
          <w:pgMar w:left="240" w:top="131" w:right="239" w:bottom="1440" w:gutter="0" w:footer="0" w:header="0"/>
        </w:sectPr>
      </w:pP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67575"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26" w:name="page27"/>
    <w:bookmarkEnd w:id="26"/>
    <w:p>
      <w:pPr>
        <w:jc w:val="both"/>
        <w:ind w:firstLine="584"/>
        <w:spacing w:after="0" w:line="306" w:lineRule="auto"/>
        <w:rPr>
          <w:sz w:val="20"/>
          <w:szCs w:val="20"/>
          <w:color w:val="auto"/>
        </w:rPr>
      </w:pPr>
      <w:r>
        <w:rPr>
          <w:rFonts w:ascii="Arial" w:cs="Arial" w:eastAsia="Arial" w:hAnsi="Arial"/>
          <w:sz w:val="16"/>
          <w:szCs w:val="16"/>
          <w:i w:val="1"/>
          <w:iCs w:val="1"/>
          <w:color w:val="auto"/>
        </w:rPr>
        <w:t xml:space="preserve">Corporate Items and Other. </w:t>
      </w:r>
      <w:r>
        <w:rPr>
          <w:rFonts w:ascii="Arial" w:cs="Arial" w:eastAsia="Arial" w:hAnsi="Arial"/>
          <w:sz w:val="16"/>
          <w:szCs w:val="16"/>
          <w:color w:val="auto"/>
        </w:rPr>
        <w:t>We report items of revenue and expense that are not directly related to a business, business activities that are individually</w:t>
      </w:r>
      <w:r>
        <w:rPr>
          <w:rFonts w:ascii="Arial" w:cs="Arial" w:eastAsia="Arial" w:hAnsi="Arial"/>
          <w:sz w:val="16"/>
          <w:szCs w:val="16"/>
          <w:i w:val="1"/>
          <w:iCs w:val="1"/>
          <w:color w:val="auto"/>
        </w:rPr>
        <w:t xml:space="preserve"> </w:t>
      </w:r>
      <w:r>
        <w:rPr>
          <w:rFonts w:ascii="Arial" w:cs="Arial" w:eastAsia="Arial" w:hAnsi="Arial"/>
          <w:sz w:val="16"/>
          <w:szCs w:val="16"/>
          <w:color w:val="auto"/>
        </w:rPr>
        <w:t>insignificant, interest income on short-term investments of cash and the related costs of financing these investments and certain other corporate expenses in Corporate Items and Other. Our Convertible Notes and Capital Securities are also included in Corporate Items and Other.</w:t>
      </w:r>
    </w:p>
    <w:p>
      <w:pPr>
        <w:spacing w:after="0" w:line="161" w:lineRule="exact"/>
        <w:rPr>
          <w:sz w:val="20"/>
          <w:szCs w:val="20"/>
          <w:color w:val="auto"/>
        </w:rPr>
      </w:pPr>
    </w:p>
    <w:p>
      <w:pPr>
        <w:jc w:val="both"/>
        <w:ind w:firstLine="444"/>
        <w:spacing w:after="0" w:line="268" w:lineRule="auto"/>
        <w:rPr>
          <w:sz w:val="20"/>
          <w:szCs w:val="20"/>
          <w:color w:val="auto"/>
        </w:rPr>
      </w:pPr>
      <w:r>
        <w:rPr>
          <w:rFonts w:ascii="Arial" w:cs="Arial" w:eastAsia="Arial" w:hAnsi="Arial"/>
          <w:sz w:val="18"/>
          <w:szCs w:val="18"/>
          <w:color w:val="auto"/>
        </w:rPr>
        <w:t>We allocate interest income and expense to each business segment for funds raised or funding of investments made. We also allocate expenses generated by corporate support services to each business segment.</w:t>
      </w:r>
    </w:p>
    <w:p>
      <w:pPr>
        <w:spacing w:after="0" w:line="18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Financial information for our segments is as follows: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60" w:type="dxa"/>
            <w:vAlign w:val="bottom"/>
            <w:gridSpan w:val="7"/>
          </w:tcPr>
          <w:p>
            <w:pPr>
              <w:jc w:val="center"/>
              <w:ind w:left="492"/>
              <w:spacing w:after="0"/>
              <w:rPr>
                <w:sz w:val="20"/>
                <w:szCs w:val="20"/>
                <w:color w:val="auto"/>
              </w:rPr>
            </w:pPr>
            <w:r>
              <w:rPr>
                <w:rFonts w:ascii="Arial" w:cs="Arial" w:eastAsia="Arial" w:hAnsi="Arial"/>
                <w:sz w:val="14"/>
                <w:szCs w:val="14"/>
                <w:color w:val="auto"/>
                <w:w w:val="86"/>
              </w:rPr>
              <w:t>Ocwen Asset Management</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4"/>
          </w:tcPr>
          <w:p>
            <w:pPr>
              <w:jc w:val="center"/>
              <w:ind w:right="100"/>
              <w:spacing w:after="0"/>
              <w:rPr>
                <w:sz w:val="20"/>
                <w:szCs w:val="20"/>
                <w:color w:val="auto"/>
              </w:rPr>
            </w:pPr>
            <w:r>
              <w:rPr>
                <w:rFonts w:ascii="Arial" w:cs="Arial" w:eastAsia="Arial" w:hAnsi="Arial"/>
                <w:sz w:val="14"/>
                <w:szCs w:val="14"/>
                <w:color w:val="auto"/>
                <w:w w:val="87"/>
              </w:rPr>
              <w:t>Ocwen Solutions</w:t>
            </w: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gridSpan w:val="2"/>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vMerge w:val="restart"/>
          </w:tcPr>
          <w:p>
            <w:pPr>
              <w:jc w:val="center"/>
              <w:ind w:right="240"/>
              <w:spacing w:after="0"/>
              <w:rPr>
                <w:sz w:val="20"/>
                <w:szCs w:val="20"/>
                <w:color w:val="auto"/>
              </w:rPr>
            </w:pPr>
            <w:r>
              <w:rPr>
                <w:rFonts w:ascii="Arial" w:cs="Arial" w:eastAsia="Arial" w:hAnsi="Arial"/>
                <w:sz w:val="14"/>
                <w:szCs w:val="14"/>
                <w:color w:val="auto"/>
                <w:w w:val="86"/>
              </w:rPr>
              <w:t>Corporate</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gridSpan w:val="2"/>
            <w:vMerge w:val="restart"/>
          </w:tcPr>
          <w:p>
            <w:pPr>
              <w:jc w:val="center"/>
              <w:ind w:right="240"/>
              <w:spacing w:after="0"/>
              <w:rPr>
                <w:sz w:val="20"/>
                <w:szCs w:val="20"/>
                <w:color w:val="auto"/>
              </w:rPr>
            </w:pPr>
            <w:r>
              <w:rPr>
                <w:rFonts w:ascii="Arial" w:cs="Arial" w:eastAsia="Arial" w:hAnsi="Arial"/>
                <w:sz w:val="14"/>
                <w:szCs w:val="14"/>
                <w:color w:val="auto"/>
                <w:w w:val="84"/>
              </w:rPr>
              <w:t>Business</w:t>
            </w:r>
          </w:p>
        </w:tc>
        <w:tc>
          <w:tcPr>
            <w:tcW w:w="0" w:type="dxa"/>
            <w:vAlign w:val="bottom"/>
          </w:tcPr>
          <w:p>
            <w:pPr>
              <w:spacing w:after="0"/>
              <w:rPr>
                <w:sz w:val="1"/>
                <w:szCs w:val="1"/>
                <w:color w:val="auto"/>
              </w:rPr>
            </w:pPr>
          </w:p>
        </w:tc>
      </w:tr>
      <w:tr>
        <w:trPr>
          <w:trHeight w:val="131"/>
        </w:trPr>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jc w:val="center"/>
              <w:ind w:right="52"/>
              <w:spacing w:after="0" w:line="131" w:lineRule="exact"/>
              <w:rPr>
                <w:sz w:val="20"/>
                <w:szCs w:val="20"/>
                <w:color w:val="auto"/>
              </w:rPr>
            </w:pPr>
            <w:r>
              <w:rPr>
                <w:rFonts w:ascii="Arial" w:cs="Arial" w:eastAsia="Arial" w:hAnsi="Arial"/>
                <w:sz w:val="14"/>
                <w:szCs w:val="14"/>
                <w:color w:val="auto"/>
                <w:w w:val="85"/>
              </w:rPr>
              <w:t>Asset</w:t>
            </w:r>
          </w:p>
        </w:tc>
        <w:tc>
          <w:tcPr>
            <w:tcW w:w="2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85"/>
              </w:rPr>
              <w:t>Loans and</w:t>
            </w:r>
          </w:p>
        </w:tc>
        <w:tc>
          <w:tcPr>
            <w:tcW w:w="1020" w:type="dxa"/>
            <w:vAlign w:val="bottom"/>
            <w:gridSpan w:val="3"/>
          </w:tcPr>
          <w:p>
            <w:pPr>
              <w:jc w:val="center"/>
              <w:ind w:right="220"/>
              <w:spacing w:after="0" w:line="149" w:lineRule="exact"/>
              <w:rPr>
                <w:sz w:val="20"/>
                <w:szCs w:val="20"/>
                <w:color w:val="auto"/>
              </w:rPr>
            </w:pPr>
            <w:r>
              <w:rPr>
                <w:rFonts w:ascii="Arial" w:cs="Arial" w:eastAsia="Arial" w:hAnsi="Arial"/>
                <w:sz w:val="14"/>
                <w:szCs w:val="14"/>
                <w:color w:val="auto"/>
                <w:w w:val="88"/>
              </w:rPr>
              <w:t>Management</w:t>
            </w:r>
          </w:p>
        </w:tc>
        <w:tc>
          <w:tcPr>
            <w:tcW w:w="100" w:type="dxa"/>
            <w:vAlign w:val="bottom"/>
          </w:tcPr>
          <w:p>
            <w:pPr>
              <w:spacing w:after="0"/>
              <w:rPr>
                <w:sz w:val="12"/>
                <w:szCs w:val="12"/>
                <w:color w:val="auto"/>
              </w:rPr>
            </w:pPr>
          </w:p>
        </w:tc>
        <w:tc>
          <w:tcPr>
            <w:tcW w:w="8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w w:val="91"/>
              </w:rPr>
              <w:t>Mortgage</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center"/>
              <w:ind w:right="340"/>
              <w:spacing w:after="0" w:line="149" w:lineRule="exact"/>
              <w:rPr>
                <w:sz w:val="20"/>
                <w:szCs w:val="20"/>
                <w:color w:val="auto"/>
              </w:rPr>
            </w:pPr>
            <w:r>
              <w:rPr>
                <w:rFonts w:ascii="Arial" w:cs="Arial" w:eastAsia="Arial" w:hAnsi="Arial"/>
                <w:sz w:val="14"/>
                <w:szCs w:val="14"/>
                <w:color w:val="auto"/>
                <w:w w:val="89"/>
              </w:rPr>
              <w:t>Financial</w:t>
            </w:r>
          </w:p>
        </w:tc>
        <w:tc>
          <w:tcPr>
            <w:tcW w:w="80" w:type="dxa"/>
            <w:vAlign w:val="bottom"/>
          </w:tcPr>
          <w:p>
            <w:pPr>
              <w:spacing w:after="0"/>
              <w:rPr>
                <w:sz w:val="12"/>
                <w:szCs w:val="12"/>
                <w:color w:val="auto"/>
              </w:rPr>
            </w:pPr>
          </w:p>
        </w:tc>
        <w:tc>
          <w:tcPr>
            <w:tcW w:w="8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w w:val="85"/>
              </w:rPr>
              <w:t>Technology</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87"/>
              </w:rPr>
              <w:t>Items and</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w w:val="93"/>
              </w:rPr>
              <w:t>Corporate</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82"/>
              </w:rPr>
              <w:t>Segments</w:t>
            </w:r>
          </w:p>
        </w:tc>
        <w:tc>
          <w:tcPr>
            <w:tcW w:w="0" w:type="dxa"/>
            <w:vAlign w:val="bottom"/>
          </w:tcPr>
          <w:p>
            <w:pPr>
              <w:spacing w:after="0"/>
              <w:rPr>
                <w:sz w:val="1"/>
                <w:szCs w:val="1"/>
                <w:color w:val="auto"/>
              </w:rPr>
            </w:pPr>
          </w:p>
        </w:tc>
      </w:tr>
      <w:tr>
        <w:trPr>
          <w:trHeight w:val="172"/>
        </w:trPr>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4"/>
                <w:szCs w:val="14"/>
                <w:color w:val="auto"/>
                <w:w w:val="90"/>
              </w:rPr>
              <w:t>Servicing</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center"/>
              <w:ind w:right="320"/>
              <w:spacing w:after="0"/>
              <w:rPr>
                <w:sz w:val="20"/>
                <w:szCs w:val="20"/>
                <w:color w:val="auto"/>
              </w:rPr>
            </w:pPr>
            <w:r>
              <w:rPr>
                <w:rFonts w:ascii="Arial" w:cs="Arial" w:eastAsia="Arial" w:hAnsi="Arial"/>
                <w:sz w:val="14"/>
                <w:szCs w:val="14"/>
                <w:color w:val="auto"/>
                <w:w w:val="84"/>
              </w:rPr>
              <w:t>Residuals</w:t>
            </w:r>
          </w:p>
        </w:tc>
        <w:tc>
          <w:tcPr>
            <w:tcW w:w="140" w:type="dxa"/>
            <w:vAlign w:val="bottom"/>
          </w:tcPr>
          <w:p>
            <w:pPr>
              <w:spacing w:after="0"/>
              <w:rPr>
                <w:sz w:val="14"/>
                <w:szCs w:val="14"/>
                <w:color w:val="auto"/>
              </w:rPr>
            </w:pPr>
          </w:p>
        </w:tc>
        <w:tc>
          <w:tcPr>
            <w:tcW w:w="880" w:type="dxa"/>
            <w:vAlign w:val="bottom"/>
            <w:gridSpan w:val="2"/>
          </w:tcPr>
          <w:p>
            <w:pPr>
              <w:jc w:val="center"/>
              <w:ind w:right="360"/>
              <w:spacing w:after="0"/>
              <w:rPr>
                <w:sz w:val="20"/>
                <w:szCs w:val="20"/>
                <w:color w:val="auto"/>
              </w:rPr>
            </w:pPr>
            <w:r>
              <w:rPr>
                <w:rFonts w:ascii="Arial" w:cs="Arial" w:eastAsia="Arial" w:hAnsi="Arial"/>
                <w:sz w:val="14"/>
                <w:szCs w:val="14"/>
                <w:color w:val="auto"/>
                <w:w w:val="83"/>
              </w:rPr>
              <w:t>Vehicles</w:t>
            </w:r>
          </w:p>
        </w:tc>
        <w:tc>
          <w:tcPr>
            <w:tcW w:w="100" w:type="dxa"/>
            <w:vAlign w:val="bottom"/>
          </w:tcPr>
          <w:p>
            <w:pPr>
              <w:spacing w:after="0"/>
              <w:rPr>
                <w:sz w:val="14"/>
                <w:szCs w:val="14"/>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4"/>
                <w:szCs w:val="14"/>
                <w:color w:val="auto"/>
                <w:w w:val="96"/>
              </w:rPr>
              <w:t>Services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center"/>
              <w:ind w:right="340"/>
              <w:spacing w:after="0"/>
              <w:rPr>
                <w:sz w:val="20"/>
                <w:szCs w:val="20"/>
                <w:color w:val="auto"/>
              </w:rPr>
            </w:pPr>
            <w:r>
              <w:rPr>
                <w:rFonts w:ascii="Arial" w:cs="Arial" w:eastAsia="Arial" w:hAnsi="Arial"/>
                <w:sz w:val="14"/>
                <w:szCs w:val="14"/>
                <w:color w:val="auto"/>
                <w:w w:val="85"/>
              </w:rPr>
              <w:t>Services</w:t>
            </w:r>
          </w:p>
        </w:tc>
        <w:tc>
          <w:tcPr>
            <w:tcW w:w="80" w:type="dxa"/>
            <w:vAlign w:val="bottom"/>
          </w:tcPr>
          <w:p>
            <w:pPr>
              <w:spacing w:after="0"/>
              <w:rPr>
                <w:sz w:val="14"/>
                <w:szCs w:val="14"/>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4"/>
                <w:szCs w:val="14"/>
                <w:color w:val="auto"/>
                <w:w w:val="97"/>
              </w:rPr>
              <w:t>Products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4"/>
                <w:szCs w:val="14"/>
                <w:color w:val="auto"/>
                <w:w w:val="85"/>
              </w:rPr>
              <w:t>Other</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w w:val="87"/>
              </w:rPr>
              <w:t>Eliminations</w:t>
            </w:r>
          </w:p>
        </w:tc>
        <w:tc>
          <w:tcPr>
            <w:tcW w:w="100" w:type="dxa"/>
            <w:vAlign w:val="bottom"/>
          </w:tcPr>
          <w:p>
            <w:pPr>
              <w:spacing w:after="0"/>
              <w:rPr>
                <w:sz w:val="14"/>
                <w:szCs w:val="14"/>
                <w:color w:val="auto"/>
              </w:rPr>
            </w:pPr>
          </w:p>
        </w:tc>
        <w:tc>
          <w:tcPr>
            <w:tcW w:w="960" w:type="dxa"/>
            <w:vAlign w:val="bottom"/>
            <w:gridSpan w:val="3"/>
          </w:tcPr>
          <w:p>
            <w:pPr>
              <w:jc w:val="center"/>
              <w:ind w:right="120"/>
              <w:spacing w:after="0"/>
              <w:rPr>
                <w:sz w:val="20"/>
                <w:szCs w:val="20"/>
                <w:color w:val="auto"/>
              </w:rPr>
            </w:pPr>
            <w:r>
              <w:rPr>
                <w:rFonts w:ascii="Arial" w:cs="Arial" w:eastAsia="Arial" w:hAnsi="Arial"/>
                <w:sz w:val="14"/>
                <w:szCs w:val="14"/>
                <w:color w:val="auto"/>
                <w:w w:val="88"/>
              </w:rPr>
              <w:t>Consolidated</w:t>
            </w:r>
          </w:p>
        </w:tc>
        <w:tc>
          <w:tcPr>
            <w:tcW w:w="0" w:type="dxa"/>
            <w:vAlign w:val="bottom"/>
          </w:tcPr>
          <w:p>
            <w:pPr>
              <w:spacing w:after="0"/>
              <w:rPr>
                <w:sz w:val="1"/>
                <w:szCs w:val="1"/>
                <w:color w:val="auto"/>
              </w:rPr>
            </w:pPr>
          </w:p>
        </w:tc>
      </w:tr>
      <w:tr>
        <w:trPr>
          <w:trHeight w:val="230"/>
        </w:trPr>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2"/>
        </w:trPr>
        <w:tc>
          <w:tcPr>
            <w:tcW w:w="2200" w:type="dxa"/>
            <w:vAlign w:val="bottom"/>
            <w:gridSpan w:val="5"/>
            <w:shd w:val="clear" w:color="auto" w:fill="EAF9E8"/>
          </w:tcPr>
          <w:p>
            <w:pPr>
              <w:spacing w:after="0" w:line="142" w:lineRule="exact"/>
              <w:rPr>
                <w:sz w:val="20"/>
                <w:szCs w:val="20"/>
                <w:color w:val="auto"/>
              </w:rPr>
            </w:pPr>
            <w:r>
              <w:rPr>
                <w:rFonts w:ascii="Arial" w:cs="Arial" w:eastAsia="Arial" w:hAnsi="Arial"/>
                <w:sz w:val="14"/>
                <w:szCs w:val="14"/>
                <w:b w:val="1"/>
                <w:bCs w:val="1"/>
                <w:color w:val="auto"/>
              </w:rPr>
              <w:t>Results of Operations</w:t>
            </w:r>
          </w:p>
        </w:tc>
        <w:tc>
          <w:tcPr>
            <w:tcW w:w="120" w:type="dxa"/>
            <w:vAlign w:val="bottom"/>
            <w:shd w:val="clear" w:color="auto" w:fill="EAF9E8"/>
          </w:tcPr>
          <w:p>
            <w:pPr>
              <w:spacing w:after="0"/>
              <w:rPr>
                <w:sz w:val="12"/>
                <w:szCs w:val="12"/>
                <w:color w:val="auto"/>
              </w:rPr>
            </w:pPr>
          </w:p>
        </w:tc>
        <w:tc>
          <w:tcPr>
            <w:tcW w:w="680" w:type="dxa"/>
            <w:vAlign w:val="bottom"/>
            <w:shd w:val="clear" w:color="auto" w:fill="EAF9E8"/>
          </w:tcPr>
          <w:p>
            <w:pPr>
              <w:spacing w:after="0"/>
              <w:rPr>
                <w:sz w:val="12"/>
                <w:szCs w:val="12"/>
                <w:color w:val="auto"/>
              </w:rPr>
            </w:pPr>
          </w:p>
        </w:tc>
        <w:tc>
          <w:tcPr>
            <w:tcW w:w="140" w:type="dxa"/>
            <w:vAlign w:val="bottom"/>
            <w:shd w:val="clear" w:color="auto" w:fill="EAF9E8"/>
          </w:tcPr>
          <w:p>
            <w:pPr>
              <w:spacing w:after="0"/>
              <w:rPr>
                <w:sz w:val="12"/>
                <w:szCs w:val="12"/>
                <w:color w:val="auto"/>
              </w:rPr>
            </w:pPr>
          </w:p>
        </w:tc>
        <w:tc>
          <w:tcPr>
            <w:tcW w:w="8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700" w:type="dxa"/>
            <w:vAlign w:val="bottom"/>
            <w:shd w:val="clear" w:color="auto" w:fill="EAF9E8"/>
          </w:tcPr>
          <w:p>
            <w:pPr>
              <w:spacing w:after="0"/>
              <w:rPr>
                <w:sz w:val="12"/>
                <w:szCs w:val="12"/>
                <w:color w:val="auto"/>
              </w:rPr>
            </w:pPr>
          </w:p>
        </w:tc>
        <w:tc>
          <w:tcPr>
            <w:tcW w:w="220" w:type="dxa"/>
            <w:vAlign w:val="bottom"/>
            <w:shd w:val="clear" w:color="auto" w:fill="EAF9E8"/>
          </w:tcPr>
          <w:p>
            <w:pPr>
              <w:spacing w:after="0"/>
              <w:rPr>
                <w:sz w:val="12"/>
                <w:szCs w:val="12"/>
                <w:color w:val="auto"/>
              </w:rPr>
            </w:pPr>
          </w:p>
        </w:tc>
        <w:tc>
          <w:tcPr>
            <w:tcW w:w="140" w:type="dxa"/>
            <w:vAlign w:val="bottom"/>
            <w:shd w:val="clear" w:color="auto" w:fill="EAF9E8"/>
          </w:tcPr>
          <w:p>
            <w:pPr>
              <w:spacing w:after="0"/>
              <w:rPr>
                <w:sz w:val="12"/>
                <w:szCs w:val="12"/>
                <w:color w:val="auto"/>
              </w:rPr>
            </w:pPr>
          </w:p>
        </w:tc>
        <w:tc>
          <w:tcPr>
            <w:tcW w:w="660" w:type="dxa"/>
            <w:vAlign w:val="bottom"/>
            <w:shd w:val="clear" w:color="auto" w:fill="EAF9E8"/>
          </w:tcPr>
          <w:p>
            <w:pPr>
              <w:spacing w:after="0"/>
              <w:rPr>
                <w:sz w:val="12"/>
                <w:szCs w:val="12"/>
                <w:color w:val="auto"/>
              </w:rPr>
            </w:pPr>
          </w:p>
        </w:tc>
        <w:tc>
          <w:tcPr>
            <w:tcW w:w="22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72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120" w:type="dxa"/>
            <w:vAlign w:val="bottom"/>
            <w:shd w:val="clear" w:color="auto" w:fill="EAF9E8"/>
          </w:tcPr>
          <w:p>
            <w:pPr>
              <w:spacing w:after="0"/>
              <w:rPr>
                <w:sz w:val="12"/>
                <w:szCs w:val="12"/>
                <w:color w:val="auto"/>
              </w:rPr>
            </w:pPr>
          </w:p>
        </w:tc>
        <w:tc>
          <w:tcPr>
            <w:tcW w:w="700" w:type="dxa"/>
            <w:vAlign w:val="bottom"/>
            <w:shd w:val="clear" w:color="auto" w:fill="EAF9E8"/>
          </w:tcPr>
          <w:p>
            <w:pPr>
              <w:spacing w:after="0"/>
              <w:rPr>
                <w:sz w:val="12"/>
                <w:szCs w:val="12"/>
                <w:color w:val="auto"/>
              </w:rPr>
            </w:pPr>
          </w:p>
        </w:tc>
        <w:tc>
          <w:tcPr>
            <w:tcW w:w="220" w:type="dxa"/>
            <w:vAlign w:val="bottom"/>
            <w:shd w:val="clear" w:color="auto" w:fill="EAF9E8"/>
          </w:tcPr>
          <w:p>
            <w:pPr>
              <w:spacing w:after="0"/>
              <w:rPr>
                <w:sz w:val="12"/>
                <w:szCs w:val="12"/>
                <w:color w:val="auto"/>
              </w:rPr>
            </w:pPr>
          </w:p>
        </w:tc>
        <w:tc>
          <w:tcPr>
            <w:tcW w:w="80" w:type="dxa"/>
            <w:vAlign w:val="bottom"/>
            <w:shd w:val="clear" w:color="auto" w:fill="EAF9E8"/>
          </w:tcPr>
          <w:p>
            <w:pPr>
              <w:spacing w:after="0"/>
              <w:rPr>
                <w:sz w:val="12"/>
                <w:szCs w:val="12"/>
                <w:color w:val="auto"/>
              </w:rPr>
            </w:pPr>
          </w:p>
        </w:tc>
        <w:tc>
          <w:tcPr>
            <w:tcW w:w="720" w:type="dxa"/>
            <w:vAlign w:val="bottom"/>
            <w:shd w:val="clear" w:color="auto" w:fill="EAF9E8"/>
          </w:tcPr>
          <w:p>
            <w:pPr>
              <w:spacing w:after="0"/>
              <w:rPr>
                <w:sz w:val="12"/>
                <w:szCs w:val="12"/>
                <w:color w:val="auto"/>
              </w:rPr>
            </w:pPr>
          </w:p>
        </w:tc>
        <w:tc>
          <w:tcPr>
            <w:tcW w:w="14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720" w:type="dxa"/>
            <w:vAlign w:val="bottom"/>
            <w:shd w:val="clear" w:color="auto" w:fill="EAF9E8"/>
          </w:tcPr>
          <w:p>
            <w:pPr>
              <w:spacing w:after="0"/>
              <w:rPr>
                <w:sz w:val="12"/>
                <w:szCs w:val="12"/>
                <w:color w:val="auto"/>
              </w:rPr>
            </w:pPr>
          </w:p>
        </w:tc>
        <w:tc>
          <w:tcPr>
            <w:tcW w:w="140" w:type="dxa"/>
            <w:vAlign w:val="bottom"/>
            <w:shd w:val="clear" w:color="auto" w:fill="EAF9E8"/>
          </w:tcPr>
          <w:p>
            <w:pPr>
              <w:spacing w:after="0"/>
              <w:rPr>
                <w:sz w:val="12"/>
                <w:szCs w:val="12"/>
                <w:color w:val="auto"/>
              </w:rPr>
            </w:pPr>
          </w:p>
        </w:tc>
        <w:tc>
          <w:tcPr>
            <w:tcW w:w="80" w:type="dxa"/>
            <w:vAlign w:val="bottom"/>
            <w:shd w:val="clear" w:color="auto" w:fill="EAF9E8"/>
          </w:tcPr>
          <w:p>
            <w:pPr>
              <w:spacing w:after="0"/>
              <w:rPr>
                <w:sz w:val="12"/>
                <w:szCs w:val="12"/>
                <w:color w:val="auto"/>
              </w:rPr>
            </w:pPr>
          </w:p>
        </w:tc>
        <w:tc>
          <w:tcPr>
            <w:tcW w:w="80" w:type="dxa"/>
            <w:vAlign w:val="bottom"/>
            <w:shd w:val="clear" w:color="auto" w:fill="EAF9E8"/>
          </w:tcPr>
          <w:p>
            <w:pPr>
              <w:spacing w:after="0"/>
              <w:rPr>
                <w:sz w:val="12"/>
                <w:szCs w:val="12"/>
                <w:color w:val="auto"/>
              </w:rPr>
            </w:pPr>
          </w:p>
        </w:tc>
        <w:tc>
          <w:tcPr>
            <w:tcW w:w="760" w:type="dxa"/>
            <w:vAlign w:val="bottom"/>
            <w:shd w:val="clear" w:color="auto" w:fill="EAF9E8"/>
          </w:tcPr>
          <w:p>
            <w:pPr>
              <w:spacing w:after="0"/>
              <w:rPr>
                <w:sz w:val="12"/>
                <w:szCs w:val="12"/>
                <w:color w:val="auto"/>
              </w:rPr>
            </w:pPr>
          </w:p>
        </w:tc>
        <w:tc>
          <w:tcPr>
            <w:tcW w:w="12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120" w:type="dxa"/>
            <w:vAlign w:val="bottom"/>
            <w:shd w:val="clear" w:color="auto" w:fill="EAF9E8"/>
          </w:tcPr>
          <w:p>
            <w:pPr>
              <w:spacing w:after="0"/>
              <w:rPr>
                <w:sz w:val="12"/>
                <w:szCs w:val="12"/>
                <w:color w:val="auto"/>
              </w:rPr>
            </w:pPr>
          </w:p>
        </w:tc>
        <w:tc>
          <w:tcPr>
            <w:tcW w:w="720" w:type="dxa"/>
            <w:vAlign w:val="bottom"/>
            <w:shd w:val="clear" w:color="auto" w:fill="EAF9E8"/>
          </w:tcPr>
          <w:p>
            <w:pPr>
              <w:spacing w:after="0"/>
              <w:rPr>
                <w:sz w:val="12"/>
                <w:szCs w:val="12"/>
                <w:color w:val="auto"/>
              </w:rPr>
            </w:pPr>
          </w:p>
        </w:tc>
        <w:tc>
          <w:tcPr>
            <w:tcW w:w="120" w:type="dxa"/>
            <w:vAlign w:val="bottom"/>
            <w:shd w:val="clear" w:color="auto" w:fill="EAF9E8"/>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60" w:type="dxa"/>
            <w:vAlign w:val="bottom"/>
          </w:tcPr>
          <w:p>
            <w:pPr>
              <w:spacing w:after="0"/>
              <w:rPr>
                <w:sz w:val="11"/>
                <w:szCs w:val="11"/>
                <w:color w:val="auto"/>
              </w:rPr>
            </w:pPr>
          </w:p>
        </w:tc>
        <w:tc>
          <w:tcPr>
            <w:tcW w:w="2040" w:type="dxa"/>
            <w:vAlign w:val="bottom"/>
            <w:gridSpan w:val="4"/>
          </w:tcPr>
          <w:p>
            <w:pPr>
              <w:spacing w:after="0" w:line="135" w:lineRule="exact"/>
              <w:rPr>
                <w:sz w:val="20"/>
                <w:szCs w:val="20"/>
                <w:color w:val="auto"/>
              </w:rPr>
            </w:pPr>
            <w:r>
              <w:rPr>
                <w:rFonts w:ascii="Arial" w:cs="Arial" w:eastAsia="Arial" w:hAnsi="Arial"/>
                <w:sz w:val="14"/>
                <w:szCs w:val="14"/>
                <w:color w:val="auto"/>
              </w:rPr>
              <w:t>For the three months ended</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16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900" w:type="dxa"/>
            <w:vAlign w:val="bottom"/>
            <w:tcBorders>
              <w:top w:val="single" w:sz="8" w:color="auto"/>
              <w:bottom w:val="single" w:sz="8" w:color="auto"/>
            </w:tcBorders>
          </w:tcPr>
          <w:p>
            <w:pPr>
              <w:spacing w:after="0" w:line="129" w:lineRule="exact"/>
              <w:rPr>
                <w:sz w:val="20"/>
                <w:szCs w:val="20"/>
                <w:color w:val="auto"/>
              </w:rPr>
            </w:pPr>
            <w:r>
              <w:rPr>
                <w:rFonts w:ascii="Arial" w:cs="Arial" w:eastAsia="Arial" w:hAnsi="Arial"/>
                <w:sz w:val="14"/>
                <w:szCs w:val="14"/>
                <w:color w:val="auto"/>
                <w:w w:val="86"/>
              </w:rPr>
              <w:t>March 31, 2009:</w:t>
            </w:r>
          </w:p>
        </w:tc>
        <w:tc>
          <w:tcPr>
            <w:tcW w:w="420" w:type="dxa"/>
            <w:vAlign w:val="bottom"/>
            <w:tcBorders>
              <w:top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160" w:type="dxa"/>
            <w:vAlign w:val="bottom"/>
            <w:shd w:val="clear" w:color="auto" w:fill="EAF9E8"/>
          </w:tcPr>
          <w:p>
            <w:pPr>
              <w:spacing w:after="0"/>
              <w:rPr>
                <w:sz w:val="12"/>
                <w:szCs w:val="12"/>
                <w:color w:val="auto"/>
              </w:rPr>
            </w:pPr>
          </w:p>
        </w:tc>
        <w:tc>
          <w:tcPr>
            <w:tcW w:w="2040" w:type="dxa"/>
            <w:vAlign w:val="bottom"/>
            <w:gridSpan w:val="4"/>
            <w:shd w:val="clear" w:color="auto" w:fill="EAF9E8"/>
          </w:tcPr>
          <w:p>
            <w:pPr>
              <w:spacing w:after="0" w:line="142" w:lineRule="exact"/>
              <w:rPr>
                <w:sz w:val="20"/>
                <w:szCs w:val="20"/>
                <w:color w:val="auto"/>
              </w:rPr>
            </w:pPr>
            <w:r>
              <w:rPr>
                <w:rFonts w:ascii="Arial" w:cs="Arial" w:eastAsia="Arial" w:hAnsi="Arial"/>
                <w:sz w:val="14"/>
                <w:szCs w:val="14"/>
                <w:color w:val="auto"/>
              </w:rPr>
              <w:t>Revenue (1) (2)</w:t>
            </w:r>
          </w:p>
        </w:tc>
        <w:tc>
          <w:tcPr>
            <w:tcW w:w="120" w:type="dxa"/>
            <w:vAlign w:val="bottom"/>
            <w:shd w:val="clear" w:color="auto" w:fill="EAF9E8"/>
          </w:tcPr>
          <w:p>
            <w:pPr>
              <w:jc w:val="right"/>
              <w:spacing w:after="0" w:line="142" w:lineRule="exact"/>
              <w:rPr>
                <w:sz w:val="20"/>
                <w:szCs w:val="20"/>
                <w:color w:val="auto"/>
              </w:rPr>
            </w:pPr>
            <w:r>
              <w:rPr>
                <w:rFonts w:ascii="Arial" w:cs="Arial" w:eastAsia="Arial" w:hAnsi="Arial"/>
                <w:sz w:val="14"/>
                <w:szCs w:val="14"/>
                <w:color w:val="auto"/>
                <w:w w:val="76"/>
              </w:rPr>
              <w:t>$</w:t>
            </w:r>
          </w:p>
        </w:tc>
        <w:tc>
          <w:tcPr>
            <w:tcW w:w="680" w:type="dxa"/>
            <w:vAlign w:val="bottom"/>
            <w:shd w:val="clear" w:color="auto" w:fill="EAF9E8"/>
          </w:tcPr>
          <w:p>
            <w:pPr>
              <w:jc w:val="right"/>
              <w:spacing w:after="0" w:line="142" w:lineRule="exact"/>
              <w:rPr>
                <w:sz w:val="20"/>
                <w:szCs w:val="20"/>
                <w:color w:val="auto"/>
              </w:rPr>
            </w:pPr>
            <w:r>
              <w:rPr>
                <w:rFonts w:ascii="Arial" w:cs="Arial" w:eastAsia="Arial" w:hAnsi="Arial"/>
                <w:sz w:val="14"/>
                <w:szCs w:val="14"/>
                <w:color w:val="auto"/>
              </w:rPr>
              <w:t>74,694</w:t>
            </w:r>
          </w:p>
        </w:tc>
        <w:tc>
          <w:tcPr>
            <w:tcW w:w="140" w:type="dxa"/>
            <w:vAlign w:val="bottom"/>
            <w:shd w:val="clear" w:color="auto" w:fill="EAF9E8"/>
          </w:tcPr>
          <w:p>
            <w:pPr>
              <w:spacing w:after="0"/>
              <w:rPr>
                <w:sz w:val="12"/>
                <w:szCs w:val="12"/>
                <w:color w:val="auto"/>
              </w:rPr>
            </w:pPr>
          </w:p>
        </w:tc>
        <w:tc>
          <w:tcPr>
            <w:tcW w:w="180" w:type="dxa"/>
            <w:vAlign w:val="bottom"/>
            <w:gridSpan w:val="2"/>
            <w:shd w:val="clear" w:color="auto" w:fill="EAF9E8"/>
          </w:tcPr>
          <w:p>
            <w:pPr>
              <w:jc w:val="right"/>
              <w:ind w:right="40"/>
              <w:spacing w:after="0" w:line="142"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EAF9E8"/>
          </w:tcPr>
          <w:p>
            <w:pPr>
              <w:jc w:val="right"/>
              <w:ind w:right="220"/>
              <w:spacing w:after="0" w:line="142" w:lineRule="exact"/>
              <w:rPr>
                <w:sz w:val="20"/>
                <w:szCs w:val="20"/>
                <w:color w:val="auto"/>
              </w:rPr>
            </w:pPr>
            <w:r>
              <w:rPr>
                <w:rFonts w:ascii="Arial" w:cs="Arial" w:eastAsia="Arial" w:hAnsi="Arial"/>
                <w:sz w:val="14"/>
                <w:szCs w:val="14"/>
                <w:color w:val="auto"/>
              </w:rPr>
              <w:t>—</w:t>
            </w:r>
          </w:p>
        </w:tc>
        <w:tc>
          <w:tcPr>
            <w:tcW w:w="140" w:type="dxa"/>
            <w:vAlign w:val="bottom"/>
            <w:shd w:val="clear" w:color="auto" w:fill="EAF9E8"/>
          </w:tcPr>
          <w:p>
            <w:pPr>
              <w:jc w:val="right"/>
              <w:ind w:right="27"/>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EAF9E8"/>
          </w:tcPr>
          <w:p>
            <w:pPr>
              <w:jc w:val="right"/>
              <w:spacing w:after="0" w:line="142" w:lineRule="exact"/>
              <w:rPr>
                <w:sz w:val="20"/>
                <w:szCs w:val="20"/>
                <w:color w:val="auto"/>
              </w:rPr>
            </w:pPr>
            <w:r>
              <w:rPr>
                <w:rFonts w:ascii="Arial" w:cs="Arial" w:eastAsia="Arial" w:hAnsi="Arial"/>
                <w:sz w:val="14"/>
                <w:szCs w:val="14"/>
                <w:color w:val="auto"/>
              </w:rPr>
              <w:t>537</w:t>
            </w:r>
          </w:p>
        </w:tc>
        <w:tc>
          <w:tcPr>
            <w:tcW w:w="220" w:type="dxa"/>
            <w:vAlign w:val="bottom"/>
            <w:shd w:val="clear" w:color="auto" w:fill="EAF9E8"/>
          </w:tcPr>
          <w:p>
            <w:pPr>
              <w:spacing w:after="0"/>
              <w:rPr>
                <w:sz w:val="12"/>
                <w:szCs w:val="12"/>
                <w:color w:val="auto"/>
              </w:rPr>
            </w:pPr>
          </w:p>
        </w:tc>
        <w:tc>
          <w:tcPr>
            <w:tcW w:w="100" w:type="dxa"/>
            <w:vAlign w:val="bottom"/>
            <w:shd w:val="clear" w:color="auto" w:fill="EAF9E8"/>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EAF9E8"/>
          </w:tcPr>
          <w:p>
            <w:pPr>
              <w:jc w:val="right"/>
              <w:spacing w:after="0" w:line="142" w:lineRule="exact"/>
              <w:rPr>
                <w:sz w:val="20"/>
                <w:szCs w:val="20"/>
                <w:color w:val="auto"/>
              </w:rPr>
            </w:pPr>
            <w:r>
              <w:rPr>
                <w:rFonts w:ascii="Arial" w:cs="Arial" w:eastAsia="Arial" w:hAnsi="Arial"/>
                <w:sz w:val="14"/>
                <w:szCs w:val="14"/>
                <w:color w:val="auto"/>
              </w:rPr>
              <w:t>18,017</w:t>
            </w:r>
          </w:p>
        </w:tc>
        <w:tc>
          <w:tcPr>
            <w:tcW w:w="100" w:type="dxa"/>
            <w:vAlign w:val="bottom"/>
            <w:shd w:val="clear" w:color="auto" w:fill="EAF9E8"/>
          </w:tcPr>
          <w:p>
            <w:pPr>
              <w:spacing w:after="0"/>
              <w:rPr>
                <w:sz w:val="12"/>
                <w:szCs w:val="12"/>
                <w:color w:val="auto"/>
              </w:rPr>
            </w:pPr>
          </w:p>
        </w:tc>
        <w:tc>
          <w:tcPr>
            <w:tcW w:w="220" w:type="dxa"/>
            <w:vAlign w:val="bottom"/>
            <w:gridSpan w:val="2"/>
            <w:shd w:val="clear" w:color="auto" w:fill="EAF9E8"/>
          </w:tcPr>
          <w:p>
            <w:pPr>
              <w:jc w:val="right"/>
              <w:ind w:right="40"/>
              <w:spacing w:after="0" w:line="142" w:lineRule="exact"/>
              <w:rPr>
                <w:sz w:val="20"/>
                <w:szCs w:val="20"/>
                <w:color w:val="auto"/>
              </w:rPr>
            </w:pPr>
            <w:r>
              <w:rPr>
                <w:rFonts w:ascii="Arial" w:cs="Arial" w:eastAsia="Arial" w:hAnsi="Arial"/>
                <w:sz w:val="14"/>
                <w:szCs w:val="14"/>
                <w:color w:val="auto"/>
              </w:rPr>
              <w:t>$</w:t>
            </w:r>
          </w:p>
        </w:tc>
        <w:tc>
          <w:tcPr>
            <w:tcW w:w="700" w:type="dxa"/>
            <w:vAlign w:val="bottom"/>
            <w:shd w:val="clear" w:color="auto" w:fill="EAF9E8"/>
          </w:tcPr>
          <w:p>
            <w:pPr>
              <w:jc w:val="right"/>
              <w:spacing w:after="0" w:line="142" w:lineRule="exact"/>
              <w:rPr>
                <w:sz w:val="20"/>
                <w:szCs w:val="20"/>
                <w:color w:val="auto"/>
              </w:rPr>
            </w:pPr>
            <w:r>
              <w:rPr>
                <w:rFonts w:ascii="Arial" w:cs="Arial" w:eastAsia="Arial" w:hAnsi="Arial"/>
                <w:sz w:val="14"/>
                <w:szCs w:val="14"/>
                <w:color w:val="auto"/>
              </w:rPr>
              <w:t>17,318</w:t>
            </w:r>
          </w:p>
        </w:tc>
        <w:tc>
          <w:tcPr>
            <w:tcW w:w="220" w:type="dxa"/>
            <w:vAlign w:val="bottom"/>
            <w:shd w:val="clear" w:color="auto" w:fill="EAF9E8"/>
          </w:tcPr>
          <w:p>
            <w:pPr>
              <w:spacing w:after="0"/>
              <w:rPr>
                <w:sz w:val="12"/>
                <w:szCs w:val="12"/>
                <w:color w:val="auto"/>
              </w:rPr>
            </w:pPr>
          </w:p>
        </w:tc>
        <w:tc>
          <w:tcPr>
            <w:tcW w:w="80" w:type="dxa"/>
            <w:vAlign w:val="bottom"/>
            <w:shd w:val="clear" w:color="auto" w:fill="EAF9E8"/>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EAF9E8"/>
          </w:tcPr>
          <w:p>
            <w:pPr>
              <w:jc w:val="right"/>
              <w:spacing w:after="0" w:line="142" w:lineRule="exact"/>
              <w:rPr>
                <w:sz w:val="20"/>
                <w:szCs w:val="20"/>
                <w:color w:val="auto"/>
              </w:rPr>
            </w:pPr>
            <w:r>
              <w:rPr>
                <w:rFonts w:ascii="Arial" w:cs="Arial" w:eastAsia="Arial" w:hAnsi="Arial"/>
                <w:sz w:val="14"/>
                <w:szCs w:val="14"/>
                <w:color w:val="auto"/>
              </w:rPr>
              <w:t>10,573</w:t>
            </w:r>
          </w:p>
        </w:tc>
        <w:tc>
          <w:tcPr>
            <w:tcW w:w="140" w:type="dxa"/>
            <w:vAlign w:val="bottom"/>
            <w:shd w:val="clear" w:color="auto" w:fill="EAF9E8"/>
          </w:tcPr>
          <w:p>
            <w:pPr>
              <w:spacing w:after="0"/>
              <w:rPr>
                <w:sz w:val="12"/>
                <w:szCs w:val="12"/>
                <w:color w:val="auto"/>
              </w:rPr>
            </w:pPr>
          </w:p>
        </w:tc>
        <w:tc>
          <w:tcPr>
            <w:tcW w:w="200" w:type="dxa"/>
            <w:vAlign w:val="bottom"/>
            <w:gridSpan w:val="2"/>
            <w:shd w:val="clear" w:color="auto" w:fill="EAF9E8"/>
          </w:tcPr>
          <w:p>
            <w:pPr>
              <w:jc w:val="right"/>
              <w:ind w:right="40"/>
              <w:spacing w:after="0" w:line="142" w:lineRule="exact"/>
              <w:rPr>
                <w:sz w:val="20"/>
                <w:szCs w:val="20"/>
                <w:color w:val="auto"/>
              </w:rPr>
            </w:pPr>
            <w:r>
              <w:rPr>
                <w:rFonts w:ascii="Arial" w:cs="Arial" w:eastAsia="Arial" w:hAnsi="Arial"/>
                <w:sz w:val="14"/>
                <w:szCs w:val="14"/>
                <w:color w:val="auto"/>
              </w:rPr>
              <w:t>$</w:t>
            </w:r>
          </w:p>
        </w:tc>
        <w:tc>
          <w:tcPr>
            <w:tcW w:w="720" w:type="dxa"/>
            <w:vAlign w:val="bottom"/>
            <w:shd w:val="clear" w:color="auto" w:fill="EAF9E8"/>
          </w:tcPr>
          <w:p>
            <w:pPr>
              <w:jc w:val="right"/>
              <w:spacing w:after="0" w:line="142" w:lineRule="exact"/>
              <w:rPr>
                <w:sz w:val="20"/>
                <w:szCs w:val="20"/>
                <w:color w:val="auto"/>
              </w:rPr>
            </w:pPr>
            <w:r>
              <w:rPr>
                <w:rFonts w:ascii="Arial" w:cs="Arial" w:eastAsia="Arial" w:hAnsi="Arial"/>
                <w:sz w:val="14"/>
                <w:szCs w:val="14"/>
                <w:color w:val="auto"/>
              </w:rPr>
              <w:t>253</w:t>
            </w:r>
          </w:p>
        </w:tc>
        <w:tc>
          <w:tcPr>
            <w:tcW w:w="140" w:type="dxa"/>
            <w:vAlign w:val="bottom"/>
            <w:shd w:val="clear" w:color="auto" w:fill="EAF9E8"/>
          </w:tcPr>
          <w:p>
            <w:pPr>
              <w:spacing w:after="0"/>
              <w:rPr>
                <w:sz w:val="12"/>
                <w:szCs w:val="12"/>
                <w:color w:val="auto"/>
              </w:rPr>
            </w:pPr>
          </w:p>
        </w:tc>
        <w:tc>
          <w:tcPr>
            <w:tcW w:w="160" w:type="dxa"/>
            <w:vAlign w:val="bottom"/>
            <w:gridSpan w:val="2"/>
            <w:shd w:val="clear" w:color="auto" w:fill="EAF9E8"/>
          </w:tcPr>
          <w:p>
            <w:pPr>
              <w:jc w:val="right"/>
              <w:spacing w:after="0" w:line="142"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EAF9E8"/>
          </w:tcPr>
          <w:p>
            <w:pPr>
              <w:jc w:val="right"/>
              <w:ind w:right="80"/>
              <w:spacing w:after="0" w:line="142" w:lineRule="exact"/>
              <w:rPr>
                <w:sz w:val="20"/>
                <w:szCs w:val="20"/>
                <w:color w:val="auto"/>
              </w:rPr>
            </w:pPr>
            <w:r>
              <w:rPr>
                <w:rFonts w:ascii="Arial" w:cs="Arial" w:eastAsia="Arial" w:hAnsi="Arial"/>
                <w:sz w:val="14"/>
                <w:szCs w:val="14"/>
                <w:color w:val="auto"/>
              </w:rPr>
              <w:t>(6,802)</w:t>
            </w:r>
          </w:p>
        </w:tc>
        <w:tc>
          <w:tcPr>
            <w:tcW w:w="220" w:type="dxa"/>
            <w:vAlign w:val="bottom"/>
            <w:gridSpan w:val="2"/>
            <w:shd w:val="clear" w:color="auto" w:fill="EAF9E8"/>
          </w:tcPr>
          <w:p>
            <w:pPr>
              <w:jc w:val="right"/>
              <w:spacing w:after="0" w:line="142" w:lineRule="exact"/>
              <w:rPr>
                <w:sz w:val="20"/>
                <w:szCs w:val="20"/>
                <w:color w:val="auto"/>
              </w:rPr>
            </w:pPr>
            <w:r>
              <w:rPr>
                <w:rFonts w:ascii="Arial" w:cs="Arial" w:eastAsia="Arial" w:hAnsi="Arial"/>
                <w:sz w:val="14"/>
                <w:szCs w:val="14"/>
                <w:color w:val="auto"/>
              </w:rPr>
              <w:t>$</w:t>
            </w:r>
          </w:p>
        </w:tc>
        <w:tc>
          <w:tcPr>
            <w:tcW w:w="720" w:type="dxa"/>
            <w:vAlign w:val="bottom"/>
            <w:shd w:val="clear" w:color="auto" w:fill="EAF9E8"/>
          </w:tcPr>
          <w:p>
            <w:pPr>
              <w:jc w:val="right"/>
              <w:spacing w:after="0" w:line="142" w:lineRule="exact"/>
              <w:rPr>
                <w:sz w:val="20"/>
                <w:szCs w:val="20"/>
                <w:color w:val="auto"/>
              </w:rPr>
            </w:pPr>
            <w:r>
              <w:rPr>
                <w:rFonts w:ascii="Arial" w:cs="Arial" w:eastAsia="Arial" w:hAnsi="Arial"/>
                <w:sz w:val="14"/>
                <w:szCs w:val="14"/>
                <w:color w:val="auto"/>
              </w:rPr>
              <w:t>114,590</w:t>
            </w:r>
          </w:p>
        </w:tc>
        <w:tc>
          <w:tcPr>
            <w:tcW w:w="120" w:type="dxa"/>
            <w:vAlign w:val="bottom"/>
            <w:shd w:val="clear" w:color="auto" w:fill="EAF9E8"/>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160" w:type="dxa"/>
            <w:vAlign w:val="bottom"/>
          </w:tcPr>
          <w:p>
            <w:pPr>
              <w:spacing w:after="0"/>
              <w:rPr>
                <w:sz w:val="14"/>
                <w:szCs w:val="14"/>
                <w:color w:val="auto"/>
              </w:rPr>
            </w:pPr>
          </w:p>
        </w:tc>
        <w:tc>
          <w:tcPr>
            <w:tcW w:w="2040" w:type="dxa"/>
            <w:vAlign w:val="bottom"/>
            <w:gridSpan w:val="4"/>
          </w:tcPr>
          <w:p>
            <w:pPr>
              <w:spacing w:after="0"/>
              <w:rPr>
                <w:sz w:val="20"/>
                <w:szCs w:val="20"/>
                <w:color w:val="auto"/>
              </w:rPr>
            </w:pPr>
            <w:r>
              <w:rPr>
                <w:rFonts w:ascii="Arial" w:cs="Arial" w:eastAsia="Arial" w:hAnsi="Arial"/>
                <w:sz w:val="14"/>
                <w:szCs w:val="14"/>
                <w:color w:val="auto"/>
              </w:rPr>
              <w:t>Operating expenses (1) (3)</w:t>
            </w: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34,218</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561</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762</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12,892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18,151</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8,173</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3,982</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4"/>
                <w:szCs w:val="14"/>
                <w:color w:val="auto"/>
              </w:rPr>
              <w:t>(6,473)</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72,266</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gridSpan w:val="2"/>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2"/>
        </w:trPr>
        <w:tc>
          <w:tcPr>
            <w:tcW w:w="160" w:type="dxa"/>
            <w:vAlign w:val="bottom"/>
            <w:shd w:val="clear" w:color="auto" w:fill="EAF9E8"/>
          </w:tcPr>
          <w:p>
            <w:pPr>
              <w:spacing w:after="0"/>
              <w:rPr>
                <w:sz w:val="12"/>
                <w:szCs w:val="12"/>
                <w:color w:val="auto"/>
              </w:rPr>
            </w:pPr>
          </w:p>
        </w:tc>
        <w:tc>
          <w:tcPr>
            <w:tcW w:w="2040" w:type="dxa"/>
            <w:vAlign w:val="bottom"/>
            <w:gridSpan w:val="4"/>
            <w:shd w:val="clear" w:color="auto" w:fill="EAF9E8"/>
          </w:tcPr>
          <w:p>
            <w:pPr>
              <w:spacing w:after="0" w:line="142" w:lineRule="exact"/>
              <w:rPr>
                <w:sz w:val="20"/>
                <w:szCs w:val="20"/>
                <w:color w:val="auto"/>
              </w:rPr>
            </w:pPr>
            <w:r>
              <w:rPr>
                <w:rFonts w:ascii="Arial" w:cs="Arial" w:eastAsia="Arial" w:hAnsi="Arial"/>
                <w:sz w:val="14"/>
                <w:szCs w:val="14"/>
                <w:color w:val="auto"/>
              </w:rPr>
              <w:t>Income (loss) from operations</w:t>
            </w:r>
          </w:p>
        </w:tc>
        <w:tc>
          <w:tcPr>
            <w:tcW w:w="120" w:type="dxa"/>
            <w:vAlign w:val="bottom"/>
            <w:tcBorders>
              <w:top w:val="single" w:sz="8" w:color="auto"/>
            </w:tcBorders>
            <w:shd w:val="clear" w:color="auto" w:fill="EAF9E8"/>
          </w:tcPr>
          <w:p>
            <w:pPr>
              <w:spacing w:after="0"/>
              <w:rPr>
                <w:sz w:val="12"/>
                <w:szCs w:val="12"/>
                <w:color w:val="auto"/>
              </w:rPr>
            </w:pPr>
          </w:p>
        </w:tc>
        <w:tc>
          <w:tcPr>
            <w:tcW w:w="680" w:type="dxa"/>
            <w:vAlign w:val="bottom"/>
            <w:tcBorders>
              <w:top w:val="single" w:sz="8" w:color="auto"/>
            </w:tcBorders>
            <w:shd w:val="clear" w:color="auto" w:fill="EAF9E8"/>
          </w:tcPr>
          <w:p>
            <w:pPr>
              <w:jc w:val="right"/>
              <w:spacing w:after="0" w:line="142" w:lineRule="exact"/>
              <w:rPr>
                <w:sz w:val="20"/>
                <w:szCs w:val="20"/>
                <w:color w:val="auto"/>
              </w:rPr>
            </w:pPr>
            <w:r>
              <w:rPr>
                <w:rFonts w:ascii="Arial" w:cs="Arial" w:eastAsia="Arial" w:hAnsi="Arial"/>
                <w:sz w:val="14"/>
                <w:szCs w:val="14"/>
                <w:color w:val="auto"/>
              </w:rPr>
              <w:t>40,476</w:t>
            </w:r>
          </w:p>
        </w:tc>
        <w:tc>
          <w:tcPr>
            <w:tcW w:w="140" w:type="dxa"/>
            <w:vAlign w:val="bottom"/>
            <w:shd w:val="clear" w:color="auto" w:fill="EAF9E8"/>
          </w:tcPr>
          <w:p>
            <w:pPr>
              <w:spacing w:after="0"/>
              <w:rPr>
                <w:sz w:val="12"/>
                <w:szCs w:val="12"/>
                <w:color w:val="auto"/>
              </w:rPr>
            </w:pPr>
          </w:p>
        </w:tc>
        <w:tc>
          <w:tcPr>
            <w:tcW w:w="80" w:type="dxa"/>
            <w:vAlign w:val="bottom"/>
            <w:shd w:val="clear" w:color="auto" w:fill="EAF9E8"/>
          </w:tcPr>
          <w:p>
            <w:pPr>
              <w:spacing w:after="0"/>
              <w:rPr>
                <w:sz w:val="12"/>
                <w:szCs w:val="12"/>
                <w:color w:val="auto"/>
              </w:rPr>
            </w:pPr>
          </w:p>
        </w:tc>
        <w:tc>
          <w:tcPr>
            <w:tcW w:w="100" w:type="dxa"/>
            <w:vAlign w:val="bottom"/>
            <w:tcBorders>
              <w:top w:val="single" w:sz="8" w:color="auto"/>
            </w:tcBorders>
            <w:shd w:val="clear" w:color="auto" w:fill="EAF9E8"/>
          </w:tcPr>
          <w:p>
            <w:pPr>
              <w:spacing w:after="0"/>
              <w:rPr>
                <w:sz w:val="12"/>
                <w:szCs w:val="12"/>
                <w:color w:val="auto"/>
              </w:rPr>
            </w:pPr>
          </w:p>
        </w:tc>
        <w:tc>
          <w:tcPr>
            <w:tcW w:w="700" w:type="dxa"/>
            <w:vAlign w:val="bottom"/>
            <w:tcBorders>
              <w:top w:val="single" w:sz="8" w:color="auto"/>
            </w:tcBorders>
            <w:shd w:val="clear" w:color="auto" w:fill="EAF9E8"/>
          </w:tcPr>
          <w:p>
            <w:pPr>
              <w:jc w:val="right"/>
              <w:spacing w:after="0" w:line="142" w:lineRule="exact"/>
              <w:rPr>
                <w:sz w:val="20"/>
                <w:szCs w:val="20"/>
                <w:color w:val="auto"/>
              </w:rPr>
            </w:pPr>
            <w:r>
              <w:rPr>
                <w:rFonts w:ascii="Arial" w:cs="Arial" w:eastAsia="Arial" w:hAnsi="Arial"/>
                <w:sz w:val="14"/>
                <w:szCs w:val="14"/>
                <w:color w:val="auto"/>
              </w:rPr>
              <w:t>(561)</w:t>
            </w:r>
          </w:p>
        </w:tc>
        <w:tc>
          <w:tcPr>
            <w:tcW w:w="220" w:type="dxa"/>
            <w:vAlign w:val="bottom"/>
            <w:shd w:val="clear" w:color="auto" w:fill="EAF9E8"/>
          </w:tcPr>
          <w:p>
            <w:pPr>
              <w:spacing w:after="0"/>
              <w:rPr>
                <w:sz w:val="12"/>
                <w:szCs w:val="12"/>
                <w:color w:val="auto"/>
              </w:rPr>
            </w:pPr>
          </w:p>
        </w:tc>
        <w:tc>
          <w:tcPr>
            <w:tcW w:w="140" w:type="dxa"/>
            <w:vAlign w:val="bottom"/>
            <w:tcBorders>
              <w:top w:val="single" w:sz="8" w:color="auto"/>
            </w:tcBorders>
            <w:shd w:val="clear" w:color="auto" w:fill="EAF9E8"/>
          </w:tcPr>
          <w:p>
            <w:pPr>
              <w:spacing w:after="0"/>
              <w:rPr>
                <w:sz w:val="12"/>
                <w:szCs w:val="12"/>
                <w:color w:val="auto"/>
              </w:rPr>
            </w:pPr>
          </w:p>
        </w:tc>
        <w:tc>
          <w:tcPr>
            <w:tcW w:w="660" w:type="dxa"/>
            <w:vAlign w:val="bottom"/>
            <w:tcBorders>
              <w:top w:val="single" w:sz="8" w:color="auto"/>
            </w:tcBorders>
            <w:shd w:val="clear" w:color="auto" w:fill="EAF9E8"/>
          </w:tcPr>
          <w:p>
            <w:pPr>
              <w:jc w:val="right"/>
              <w:spacing w:after="0" w:line="142" w:lineRule="exact"/>
              <w:rPr>
                <w:sz w:val="20"/>
                <w:szCs w:val="20"/>
                <w:color w:val="auto"/>
              </w:rPr>
            </w:pPr>
            <w:r>
              <w:rPr>
                <w:rFonts w:ascii="Arial" w:cs="Arial" w:eastAsia="Arial" w:hAnsi="Arial"/>
                <w:sz w:val="14"/>
                <w:szCs w:val="14"/>
                <w:color w:val="auto"/>
              </w:rPr>
              <w:t>(225)</w:t>
            </w:r>
          </w:p>
        </w:tc>
        <w:tc>
          <w:tcPr>
            <w:tcW w:w="220" w:type="dxa"/>
            <w:vAlign w:val="bottom"/>
            <w:shd w:val="clear" w:color="auto" w:fill="EAF9E8"/>
          </w:tcPr>
          <w:p>
            <w:pPr>
              <w:spacing w:after="0"/>
              <w:rPr>
                <w:sz w:val="12"/>
                <w:szCs w:val="12"/>
                <w:color w:val="auto"/>
              </w:rPr>
            </w:pPr>
          </w:p>
        </w:tc>
        <w:tc>
          <w:tcPr>
            <w:tcW w:w="100" w:type="dxa"/>
            <w:vAlign w:val="bottom"/>
            <w:tcBorders>
              <w:top w:val="single" w:sz="8" w:color="auto"/>
            </w:tcBorders>
            <w:shd w:val="clear" w:color="auto" w:fill="EAF9E8"/>
          </w:tcPr>
          <w:p>
            <w:pPr>
              <w:spacing w:after="0"/>
              <w:rPr>
                <w:sz w:val="12"/>
                <w:szCs w:val="12"/>
                <w:color w:val="auto"/>
              </w:rPr>
            </w:pPr>
          </w:p>
        </w:tc>
        <w:tc>
          <w:tcPr>
            <w:tcW w:w="720" w:type="dxa"/>
            <w:vAlign w:val="bottom"/>
            <w:tcBorders>
              <w:top w:val="single" w:sz="8" w:color="auto"/>
            </w:tcBorders>
            <w:shd w:val="clear" w:color="auto" w:fill="EAF9E8"/>
          </w:tcPr>
          <w:p>
            <w:pPr>
              <w:jc w:val="right"/>
              <w:spacing w:after="0" w:line="142" w:lineRule="exact"/>
              <w:rPr>
                <w:sz w:val="20"/>
                <w:szCs w:val="20"/>
                <w:color w:val="auto"/>
              </w:rPr>
            </w:pPr>
            <w:r>
              <w:rPr>
                <w:rFonts w:ascii="Arial" w:cs="Arial" w:eastAsia="Arial" w:hAnsi="Arial"/>
                <w:sz w:val="14"/>
                <w:szCs w:val="14"/>
                <w:color w:val="auto"/>
              </w:rPr>
              <w:t>5,125</w:t>
            </w:r>
          </w:p>
        </w:tc>
        <w:tc>
          <w:tcPr>
            <w:tcW w:w="10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120" w:type="dxa"/>
            <w:vAlign w:val="bottom"/>
            <w:tcBorders>
              <w:top w:val="single" w:sz="8" w:color="auto"/>
            </w:tcBorders>
            <w:shd w:val="clear" w:color="auto" w:fill="EAF9E8"/>
          </w:tcPr>
          <w:p>
            <w:pPr>
              <w:spacing w:after="0"/>
              <w:rPr>
                <w:sz w:val="12"/>
                <w:szCs w:val="12"/>
                <w:color w:val="auto"/>
              </w:rPr>
            </w:pPr>
          </w:p>
        </w:tc>
        <w:tc>
          <w:tcPr>
            <w:tcW w:w="700" w:type="dxa"/>
            <w:vAlign w:val="bottom"/>
            <w:tcBorders>
              <w:top w:val="single" w:sz="8" w:color="auto"/>
            </w:tcBorders>
            <w:shd w:val="clear" w:color="auto" w:fill="EAF9E8"/>
          </w:tcPr>
          <w:p>
            <w:pPr>
              <w:jc w:val="right"/>
              <w:spacing w:after="0" w:line="142" w:lineRule="exact"/>
              <w:rPr>
                <w:sz w:val="20"/>
                <w:szCs w:val="20"/>
                <w:color w:val="auto"/>
              </w:rPr>
            </w:pPr>
            <w:r>
              <w:rPr>
                <w:rFonts w:ascii="Arial" w:cs="Arial" w:eastAsia="Arial" w:hAnsi="Arial"/>
                <w:sz w:val="14"/>
                <w:szCs w:val="14"/>
                <w:color w:val="auto"/>
              </w:rPr>
              <w:t>(833)</w:t>
            </w:r>
          </w:p>
        </w:tc>
        <w:tc>
          <w:tcPr>
            <w:tcW w:w="220" w:type="dxa"/>
            <w:vAlign w:val="bottom"/>
            <w:shd w:val="clear" w:color="auto" w:fill="EAF9E8"/>
          </w:tcPr>
          <w:p>
            <w:pPr>
              <w:spacing w:after="0"/>
              <w:rPr>
                <w:sz w:val="12"/>
                <w:szCs w:val="12"/>
                <w:color w:val="auto"/>
              </w:rPr>
            </w:pPr>
          </w:p>
        </w:tc>
        <w:tc>
          <w:tcPr>
            <w:tcW w:w="80" w:type="dxa"/>
            <w:vAlign w:val="bottom"/>
            <w:tcBorders>
              <w:top w:val="single" w:sz="8" w:color="auto"/>
            </w:tcBorders>
            <w:shd w:val="clear" w:color="auto" w:fill="EAF9E8"/>
          </w:tcPr>
          <w:p>
            <w:pPr>
              <w:spacing w:after="0"/>
              <w:rPr>
                <w:sz w:val="12"/>
                <w:szCs w:val="12"/>
                <w:color w:val="auto"/>
              </w:rPr>
            </w:pPr>
          </w:p>
        </w:tc>
        <w:tc>
          <w:tcPr>
            <w:tcW w:w="720" w:type="dxa"/>
            <w:vAlign w:val="bottom"/>
            <w:tcBorders>
              <w:top w:val="single" w:sz="8" w:color="auto"/>
            </w:tcBorders>
            <w:shd w:val="clear" w:color="auto" w:fill="EAF9E8"/>
          </w:tcPr>
          <w:p>
            <w:pPr>
              <w:jc w:val="right"/>
              <w:spacing w:after="0" w:line="142" w:lineRule="exact"/>
              <w:rPr>
                <w:sz w:val="20"/>
                <w:szCs w:val="20"/>
                <w:color w:val="auto"/>
              </w:rPr>
            </w:pPr>
            <w:r>
              <w:rPr>
                <w:rFonts w:ascii="Arial" w:cs="Arial" w:eastAsia="Arial" w:hAnsi="Arial"/>
                <w:sz w:val="14"/>
                <w:szCs w:val="14"/>
                <w:color w:val="auto"/>
              </w:rPr>
              <w:t>2,400</w:t>
            </w:r>
          </w:p>
        </w:tc>
        <w:tc>
          <w:tcPr>
            <w:tcW w:w="14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100" w:type="dxa"/>
            <w:vAlign w:val="bottom"/>
            <w:tcBorders>
              <w:top w:val="single" w:sz="8" w:color="auto"/>
            </w:tcBorders>
            <w:shd w:val="clear" w:color="auto" w:fill="EAF9E8"/>
          </w:tcPr>
          <w:p>
            <w:pPr>
              <w:spacing w:after="0"/>
              <w:rPr>
                <w:sz w:val="12"/>
                <w:szCs w:val="12"/>
                <w:color w:val="auto"/>
              </w:rPr>
            </w:pPr>
          </w:p>
        </w:tc>
        <w:tc>
          <w:tcPr>
            <w:tcW w:w="720" w:type="dxa"/>
            <w:vAlign w:val="bottom"/>
            <w:tcBorders>
              <w:top w:val="single" w:sz="8" w:color="auto"/>
            </w:tcBorders>
            <w:shd w:val="clear" w:color="auto" w:fill="EAF9E8"/>
          </w:tcPr>
          <w:p>
            <w:pPr>
              <w:jc w:val="right"/>
              <w:spacing w:after="0" w:line="142" w:lineRule="exact"/>
              <w:rPr>
                <w:sz w:val="20"/>
                <w:szCs w:val="20"/>
                <w:color w:val="auto"/>
              </w:rPr>
            </w:pPr>
            <w:r>
              <w:rPr>
                <w:rFonts w:ascii="Arial" w:cs="Arial" w:eastAsia="Arial" w:hAnsi="Arial"/>
                <w:sz w:val="14"/>
                <w:szCs w:val="14"/>
                <w:color w:val="auto"/>
              </w:rPr>
              <w:t>(3,729)</w:t>
            </w:r>
          </w:p>
        </w:tc>
        <w:tc>
          <w:tcPr>
            <w:tcW w:w="140" w:type="dxa"/>
            <w:vAlign w:val="bottom"/>
            <w:shd w:val="clear" w:color="auto" w:fill="EAF9E8"/>
          </w:tcPr>
          <w:p>
            <w:pPr>
              <w:spacing w:after="0"/>
              <w:rPr>
                <w:sz w:val="12"/>
                <w:szCs w:val="12"/>
                <w:color w:val="auto"/>
              </w:rPr>
            </w:pPr>
          </w:p>
        </w:tc>
        <w:tc>
          <w:tcPr>
            <w:tcW w:w="80" w:type="dxa"/>
            <w:vAlign w:val="bottom"/>
            <w:shd w:val="clear" w:color="auto" w:fill="EAF9E8"/>
          </w:tcPr>
          <w:p>
            <w:pPr>
              <w:spacing w:after="0"/>
              <w:rPr>
                <w:sz w:val="12"/>
                <w:szCs w:val="12"/>
                <w:color w:val="auto"/>
              </w:rPr>
            </w:pPr>
          </w:p>
        </w:tc>
        <w:tc>
          <w:tcPr>
            <w:tcW w:w="80" w:type="dxa"/>
            <w:vAlign w:val="bottom"/>
            <w:tcBorders>
              <w:top w:val="single" w:sz="8" w:color="auto"/>
            </w:tcBorders>
            <w:shd w:val="clear" w:color="auto" w:fill="EAF9E8"/>
          </w:tcPr>
          <w:p>
            <w:pPr>
              <w:spacing w:after="0"/>
              <w:rPr>
                <w:sz w:val="12"/>
                <w:szCs w:val="12"/>
                <w:color w:val="auto"/>
              </w:rPr>
            </w:pPr>
          </w:p>
        </w:tc>
        <w:tc>
          <w:tcPr>
            <w:tcW w:w="760" w:type="dxa"/>
            <w:vAlign w:val="bottom"/>
            <w:tcBorders>
              <w:top w:val="single" w:sz="8" w:color="auto"/>
            </w:tcBorders>
            <w:shd w:val="clear" w:color="auto" w:fill="EAF9E8"/>
          </w:tcPr>
          <w:p>
            <w:pPr>
              <w:jc w:val="right"/>
              <w:spacing w:after="0" w:line="142" w:lineRule="exact"/>
              <w:rPr>
                <w:sz w:val="20"/>
                <w:szCs w:val="20"/>
                <w:color w:val="auto"/>
              </w:rPr>
            </w:pPr>
            <w:r>
              <w:rPr>
                <w:rFonts w:ascii="Arial" w:cs="Arial" w:eastAsia="Arial" w:hAnsi="Arial"/>
                <w:sz w:val="14"/>
                <w:szCs w:val="14"/>
                <w:color w:val="auto"/>
              </w:rPr>
              <w:t>(329)</w:t>
            </w:r>
          </w:p>
        </w:tc>
        <w:tc>
          <w:tcPr>
            <w:tcW w:w="12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120" w:type="dxa"/>
            <w:vAlign w:val="bottom"/>
            <w:tcBorders>
              <w:top w:val="single" w:sz="8" w:color="auto"/>
            </w:tcBorders>
            <w:shd w:val="clear" w:color="auto" w:fill="EAF9E8"/>
          </w:tcPr>
          <w:p>
            <w:pPr>
              <w:spacing w:after="0"/>
              <w:rPr>
                <w:sz w:val="12"/>
                <w:szCs w:val="12"/>
                <w:color w:val="auto"/>
              </w:rPr>
            </w:pPr>
          </w:p>
        </w:tc>
        <w:tc>
          <w:tcPr>
            <w:tcW w:w="720" w:type="dxa"/>
            <w:vAlign w:val="bottom"/>
            <w:tcBorders>
              <w:top w:val="single" w:sz="8" w:color="auto"/>
            </w:tcBorders>
            <w:shd w:val="clear" w:color="auto" w:fill="EAF9E8"/>
          </w:tcPr>
          <w:p>
            <w:pPr>
              <w:jc w:val="right"/>
              <w:spacing w:after="0" w:line="142" w:lineRule="exact"/>
              <w:rPr>
                <w:sz w:val="20"/>
                <w:szCs w:val="20"/>
                <w:color w:val="auto"/>
              </w:rPr>
            </w:pPr>
            <w:r>
              <w:rPr>
                <w:rFonts w:ascii="Arial" w:cs="Arial" w:eastAsia="Arial" w:hAnsi="Arial"/>
                <w:sz w:val="14"/>
                <w:szCs w:val="14"/>
                <w:color w:val="auto"/>
              </w:rPr>
              <w:t>42,324</w:t>
            </w:r>
          </w:p>
        </w:tc>
        <w:tc>
          <w:tcPr>
            <w:tcW w:w="120" w:type="dxa"/>
            <w:vAlign w:val="bottom"/>
            <w:shd w:val="clear" w:color="auto" w:fill="EAF9E8"/>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160" w:type="dxa"/>
            <w:vAlign w:val="bottom"/>
          </w:tcPr>
          <w:p>
            <w:pPr>
              <w:spacing w:after="0"/>
              <w:rPr>
                <w:sz w:val="21"/>
                <w:szCs w:val="21"/>
                <w:color w:val="auto"/>
              </w:rPr>
            </w:pPr>
          </w:p>
        </w:tc>
        <w:tc>
          <w:tcPr>
            <w:tcW w:w="2040" w:type="dxa"/>
            <w:vAlign w:val="bottom"/>
            <w:gridSpan w:val="4"/>
            <w:vMerge w:val="restart"/>
          </w:tcPr>
          <w:p>
            <w:pPr>
              <w:spacing w:after="0"/>
              <w:rPr>
                <w:sz w:val="20"/>
                <w:szCs w:val="20"/>
                <w:color w:val="auto"/>
              </w:rPr>
            </w:pPr>
            <w:r>
              <w:rPr>
                <w:rFonts w:ascii="Arial" w:cs="Arial" w:eastAsia="Arial" w:hAnsi="Arial"/>
                <w:sz w:val="14"/>
                <w:szCs w:val="14"/>
                <w:color w:val="auto"/>
              </w:rPr>
              <w:t>Other income (expense), net:</w:t>
            </w:r>
          </w:p>
        </w:tc>
        <w:tc>
          <w:tcPr>
            <w:tcW w:w="1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2"/>
        </w:trPr>
        <w:tc>
          <w:tcPr>
            <w:tcW w:w="160" w:type="dxa"/>
            <w:vAlign w:val="bottom"/>
          </w:tcPr>
          <w:p>
            <w:pPr>
              <w:spacing w:after="0"/>
              <w:rPr>
                <w:sz w:val="12"/>
                <w:szCs w:val="12"/>
                <w:color w:val="auto"/>
              </w:rPr>
            </w:pPr>
          </w:p>
        </w:tc>
        <w:tc>
          <w:tcPr>
            <w:tcW w:w="2040" w:type="dxa"/>
            <w:vAlign w:val="bottom"/>
            <w:gridSpan w:val="4"/>
            <w:vMerge w:val="continue"/>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0" w:type="dxa"/>
            <w:vAlign w:val="bottom"/>
            <w:shd w:val="clear" w:color="auto" w:fill="EAF9E8"/>
          </w:tcPr>
          <w:p>
            <w:pPr>
              <w:spacing w:after="0"/>
              <w:rPr>
                <w:sz w:val="12"/>
                <w:szCs w:val="12"/>
                <w:color w:val="auto"/>
              </w:rPr>
            </w:pPr>
          </w:p>
        </w:tc>
        <w:tc>
          <w:tcPr>
            <w:tcW w:w="160" w:type="dxa"/>
            <w:vAlign w:val="bottom"/>
            <w:shd w:val="clear" w:color="auto" w:fill="EAF9E8"/>
          </w:tcPr>
          <w:p>
            <w:pPr>
              <w:spacing w:after="0"/>
              <w:rPr>
                <w:sz w:val="12"/>
                <w:szCs w:val="12"/>
                <w:color w:val="auto"/>
              </w:rPr>
            </w:pPr>
          </w:p>
        </w:tc>
        <w:tc>
          <w:tcPr>
            <w:tcW w:w="1880" w:type="dxa"/>
            <w:vAlign w:val="bottom"/>
            <w:gridSpan w:val="3"/>
            <w:shd w:val="clear" w:color="auto" w:fill="EAF9E8"/>
          </w:tcPr>
          <w:p>
            <w:pPr>
              <w:spacing w:after="0" w:line="149" w:lineRule="exact"/>
              <w:rPr>
                <w:sz w:val="20"/>
                <w:szCs w:val="20"/>
                <w:color w:val="auto"/>
              </w:rPr>
            </w:pPr>
            <w:r>
              <w:rPr>
                <w:rFonts w:ascii="Arial" w:cs="Arial" w:eastAsia="Arial" w:hAnsi="Arial"/>
                <w:sz w:val="14"/>
                <w:szCs w:val="14"/>
                <w:color w:val="auto"/>
              </w:rPr>
              <w:t>Interest income</w:t>
            </w:r>
          </w:p>
        </w:tc>
        <w:tc>
          <w:tcPr>
            <w:tcW w:w="120" w:type="dxa"/>
            <w:vAlign w:val="bottom"/>
            <w:shd w:val="clear" w:color="auto" w:fill="EAF9E8"/>
          </w:tcPr>
          <w:p>
            <w:pPr>
              <w:spacing w:after="0"/>
              <w:rPr>
                <w:sz w:val="12"/>
                <w:szCs w:val="12"/>
                <w:color w:val="auto"/>
              </w:rPr>
            </w:pPr>
          </w:p>
        </w:tc>
        <w:tc>
          <w:tcPr>
            <w:tcW w:w="68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rPr>
              <w:t>59</w:t>
            </w:r>
          </w:p>
        </w:tc>
        <w:tc>
          <w:tcPr>
            <w:tcW w:w="140" w:type="dxa"/>
            <w:vAlign w:val="bottom"/>
            <w:shd w:val="clear" w:color="auto" w:fill="EAF9E8"/>
          </w:tcPr>
          <w:p>
            <w:pPr>
              <w:spacing w:after="0"/>
              <w:rPr>
                <w:sz w:val="12"/>
                <w:szCs w:val="12"/>
                <w:color w:val="auto"/>
              </w:rPr>
            </w:pPr>
          </w:p>
        </w:tc>
        <w:tc>
          <w:tcPr>
            <w:tcW w:w="8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70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rPr>
              <w:t>1,883</w:t>
            </w:r>
          </w:p>
        </w:tc>
        <w:tc>
          <w:tcPr>
            <w:tcW w:w="220" w:type="dxa"/>
            <w:vAlign w:val="bottom"/>
            <w:shd w:val="clear" w:color="auto" w:fill="EAF9E8"/>
          </w:tcPr>
          <w:p>
            <w:pPr>
              <w:spacing w:after="0"/>
              <w:rPr>
                <w:sz w:val="12"/>
                <w:szCs w:val="12"/>
                <w:color w:val="auto"/>
              </w:rPr>
            </w:pPr>
          </w:p>
        </w:tc>
        <w:tc>
          <w:tcPr>
            <w:tcW w:w="140" w:type="dxa"/>
            <w:vAlign w:val="bottom"/>
            <w:shd w:val="clear" w:color="auto" w:fill="EAF9E8"/>
          </w:tcPr>
          <w:p>
            <w:pPr>
              <w:spacing w:after="0"/>
              <w:rPr>
                <w:sz w:val="12"/>
                <w:szCs w:val="12"/>
                <w:color w:val="auto"/>
              </w:rPr>
            </w:pPr>
          </w:p>
        </w:tc>
        <w:tc>
          <w:tcPr>
            <w:tcW w:w="880" w:type="dxa"/>
            <w:vAlign w:val="bottom"/>
            <w:gridSpan w:val="2"/>
            <w:shd w:val="clear" w:color="auto" w:fill="EAF9E8"/>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EAF9E8"/>
          </w:tcPr>
          <w:p>
            <w:pPr>
              <w:spacing w:after="0"/>
              <w:rPr>
                <w:sz w:val="12"/>
                <w:szCs w:val="12"/>
                <w:color w:val="auto"/>
              </w:rPr>
            </w:pPr>
          </w:p>
        </w:tc>
        <w:tc>
          <w:tcPr>
            <w:tcW w:w="72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rPr>
              <w:t>2</w:t>
            </w:r>
          </w:p>
        </w:tc>
        <w:tc>
          <w:tcPr>
            <w:tcW w:w="10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120" w:type="dxa"/>
            <w:vAlign w:val="bottom"/>
            <w:shd w:val="clear" w:color="auto" w:fill="EAF9E8"/>
          </w:tcPr>
          <w:p>
            <w:pPr>
              <w:spacing w:after="0"/>
              <w:rPr>
                <w:sz w:val="12"/>
                <w:szCs w:val="12"/>
                <w:color w:val="auto"/>
              </w:rPr>
            </w:pPr>
          </w:p>
        </w:tc>
        <w:tc>
          <w:tcPr>
            <w:tcW w:w="920" w:type="dxa"/>
            <w:vAlign w:val="bottom"/>
            <w:gridSpan w:val="2"/>
            <w:shd w:val="clear" w:color="auto" w:fill="EAF9E8"/>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EAF9E8"/>
          </w:tcPr>
          <w:p>
            <w:pPr>
              <w:spacing w:after="0"/>
              <w:rPr>
                <w:sz w:val="12"/>
                <w:szCs w:val="12"/>
                <w:color w:val="auto"/>
              </w:rPr>
            </w:pPr>
          </w:p>
        </w:tc>
        <w:tc>
          <w:tcPr>
            <w:tcW w:w="860" w:type="dxa"/>
            <w:vAlign w:val="bottom"/>
            <w:gridSpan w:val="2"/>
            <w:shd w:val="clear" w:color="auto" w:fill="EAF9E8"/>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72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rPr>
              <w:t>221</w:t>
            </w:r>
          </w:p>
        </w:tc>
        <w:tc>
          <w:tcPr>
            <w:tcW w:w="140" w:type="dxa"/>
            <w:vAlign w:val="bottom"/>
            <w:shd w:val="clear" w:color="auto" w:fill="EAF9E8"/>
          </w:tcPr>
          <w:p>
            <w:pPr>
              <w:spacing w:after="0"/>
              <w:rPr>
                <w:sz w:val="12"/>
                <w:szCs w:val="12"/>
                <w:color w:val="auto"/>
              </w:rPr>
            </w:pPr>
          </w:p>
        </w:tc>
        <w:tc>
          <w:tcPr>
            <w:tcW w:w="80" w:type="dxa"/>
            <w:vAlign w:val="bottom"/>
            <w:shd w:val="clear" w:color="auto" w:fill="EAF9E8"/>
          </w:tcPr>
          <w:p>
            <w:pPr>
              <w:spacing w:after="0"/>
              <w:rPr>
                <w:sz w:val="12"/>
                <w:szCs w:val="12"/>
                <w:color w:val="auto"/>
              </w:rPr>
            </w:pPr>
          </w:p>
        </w:tc>
        <w:tc>
          <w:tcPr>
            <w:tcW w:w="80" w:type="dxa"/>
            <w:vAlign w:val="bottom"/>
            <w:shd w:val="clear" w:color="auto" w:fill="EAF9E8"/>
          </w:tcPr>
          <w:p>
            <w:pPr>
              <w:spacing w:after="0"/>
              <w:rPr>
                <w:sz w:val="12"/>
                <w:szCs w:val="12"/>
                <w:color w:val="auto"/>
              </w:rPr>
            </w:pPr>
          </w:p>
        </w:tc>
        <w:tc>
          <w:tcPr>
            <w:tcW w:w="880" w:type="dxa"/>
            <w:vAlign w:val="bottom"/>
            <w:gridSpan w:val="2"/>
            <w:shd w:val="clear" w:color="auto" w:fill="EAF9E8"/>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EAF9E8"/>
          </w:tcPr>
          <w:p>
            <w:pPr>
              <w:spacing w:after="0"/>
              <w:rPr>
                <w:sz w:val="12"/>
                <w:szCs w:val="12"/>
                <w:color w:val="auto"/>
              </w:rPr>
            </w:pPr>
          </w:p>
        </w:tc>
        <w:tc>
          <w:tcPr>
            <w:tcW w:w="120" w:type="dxa"/>
            <w:vAlign w:val="bottom"/>
            <w:shd w:val="clear" w:color="auto" w:fill="EAF9E8"/>
          </w:tcPr>
          <w:p>
            <w:pPr>
              <w:spacing w:after="0"/>
              <w:rPr>
                <w:sz w:val="12"/>
                <w:szCs w:val="12"/>
                <w:color w:val="auto"/>
              </w:rPr>
            </w:pPr>
          </w:p>
        </w:tc>
        <w:tc>
          <w:tcPr>
            <w:tcW w:w="72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rPr>
              <w:t>2,165</w:t>
            </w:r>
          </w:p>
        </w:tc>
        <w:tc>
          <w:tcPr>
            <w:tcW w:w="120" w:type="dxa"/>
            <w:vAlign w:val="bottom"/>
            <w:shd w:val="clear" w:color="auto" w:fill="EAF9E8"/>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80" w:type="dxa"/>
            <w:vAlign w:val="bottom"/>
            <w:gridSpan w:val="3"/>
          </w:tcPr>
          <w:p>
            <w:pPr>
              <w:spacing w:after="0" w:line="149" w:lineRule="exact"/>
              <w:rPr>
                <w:sz w:val="20"/>
                <w:szCs w:val="20"/>
                <w:color w:val="auto"/>
              </w:rPr>
            </w:pPr>
            <w:r>
              <w:rPr>
                <w:rFonts w:ascii="Arial" w:cs="Arial" w:eastAsia="Arial" w:hAnsi="Arial"/>
                <w:sz w:val="14"/>
                <w:szCs w:val="14"/>
                <w:color w:val="auto"/>
              </w:rPr>
              <w:t>Interest expense</w:t>
            </w:r>
          </w:p>
        </w:tc>
        <w:tc>
          <w:tcPr>
            <w:tcW w:w="120" w:type="dxa"/>
            <w:vAlign w:val="bottom"/>
          </w:tcPr>
          <w:p>
            <w:pPr>
              <w:spacing w:after="0"/>
              <w:rPr>
                <w:sz w:val="12"/>
                <w:szCs w:val="12"/>
                <w:color w:val="auto"/>
              </w:rPr>
            </w:pPr>
          </w:p>
        </w:tc>
        <w:tc>
          <w:tcPr>
            <w:tcW w:w="8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(15,503)</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(629)</w:t>
            </w:r>
          </w:p>
        </w:tc>
        <w:tc>
          <w:tcPr>
            <w:tcW w:w="140" w:type="dxa"/>
            <w:vAlign w:val="bottom"/>
          </w:tcPr>
          <w:p>
            <w:pPr>
              <w:spacing w:after="0"/>
              <w:rPr>
                <w:sz w:val="12"/>
                <w:szCs w:val="12"/>
                <w:color w:val="auto"/>
              </w:rPr>
            </w:pP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(12)</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(470)</w:t>
            </w:r>
          </w:p>
        </w:tc>
        <w:tc>
          <w:tcPr>
            <w:tcW w:w="80" w:type="dxa"/>
            <w:vAlign w:val="bottom"/>
          </w:tcPr>
          <w:p>
            <w:pPr>
              <w:spacing w:after="0"/>
              <w:rPr>
                <w:sz w:val="12"/>
                <w:szCs w:val="12"/>
                <w:color w:val="auto"/>
              </w:rPr>
            </w:pPr>
          </w:p>
        </w:tc>
        <w:tc>
          <w:tcPr>
            <w:tcW w:w="8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(132)</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83</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(16,663)</w:t>
            </w:r>
          </w:p>
        </w:tc>
        <w:tc>
          <w:tcPr>
            <w:tcW w:w="0" w:type="dxa"/>
            <w:vAlign w:val="bottom"/>
          </w:tcPr>
          <w:p>
            <w:pPr>
              <w:spacing w:after="0"/>
              <w:rPr>
                <w:sz w:val="1"/>
                <w:szCs w:val="1"/>
                <w:color w:val="auto"/>
              </w:rPr>
            </w:pPr>
          </w:p>
        </w:tc>
      </w:tr>
      <w:tr>
        <w:trPr>
          <w:trHeight w:val="149"/>
        </w:trPr>
        <w:tc>
          <w:tcPr>
            <w:tcW w:w="160" w:type="dxa"/>
            <w:vAlign w:val="bottom"/>
            <w:shd w:val="clear" w:color="auto" w:fill="EAF9E8"/>
          </w:tcPr>
          <w:p>
            <w:pPr>
              <w:spacing w:after="0"/>
              <w:rPr>
                <w:sz w:val="12"/>
                <w:szCs w:val="12"/>
                <w:color w:val="auto"/>
              </w:rPr>
            </w:pPr>
          </w:p>
        </w:tc>
        <w:tc>
          <w:tcPr>
            <w:tcW w:w="160" w:type="dxa"/>
            <w:vAlign w:val="bottom"/>
            <w:shd w:val="clear" w:color="auto" w:fill="EAF9E8"/>
          </w:tcPr>
          <w:p>
            <w:pPr>
              <w:spacing w:after="0"/>
              <w:rPr>
                <w:sz w:val="12"/>
                <w:szCs w:val="12"/>
                <w:color w:val="auto"/>
              </w:rPr>
            </w:pPr>
          </w:p>
        </w:tc>
        <w:tc>
          <w:tcPr>
            <w:tcW w:w="1880" w:type="dxa"/>
            <w:vAlign w:val="bottom"/>
            <w:gridSpan w:val="3"/>
            <w:shd w:val="clear" w:color="auto" w:fill="EAF9E8"/>
          </w:tcPr>
          <w:p>
            <w:pPr>
              <w:spacing w:after="0" w:line="149" w:lineRule="exact"/>
              <w:rPr>
                <w:sz w:val="20"/>
                <w:szCs w:val="20"/>
                <w:color w:val="auto"/>
              </w:rPr>
            </w:pPr>
            <w:r>
              <w:rPr>
                <w:rFonts w:ascii="Arial" w:cs="Arial" w:eastAsia="Arial" w:hAnsi="Arial"/>
                <w:sz w:val="14"/>
                <w:szCs w:val="14"/>
                <w:color w:val="auto"/>
              </w:rPr>
              <w:t>Other (1) (2)</w:t>
            </w:r>
          </w:p>
        </w:tc>
        <w:tc>
          <w:tcPr>
            <w:tcW w:w="120" w:type="dxa"/>
            <w:vAlign w:val="bottom"/>
            <w:shd w:val="clear" w:color="auto" w:fill="EAF9E8"/>
          </w:tcPr>
          <w:p>
            <w:pPr>
              <w:spacing w:after="0"/>
              <w:rPr>
                <w:sz w:val="12"/>
                <w:szCs w:val="12"/>
                <w:color w:val="auto"/>
              </w:rPr>
            </w:pPr>
          </w:p>
        </w:tc>
        <w:tc>
          <w:tcPr>
            <w:tcW w:w="68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rPr>
              <w:t>164</w:t>
            </w:r>
          </w:p>
        </w:tc>
        <w:tc>
          <w:tcPr>
            <w:tcW w:w="140" w:type="dxa"/>
            <w:vAlign w:val="bottom"/>
            <w:shd w:val="clear" w:color="auto" w:fill="EAF9E8"/>
          </w:tcPr>
          <w:p>
            <w:pPr>
              <w:spacing w:after="0"/>
              <w:rPr>
                <w:sz w:val="12"/>
                <w:szCs w:val="12"/>
                <w:color w:val="auto"/>
              </w:rPr>
            </w:pPr>
          </w:p>
        </w:tc>
        <w:tc>
          <w:tcPr>
            <w:tcW w:w="8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920" w:type="dxa"/>
            <w:vAlign w:val="bottom"/>
            <w:gridSpan w:val="2"/>
            <w:shd w:val="clear" w:color="auto" w:fill="EAF9E8"/>
          </w:tcPr>
          <w:p>
            <w:pPr>
              <w:jc w:val="right"/>
              <w:ind w:right="180"/>
              <w:spacing w:after="0" w:line="149" w:lineRule="exact"/>
              <w:rPr>
                <w:sz w:val="20"/>
                <w:szCs w:val="20"/>
                <w:color w:val="auto"/>
              </w:rPr>
            </w:pPr>
            <w:r>
              <w:rPr>
                <w:rFonts w:ascii="Arial" w:cs="Arial" w:eastAsia="Arial" w:hAnsi="Arial"/>
                <w:sz w:val="14"/>
                <w:szCs w:val="14"/>
                <w:color w:val="auto"/>
              </w:rPr>
              <w:t>(4,831)</w:t>
            </w:r>
          </w:p>
        </w:tc>
        <w:tc>
          <w:tcPr>
            <w:tcW w:w="140" w:type="dxa"/>
            <w:vAlign w:val="bottom"/>
            <w:shd w:val="clear" w:color="auto" w:fill="EAF9E8"/>
          </w:tcPr>
          <w:p>
            <w:pPr>
              <w:spacing w:after="0"/>
              <w:rPr>
                <w:sz w:val="12"/>
                <w:szCs w:val="12"/>
                <w:color w:val="auto"/>
              </w:rPr>
            </w:pPr>
          </w:p>
        </w:tc>
        <w:tc>
          <w:tcPr>
            <w:tcW w:w="880" w:type="dxa"/>
            <w:vAlign w:val="bottom"/>
            <w:gridSpan w:val="2"/>
            <w:shd w:val="clear" w:color="auto" w:fill="EAF9E8"/>
          </w:tcPr>
          <w:p>
            <w:pPr>
              <w:jc w:val="right"/>
              <w:ind w:right="160"/>
              <w:spacing w:after="0" w:line="149" w:lineRule="exact"/>
              <w:rPr>
                <w:sz w:val="20"/>
                <w:szCs w:val="20"/>
                <w:color w:val="auto"/>
              </w:rPr>
            </w:pPr>
            <w:r>
              <w:rPr>
                <w:rFonts w:ascii="Arial" w:cs="Arial" w:eastAsia="Arial" w:hAnsi="Arial"/>
                <w:sz w:val="14"/>
                <w:szCs w:val="14"/>
                <w:color w:val="auto"/>
              </w:rPr>
              <w:t>(302)</w:t>
            </w:r>
          </w:p>
        </w:tc>
        <w:tc>
          <w:tcPr>
            <w:tcW w:w="100" w:type="dxa"/>
            <w:vAlign w:val="bottom"/>
            <w:shd w:val="clear" w:color="auto" w:fill="EAF9E8"/>
          </w:tcPr>
          <w:p>
            <w:pPr>
              <w:spacing w:after="0"/>
              <w:rPr>
                <w:sz w:val="12"/>
                <w:szCs w:val="12"/>
                <w:color w:val="auto"/>
              </w:rPr>
            </w:pPr>
          </w:p>
        </w:tc>
        <w:tc>
          <w:tcPr>
            <w:tcW w:w="72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rPr>
              <w:t>33</w:t>
            </w:r>
          </w:p>
        </w:tc>
        <w:tc>
          <w:tcPr>
            <w:tcW w:w="10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120" w:type="dxa"/>
            <w:vAlign w:val="bottom"/>
            <w:shd w:val="clear" w:color="auto" w:fill="EAF9E8"/>
          </w:tcPr>
          <w:p>
            <w:pPr>
              <w:spacing w:after="0"/>
              <w:rPr>
                <w:sz w:val="12"/>
                <w:szCs w:val="12"/>
                <w:color w:val="auto"/>
              </w:rPr>
            </w:pPr>
          </w:p>
        </w:tc>
        <w:tc>
          <w:tcPr>
            <w:tcW w:w="70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rPr>
              <w:t>2</w:t>
            </w:r>
          </w:p>
        </w:tc>
        <w:tc>
          <w:tcPr>
            <w:tcW w:w="220" w:type="dxa"/>
            <w:vAlign w:val="bottom"/>
            <w:shd w:val="clear" w:color="auto" w:fill="EAF9E8"/>
          </w:tcPr>
          <w:p>
            <w:pPr>
              <w:spacing w:after="0"/>
              <w:rPr>
                <w:sz w:val="12"/>
                <w:szCs w:val="12"/>
                <w:color w:val="auto"/>
              </w:rPr>
            </w:pPr>
          </w:p>
        </w:tc>
        <w:tc>
          <w:tcPr>
            <w:tcW w:w="80" w:type="dxa"/>
            <w:vAlign w:val="bottom"/>
            <w:shd w:val="clear" w:color="auto" w:fill="EAF9E8"/>
          </w:tcPr>
          <w:p>
            <w:pPr>
              <w:spacing w:after="0"/>
              <w:rPr>
                <w:sz w:val="12"/>
                <w:szCs w:val="12"/>
                <w:color w:val="auto"/>
              </w:rPr>
            </w:pPr>
          </w:p>
        </w:tc>
        <w:tc>
          <w:tcPr>
            <w:tcW w:w="72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rPr>
              <w:t>56</w:t>
            </w:r>
          </w:p>
        </w:tc>
        <w:tc>
          <w:tcPr>
            <w:tcW w:w="14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860" w:type="dxa"/>
            <w:vAlign w:val="bottom"/>
            <w:gridSpan w:val="2"/>
            <w:shd w:val="clear" w:color="auto" w:fill="EAF9E8"/>
          </w:tcPr>
          <w:p>
            <w:pPr>
              <w:jc w:val="right"/>
              <w:ind w:right="100"/>
              <w:spacing w:after="0" w:line="149" w:lineRule="exact"/>
              <w:rPr>
                <w:sz w:val="20"/>
                <w:szCs w:val="20"/>
                <w:color w:val="auto"/>
              </w:rPr>
            </w:pPr>
            <w:r>
              <w:rPr>
                <w:rFonts w:ascii="Arial" w:cs="Arial" w:eastAsia="Arial" w:hAnsi="Arial"/>
                <w:sz w:val="14"/>
                <w:szCs w:val="14"/>
                <w:color w:val="auto"/>
              </w:rPr>
              <w:t>(13)</w:t>
            </w:r>
          </w:p>
        </w:tc>
        <w:tc>
          <w:tcPr>
            <w:tcW w:w="80" w:type="dxa"/>
            <w:vAlign w:val="bottom"/>
            <w:shd w:val="clear" w:color="auto" w:fill="EAF9E8"/>
          </w:tcPr>
          <w:p>
            <w:pPr>
              <w:spacing w:after="0"/>
              <w:rPr>
                <w:sz w:val="12"/>
                <w:szCs w:val="12"/>
                <w:color w:val="auto"/>
              </w:rPr>
            </w:pPr>
          </w:p>
        </w:tc>
        <w:tc>
          <w:tcPr>
            <w:tcW w:w="80" w:type="dxa"/>
            <w:vAlign w:val="bottom"/>
            <w:shd w:val="clear" w:color="auto" w:fill="EAF9E8"/>
          </w:tcPr>
          <w:p>
            <w:pPr>
              <w:spacing w:after="0"/>
              <w:rPr>
                <w:sz w:val="12"/>
                <w:szCs w:val="12"/>
                <w:color w:val="auto"/>
              </w:rPr>
            </w:pPr>
          </w:p>
        </w:tc>
        <w:tc>
          <w:tcPr>
            <w:tcW w:w="76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rPr>
              <w:t>329</w:t>
            </w:r>
          </w:p>
        </w:tc>
        <w:tc>
          <w:tcPr>
            <w:tcW w:w="12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120" w:type="dxa"/>
            <w:vAlign w:val="bottom"/>
            <w:shd w:val="clear" w:color="auto" w:fill="EAF9E8"/>
          </w:tcPr>
          <w:p>
            <w:pPr>
              <w:spacing w:after="0"/>
              <w:rPr>
                <w:sz w:val="12"/>
                <w:szCs w:val="12"/>
                <w:color w:val="auto"/>
              </w:rPr>
            </w:pPr>
          </w:p>
        </w:tc>
        <w:tc>
          <w:tcPr>
            <w:tcW w:w="840" w:type="dxa"/>
            <w:vAlign w:val="bottom"/>
            <w:gridSpan w:val="2"/>
            <w:shd w:val="clear" w:color="auto" w:fill="EAF9E8"/>
          </w:tcPr>
          <w:p>
            <w:pPr>
              <w:jc w:val="right"/>
              <w:ind w:right="80"/>
              <w:spacing w:after="0" w:line="149" w:lineRule="exact"/>
              <w:rPr>
                <w:sz w:val="20"/>
                <w:szCs w:val="20"/>
                <w:color w:val="auto"/>
              </w:rPr>
            </w:pPr>
            <w:r>
              <w:rPr>
                <w:rFonts w:ascii="Arial" w:cs="Arial" w:eastAsia="Arial" w:hAnsi="Arial"/>
                <w:sz w:val="14"/>
                <w:szCs w:val="14"/>
                <w:color w:val="auto"/>
              </w:rPr>
              <w:t>(4,562)</w:t>
            </w:r>
          </w:p>
        </w:tc>
        <w:tc>
          <w:tcPr>
            <w:tcW w:w="0" w:type="dxa"/>
            <w:vAlign w:val="bottom"/>
          </w:tcPr>
          <w:p>
            <w:pPr>
              <w:spacing w:after="0"/>
              <w:rPr>
                <w:sz w:val="1"/>
                <w:szCs w:val="1"/>
                <w:color w:val="auto"/>
              </w:rPr>
            </w:pPr>
          </w:p>
        </w:tc>
      </w:tr>
      <w:tr>
        <w:trPr>
          <w:trHeight w:val="243"/>
        </w:trPr>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80" w:type="dxa"/>
            <w:vAlign w:val="bottom"/>
            <w:gridSpan w:val="3"/>
            <w:vMerge w:val="restart"/>
          </w:tcPr>
          <w:p>
            <w:pPr>
              <w:ind w:left="160"/>
              <w:spacing w:after="0"/>
              <w:rPr>
                <w:sz w:val="20"/>
                <w:szCs w:val="20"/>
                <w:color w:val="auto"/>
              </w:rPr>
            </w:pPr>
            <w:r>
              <w:rPr>
                <w:rFonts w:ascii="Arial" w:cs="Arial" w:eastAsia="Arial" w:hAnsi="Arial"/>
                <w:sz w:val="14"/>
                <w:szCs w:val="14"/>
                <w:color w:val="auto"/>
              </w:rPr>
              <w:t>Other income (expense),</w:t>
            </w:r>
          </w:p>
        </w:tc>
        <w:tc>
          <w:tcPr>
            <w:tcW w:w="1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31"/>
        </w:trPr>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80" w:type="dxa"/>
            <w:vAlign w:val="bottom"/>
            <w:gridSpan w:val="3"/>
            <w:vMerge w:val="continue"/>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80" w:type="dxa"/>
            <w:vAlign w:val="bottom"/>
            <w:gridSpan w:val="3"/>
          </w:tcPr>
          <w:p>
            <w:pPr>
              <w:ind w:left="320"/>
              <w:spacing w:after="0"/>
              <w:rPr>
                <w:sz w:val="20"/>
                <w:szCs w:val="20"/>
                <w:color w:val="auto"/>
              </w:rPr>
            </w:pPr>
            <w:r>
              <w:rPr>
                <w:rFonts w:ascii="Arial" w:cs="Arial" w:eastAsia="Arial" w:hAnsi="Arial"/>
                <w:sz w:val="14"/>
                <w:szCs w:val="14"/>
                <w:color w:val="auto"/>
              </w:rPr>
              <w:t>net</w:t>
            </w:r>
          </w:p>
        </w:tc>
        <w:tc>
          <w:tcPr>
            <w:tcW w:w="120" w:type="dxa"/>
            <w:vAlign w:val="bottom"/>
          </w:tcPr>
          <w:p>
            <w:pPr>
              <w:spacing w:after="0"/>
              <w:rPr>
                <w:sz w:val="14"/>
                <w:szCs w:val="14"/>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4"/>
                <w:szCs w:val="14"/>
                <w:color w:val="auto"/>
              </w:rPr>
              <w:t>(15,280)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(3,577)</w:t>
            </w:r>
          </w:p>
        </w:tc>
        <w:tc>
          <w:tcPr>
            <w:tcW w:w="14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(302)</w:t>
            </w: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23</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(468)</w:t>
            </w:r>
          </w:p>
        </w:tc>
        <w:tc>
          <w:tcPr>
            <w:tcW w:w="80" w:type="dxa"/>
            <w:vAlign w:val="bottom"/>
          </w:tcPr>
          <w:p>
            <w:pPr>
              <w:spacing w:after="0"/>
              <w:rPr>
                <w:sz w:val="14"/>
                <w:szCs w:val="14"/>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4"/>
                <w:szCs w:val="14"/>
                <w:color w:val="auto"/>
              </w:rPr>
              <w:t>(76)</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291</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329</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4"/>
                <w:szCs w:val="14"/>
                <w:color w:val="auto"/>
              </w:rPr>
              <w:t>(19,060)</w:t>
            </w:r>
          </w:p>
        </w:tc>
        <w:tc>
          <w:tcPr>
            <w:tcW w:w="0" w:type="dxa"/>
            <w:vAlign w:val="bottom"/>
          </w:tcPr>
          <w:p>
            <w:pPr>
              <w:spacing w:after="0"/>
              <w:rPr>
                <w:sz w:val="1"/>
                <w:szCs w:val="1"/>
                <w:color w:val="auto"/>
              </w:rPr>
            </w:pPr>
          </w:p>
        </w:tc>
      </w:tr>
      <w:tr>
        <w:trPr>
          <w:trHeight w:val="230"/>
        </w:trPr>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1"/>
        </w:trPr>
        <w:tc>
          <w:tcPr>
            <w:tcW w:w="160" w:type="dxa"/>
            <w:vAlign w:val="bottom"/>
            <w:shd w:val="clear" w:color="auto" w:fill="EAF9E8"/>
          </w:tcPr>
          <w:p>
            <w:pPr>
              <w:spacing w:after="0"/>
              <w:rPr>
                <w:sz w:val="11"/>
                <w:szCs w:val="11"/>
                <w:color w:val="auto"/>
              </w:rPr>
            </w:pPr>
          </w:p>
        </w:tc>
        <w:tc>
          <w:tcPr>
            <w:tcW w:w="2040" w:type="dxa"/>
            <w:vAlign w:val="bottom"/>
            <w:gridSpan w:val="4"/>
            <w:shd w:val="clear" w:color="auto" w:fill="EAF9E8"/>
          </w:tcPr>
          <w:p>
            <w:pPr>
              <w:spacing w:after="0" w:line="131" w:lineRule="exact"/>
              <w:rPr>
                <w:sz w:val="20"/>
                <w:szCs w:val="20"/>
                <w:color w:val="auto"/>
              </w:rPr>
            </w:pPr>
            <w:r>
              <w:rPr>
                <w:rFonts w:ascii="Arial" w:cs="Arial" w:eastAsia="Arial" w:hAnsi="Arial"/>
                <w:sz w:val="14"/>
                <w:szCs w:val="14"/>
                <w:color w:val="auto"/>
              </w:rPr>
              <w:t>Income (loss) from continuing</w:t>
            </w:r>
          </w:p>
        </w:tc>
        <w:tc>
          <w:tcPr>
            <w:tcW w:w="120" w:type="dxa"/>
            <w:vAlign w:val="bottom"/>
            <w:shd w:val="clear" w:color="auto" w:fill="EAF9E8"/>
          </w:tcPr>
          <w:p>
            <w:pPr>
              <w:spacing w:after="0"/>
              <w:rPr>
                <w:sz w:val="11"/>
                <w:szCs w:val="11"/>
                <w:color w:val="auto"/>
              </w:rPr>
            </w:pPr>
          </w:p>
        </w:tc>
        <w:tc>
          <w:tcPr>
            <w:tcW w:w="680" w:type="dxa"/>
            <w:vAlign w:val="bottom"/>
            <w:shd w:val="clear" w:color="auto" w:fill="EAF9E8"/>
          </w:tcPr>
          <w:p>
            <w:pPr>
              <w:spacing w:after="0"/>
              <w:rPr>
                <w:sz w:val="11"/>
                <w:szCs w:val="11"/>
                <w:color w:val="auto"/>
              </w:rPr>
            </w:pPr>
          </w:p>
        </w:tc>
        <w:tc>
          <w:tcPr>
            <w:tcW w:w="140" w:type="dxa"/>
            <w:vAlign w:val="bottom"/>
            <w:shd w:val="clear" w:color="auto" w:fill="EAF9E8"/>
          </w:tcPr>
          <w:p>
            <w:pPr>
              <w:spacing w:after="0"/>
              <w:rPr>
                <w:sz w:val="11"/>
                <w:szCs w:val="11"/>
                <w:color w:val="auto"/>
              </w:rPr>
            </w:pPr>
          </w:p>
        </w:tc>
        <w:tc>
          <w:tcPr>
            <w:tcW w:w="80" w:type="dxa"/>
            <w:vAlign w:val="bottom"/>
            <w:shd w:val="clear" w:color="auto" w:fill="EAF9E8"/>
          </w:tcPr>
          <w:p>
            <w:pPr>
              <w:spacing w:after="0"/>
              <w:rPr>
                <w:sz w:val="11"/>
                <w:szCs w:val="11"/>
                <w:color w:val="auto"/>
              </w:rPr>
            </w:pPr>
          </w:p>
        </w:tc>
        <w:tc>
          <w:tcPr>
            <w:tcW w:w="100" w:type="dxa"/>
            <w:vAlign w:val="bottom"/>
            <w:shd w:val="clear" w:color="auto" w:fill="EAF9E8"/>
          </w:tcPr>
          <w:p>
            <w:pPr>
              <w:spacing w:after="0"/>
              <w:rPr>
                <w:sz w:val="11"/>
                <w:szCs w:val="11"/>
                <w:color w:val="auto"/>
              </w:rPr>
            </w:pPr>
          </w:p>
        </w:tc>
        <w:tc>
          <w:tcPr>
            <w:tcW w:w="700" w:type="dxa"/>
            <w:vAlign w:val="bottom"/>
            <w:shd w:val="clear" w:color="auto" w:fill="EAF9E8"/>
          </w:tcPr>
          <w:p>
            <w:pPr>
              <w:spacing w:after="0"/>
              <w:rPr>
                <w:sz w:val="11"/>
                <w:szCs w:val="11"/>
                <w:color w:val="auto"/>
              </w:rPr>
            </w:pPr>
          </w:p>
        </w:tc>
        <w:tc>
          <w:tcPr>
            <w:tcW w:w="220" w:type="dxa"/>
            <w:vAlign w:val="bottom"/>
            <w:shd w:val="clear" w:color="auto" w:fill="EAF9E8"/>
          </w:tcPr>
          <w:p>
            <w:pPr>
              <w:spacing w:after="0"/>
              <w:rPr>
                <w:sz w:val="11"/>
                <w:szCs w:val="11"/>
                <w:color w:val="auto"/>
              </w:rPr>
            </w:pPr>
          </w:p>
        </w:tc>
        <w:tc>
          <w:tcPr>
            <w:tcW w:w="140" w:type="dxa"/>
            <w:vAlign w:val="bottom"/>
            <w:shd w:val="clear" w:color="auto" w:fill="EAF9E8"/>
          </w:tcPr>
          <w:p>
            <w:pPr>
              <w:spacing w:after="0"/>
              <w:rPr>
                <w:sz w:val="11"/>
                <w:szCs w:val="11"/>
                <w:color w:val="auto"/>
              </w:rPr>
            </w:pPr>
          </w:p>
        </w:tc>
        <w:tc>
          <w:tcPr>
            <w:tcW w:w="660" w:type="dxa"/>
            <w:vAlign w:val="bottom"/>
            <w:shd w:val="clear" w:color="auto" w:fill="EAF9E8"/>
          </w:tcPr>
          <w:p>
            <w:pPr>
              <w:spacing w:after="0"/>
              <w:rPr>
                <w:sz w:val="11"/>
                <w:szCs w:val="11"/>
                <w:color w:val="auto"/>
              </w:rPr>
            </w:pPr>
          </w:p>
        </w:tc>
        <w:tc>
          <w:tcPr>
            <w:tcW w:w="220" w:type="dxa"/>
            <w:vAlign w:val="bottom"/>
            <w:shd w:val="clear" w:color="auto" w:fill="EAF9E8"/>
          </w:tcPr>
          <w:p>
            <w:pPr>
              <w:spacing w:after="0"/>
              <w:rPr>
                <w:sz w:val="11"/>
                <w:szCs w:val="11"/>
                <w:color w:val="auto"/>
              </w:rPr>
            </w:pPr>
          </w:p>
        </w:tc>
        <w:tc>
          <w:tcPr>
            <w:tcW w:w="100" w:type="dxa"/>
            <w:vAlign w:val="bottom"/>
            <w:shd w:val="clear" w:color="auto" w:fill="EAF9E8"/>
          </w:tcPr>
          <w:p>
            <w:pPr>
              <w:spacing w:after="0"/>
              <w:rPr>
                <w:sz w:val="11"/>
                <w:szCs w:val="11"/>
                <w:color w:val="auto"/>
              </w:rPr>
            </w:pPr>
          </w:p>
        </w:tc>
        <w:tc>
          <w:tcPr>
            <w:tcW w:w="720" w:type="dxa"/>
            <w:vAlign w:val="bottom"/>
            <w:shd w:val="clear" w:color="auto" w:fill="EAF9E8"/>
          </w:tcPr>
          <w:p>
            <w:pPr>
              <w:spacing w:after="0"/>
              <w:rPr>
                <w:sz w:val="11"/>
                <w:szCs w:val="11"/>
                <w:color w:val="auto"/>
              </w:rPr>
            </w:pPr>
          </w:p>
        </w:tc>
        <w:tc>
          <w:tcPr>
            <w:tcW w:w="100" w:type="dxa"/>
            <w:vAlign w:val="bottom"/>
            <w:shd w:val="clear" w:color="auto" w:fill="EAF9E8"/>
          </w:tcPr>
          <w:p>
            <w:pPr>
              <w:spacing w:after="0"/>
              <w:rPr>
                <w:sz w:val="11"/>
                <w:szCs w:val="11"/>
                <w:color w:val="auto"/>
              </w:rPr>
            </w:pPr>
          </w:p>
        </w:tc>
        <w:tc>
          <w:tcPr>
            <w:tcW w:w="100" w:type="dxa"/>
            <w:vAlign w:val="bottom"/>
            <w:shd w:val="clear" w:color="auto" w:fill="EAF9E8"/>
          </w:tcPr>
          <w:p>
            <w:pPr>
              <w:spacing w:after="0"/>
              <w:rPr>
                <w:sz w:val="11"/>
                <w:szCs w:val="11"/>
                <w:color w:val="auto"/>
              </w:rPr>
            </w:pPr>
          </w:p>
        </w:tc>
        <w:tc>
          <w:tcPr>
            <w:tcW w:w="120" w:type="dxa"/>
            <w:vAlign w:val="bottom"/>
            <w:shd w:val="clear" w:color="auto" w:fill="EAF9E8"/>
          </w:tcPr>
          <w:p>
            <w:pPr>
              <w:spacing w:after="0"/>
              <w:rPr>
                <w:sz w:val="11"/>
                <w:szCs w:val="11"/>
                <w:color w:val="auto"/>
              </w:rPr>
            </w:pPr>
          </w:p>
        </w:tc>
        <w:tc>
          <w:tcPr>
            <w:tcW w:w="700" w:type="dxa"/>
            <w:vAlign w:val="bottom"/>
            <w:shd w:val="clear" w:color="auto" w:fill="EAF9E8"/>
          </w:tcPr>
          <w:p>
            <w:pPr>
              <w:spacing w:after="0"/>
              <w:rPr>
                <w:sz w:val="11"/>
                <w:szCs w:val="11"/>
                <w:color w:val="auto"/>
              </w:rPr>
            </w:pPr>
          </w:p>
        </w:tc>
        <w:tc>
          <w:tcPr>
            <w:tcW w:w="220" w:type="dxa"/>
            <w:vAlign w:val="bottom"/>
            <w:shd w:val="clear" w:color="auto" w:fill="EAF9E8"/>
          </w:tcPr>
          <w:p>
            <w:pPr>
              <w:spacing w:after="0"/>
              <w:rPr>
                <w:sz w:val="11"/>
                <w:szCs w:val="11"/>
                <w:color w:val="auto"/>
              </w:rPr>
            </w:pPr>
          </w:p>
        </w:tc>
        <w:tc>
          <w:tcPr>
            <w:tcW w:w="80" w:type="dxa"/>
            <w:vAlign w:val="bottom"/>
            <w:shd w:val="clear" w:color="auto" w:fill="EAF9E8"/>
          </w:tcPr>
          <w:p>
            <w:pPr>
              <w:spacing w:after="0"/>
              <w:rPr>
                <w:sz w:val="11"/>
                <w:szCs w:val="11"/>
                <w:color w:val="auto"/>
              </w:rPr>
            </w:pPr>
          </w:p>
        </w:tc>
        <w:tc>
          <w:tcPr>
            <w:tcW w:w="720" w:type="dxa"/>
            <w:vAlign w:val="bottom"/>
            <w:shd w:val="clear" w:color="auto" w:fill="EAF9E8"/>
          </w:tcPr>
          <w:p>
            <w:pPr>
              <w:spacing w:after="0"/>
              <w:rPr>
                <w:sz w:val="11"/>
                <w:szCs w:val="11"/>
                <w:color w:val="auto"/>
              </w:rPr>
            </w:pPr>
          </w:p>
        </w:tc>
        <w:tc>
          <w:tcPr>
            <w:tcW w:w="140" w:type="dxa"/>
            <w:vAlign w:val="bottom"/>
            <w:shd w:val="clear" w:color="auto" w:fill="EAF9E8"/>
          </w:tcPr>
          <w:p>
            <w:pPr>
              <w:spacing w:after="0"/>
              <w:rPr>
                <w:sz w:val="11"/>
                <w:szCs w:val="11"/>
                <w:color w:val="auto"/>
              </w:rPr>
            </w:pPr>
          </w:p>
        </w:tc>
        <w:tc>
          <w:tcPr>
            <w:tcW w:w="100" w:type="dxa"/>
            <w:vAlign w:val="bottom"/>
            <w:shd w:val="clear" w:color="auto" w:fill="EAF9E8"/>
          </w:tcPr>
          <w:p>
            <w:pPr>
              <w:spacing w:after="0"/>
              <w:rPr>
                <w:sz w:val="11"/>
                <w:szCs w:val="11"/>
                <w:color w:val="auto"/>
              </w:rPr>
            </w:pPr>
          </w:p>
        </w:tc>
        <w:tc>
          <w:tcPr>
            <w:tcW w:w="100" w:type="dxa"/>
            <w:vAlign w:val="bottom"/>
            <w:shd w:val="clear" w:color="auto" w:fill="EAF9E8"/>
          </w:tcPr>
          <w:p>
            <w:pPr>
              <w:spacing w:after="0"/>
              <w:rPr>
                <w:sz w:val="11"/>
                <w:szCs w:val="11"/>
                <w:color w:val="auto"/>
              </w:rPr>
            </w:pPr>
          </w:p>
        </w:tc>
        <w:tc>
          <w:tcPr>
            <w:tcW w:w="720" w:type="dxa"/>
            <w:vAlign w:val="bottom"/>
            <w:shd w:val="clear" w:color="auto" w:fill="EAF9E8"/>
          </w:tcPr>
          <w:p>
            <w:pPr>
              <w:spacing w:after="0"/>
              <w:rPr>
                <w:sz w:val="11"/>
                <w:szCs w:val="11"/>
                <w:color w:val="auto"/>
              </w:rPr>
            </w:pPr>
          </w:p>
        </w:tc>
        <w:tc>
          <w:tcPr>
            <w:tcW w:w="140" w:type="dxa"/>
            <w:vAlign w:val="bottom"/>
            <w:shd w:val="clear" w:color="auto" w:fill="EAF9E8"/>
          </w:tcPr>
          <w:p>
            <w:pPr>
              <w:spacing w:after="0"/>
              <w:rPr>
                <w:sz w:val="11"/>
                <w:szCs w:val="11"/>
                <w:color w:val="auto"/>
              </w:rPr>
            </w:pPr>
          </w:p>
        </w:tc>
        <w:tc>
          <w:tcPr>
            <w:tcW w:w="80" w:type="dxa"/>
            <w:vAlign w:val="bottom"/>
            <w:shd w:val="clear" w:color="auto" w:fill="EAF9E8"/>
          </w:tcPr>
          <w:p>
            <w:pPr>
              <w:spacing w:after="0"/>
              <w:rPr>
                <w:sz w:val="11"/>
                <w:szCs w:val="11"/>
                <w:color w:val="auto"/>
              </w:rPr>
            </w:pPr>
          </w:p>
        </w:tc>
        <w:tc>
          <w:tcPr>
            <w:tcW w:w="80" w:type="dxa"/>
            <w:vAlign w:val="bottom"/>
            <w:shd w:val="clear" w:color="auto" w:fill="EAF9E8"/>
          </w:tcPr>
          <w:p>
            <w:pPr>
              <w:spacing w:after="0"/>
              <w:rPr>
                <w:sz w:val="11"/>
                <w:szCs w:val="11"/>
                <w:color w:val="auto"/>
              </w:rPr>
            </w:pPr>
          </w:p>
        </w:tc>
        <w:tc>
          <w:tcPr>
            <w:tcW w:w="760" w:type="dxa"/>
            <w:vAlign w:val="bottom"/>
            <w:shd w:val="clear" w:color="auto" w:fill="EAF9E8"/>
          </w:tcPr>
          <w:p>
            <w:pPr>
              <w:spacing w:after="0"/>
              <w:rPr>
                <w:sz w:val="11"/>
                <w:szCs w:val="11"/>
                <w:color w:val="auto"/>
              </w:rPr>
            </w:pPr>
          </w:p>
        </w:tc>
        <w:tc>
          <w:tcPr>
            <w:tcW w:w="120" w:type="dxa"/>
            <w:vAlign w:val="bottom"/>
            <w:shd w:val="clear" w:color="auto" w:fill="EAF9E8"/>
          </w:tcPr>
          <w:p>
            <w:pPr>
              <w:spacing w:after="0"/>
              <w:rPr>
                <w:sz w:val="11"/>
                <w:szCs w:val="11"/>
                <w:color w:val="auto"/>
              </w:rPr>
            </w:pPr>
          </w:p>
        </w:tc>
        <w:tc>
          <w:tcPr>
            <w:tcW w:w="100" w:type="dxa"/>
            <w:vAlign w:val="bottom"/>
            <w:shd w:val="clear" w:color="auto" w:fill="EAF9E8"/>
          </w:tcPr>
          <w:p>
            <w:pPr>
              <w:spacing w:after="0"/>
              <w:rPr>
                <w:sz w:val="11"/>
                <w:szCs w:val="11"/>
                <w:color w:val="auto"/>
              </w:rPr>
            </w:pPr>
          </w:p>
        </w:tc>
        <w:tc>
          <w:tcPr>
            <w:tcW w:w="120" w:type="dxa"/>
            <w:vAlign w:val="bottom"/>
            <w:shd w:val="clear" w:color="auto" w:fill="EAF9E8"/>
          </w:tcPr>
          <w:p>
            <w:pPr>
              <w:spacing w:after="0"/>
              <w:rPr>
                <w:sz w:val="11"/>
                <w:szCs w:val="11"/>
                <w:color w:val="auto"/>
              </w:rPr>
            </w:pPr>
          </w:p>
        </w:tc>
        <w:tc>
          <w:tcPr>
            <w:tcW w:w="720" w:type="dxa"/>
            <w:vAlign w:val="bottom"/>
            <w:shd w:val="clear" w:color="auto" w:fill="EAF9E8"/>
          </w:tcPr>
          <w:p>
            <w:pPr>
              <w:spacing w:after="0"/>
              <w:rPr>
                <w:sz w:val="11"/>
                <w:szCs w:val="11"/>
                <w:color w:val="auto"/>
              </w:rPr>
            </w:pPr>
          </w:p>
        </w:tc>
        <w:tc>
          <w:tcPr>
            <w:tcW w:w="120" w:type="dxa"/>
            <w:vAlign w:val="bottom"/>
            <w:shd w:val="clear" w:color="auto" w:fill="EAF9E8"/>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60" w:type="dxa"/>
            <w:vAlign w:val="bottom"/>
            <w:shd w:val="clear" w:color="auto" w:fill="EAF9E8"/>
          </w:tcPr>
          <w:p>
            <w:pPr>
              <w:spacing w:after="0"/>
              <w:rPr>
                <w:sz w:val="12"/>
                <w:szCs w:val="12"/>
                <w:color w:val="auto"/>
              </w:rPr>
            </w:pPr>
          </w:p>
        </w:tc>
        <w:tc>
          <w:tcPr>
            <w:tcW w:w="160" w:type="dxa"/>
            <w:vAlign w:val="bottom"/>
            <w:shd w:val="clear" w:color="auto" w:fill="EAF9E8"/>
          </w:tcPr>
          <w:p>
            <w:pPr>
              <w:spacing w:after="0"/>
              <w:rPr>
                <w:sz w:val="12"/>
                <w:szCs w:val="12"/>
                <w:color w:val="auto"/>
              </w:rPr>
            </w:pPr>
          </w:p>
        </w:tc>
        <w:tc>
          <w:tcPr>
            <w:tcW w:w="1880" w:type="dxa"/>
            <w:vAlign w:val="bottom"/>
            <w:gridSpan w:val="3"/>
            <w:shd w:val="clear" w:color="auto" w:fill="EAF9E8"/>
          </w:tcPr>
          <w:p>
            <w:pPr>
              <w:spacing w:after="0" w:line="149" w:lineRule="exact"/>
              <w:rPr>
                <w:sz w:val="20"/>
                <w:szCs w:val="20"/>
                <w:color w:val="auto"/>
              </w:rPr>
            </w:pPr>
            <w:r>
              <w:rPr>
                <w:rFonts w:ascii="Arial" w:cs="Arial" w:eastAsia="Arial" w:hAnsi="Arial"/>
                <w:sz w:val="14"/>
                <w:szCs w:val="14"/>
                <w:color w:val="auto"/>
              </w:rPr>
              <w:t>operations before income</w:t>
            </w:r>
          </w:p>
        </w:tc>
        <w:tc>
          <w:tcPr>
            <w:tcW w:w="120" w:type="dxa"/>
            <w:vAlign w:val="bottom"/>
            <w:shd w:val="clear" w:color="auto" w:fill="EAF9E8"/>
          </w:tcPr>
          <w:p>
            <w:pPr>
              <w:spacing w:after="0"/>
              <w:rPr>
                <w:sz w:val="12"/>
                <w:szCs w:val="12"/>
                <w:color w:val="auto"/>
              </w:rPr>
            </w:pPr>
          </w:p>
        </w:tc>
        <w:tc>
          <w:tcPr>
            <w:tcW w:w="680" w:type="dxa"/>
            <w:vAlign w:val="bottom"/>
            <w:shd w:val="clear" w:color="auto" w:fill="EAF9E8"/>
          </w:tcPr>
          <w:p>
            <w:pPr>
              <w:spacing w:after="0"/>
              <w:rPr>
                <w:sz w:val="12"/>
                <w:szCs w:val="12"/>
                <w:color w:val="auto"/>
              </w:rPr>
            </w:pPr>
          </w:p>
        </w:tc>
        <w:tc>
          <w:tcPr>
            <w:tcW w:w="140" w:type="dxa"/>
            <w:vAlign w:val="bottom"/>
            <w:shd w:val="clear" w:color="auto" w:fill="EAF9E8"/>
          </w:tcPr>
          <w:p>
            <w:pPr>
              <w:spacing w:after="0"/>
              <w:rPr>
                <w:sz w:val="12"/>
                <w:szCs w:val="12"/>
                <w:color w:val="auto"/>
              </w:rPr>
            </w:pPr>
          </w:p>
        </w:tc>
        <w:tc>
          <w:tcPr>
            <w:tcW w:w="8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700" w:type="dxa"/>
            <w:vAlign w:val="bottom"/>
            <w:shd w:val="clear" w:color="auto" w:fill="EAF9E8"/>
          </w:tcPr>
          <w:p>
            <w:pPr>
              <w:spacing w:after="0"/>
              <w:rPr>
                <w:sz w:val="12"/>
                <w:szCs w:val="12"/>
                <w:color w:val="auto"/>
              </w:rPr>
            </w:pPr>
          </w:p>
        </w:tc>
        <w:tc>
          <w:tcPr>
            <w:tcW w:w="220" w:type="dxa"/>
            <w:vAlign w:val="bottom"/>
            <w:shd w:val="clear" w:color="auto" w:fill="EAF9E8"/>
          </w:tcPr>
          <w:p>
            <w:pPr>
              <w:spacing w:after="0"/>
              <w:rPr>
                <w:sz w:val="12"/>
                <w:szCs w:val="12"/>
                <w:color w:val="auto"/>
              </w:rPr>
            </w:pPr>
          </w:p>
        </w:tc>
        <w:tc>
          <w:tcPr>
            <w:tcW w:w="140" w:type="dxa"/>
            <w:vAlign w:val="bottom"/>
            <w:shd w:val="clear" w:color="auto" w:fill="EAF9E8"/>
          </w:tcPr>
          <w:p>
            <w:pPr>
              <w:spacing w:after="0"/>
              <w:rPr>
                <w:sz w:val="12"/>
                <w:szCs w:val="12"/>
                <w:color w:val="auto"/>
              </w:rPr>
            </w:pPr>
          </w:p>
        </w:tc>
        <w:tc>
          <w:tcPr>
            <w:tcW w:w="660" w:type="dxa"/>
            <w:vAlign w:val="bottom"/>
            <w:shd w:val="clear" w:color="auto" w:fill="EAF9E8"/>
          </w:tcPr>
          <w:p>
            <w:pPr>
              <w:spacing w:after="0"/>
              <w:rPr>
                <w:sz w:val="12"/>
                <w:szCs w:val="12"/>
                <w:color w:val="auto"/>
              </w:rPr>
            </w:pPr>
          </w:p>
        </w:tc>
        <w:tc>
          <w:tcPr>
            <w:tcW w:w="22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72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120" w:type="dxa"/>
            <w:vAlign w:val="bottom"/>
            <w:shd w:val="clear" w:color="auto" w:fill="EAF9E8"/>
          </w:tcPr>
          <w:p>
            <w:pPr>
              <w:spacing w:after="0"/>
              <w:rPr>
                <w:sz w:val="12"/>
                <w:szCs w:val="12"/>
                <w:color w:val="auto"/>
              </w:rPr>
            </w:pPr>
          </w:p>
        </w:tc>
        <w:tc>
          <w:tcPr>
            <w:tcW w:w="700" w:type="dxa"/>
            <w:vAlign w:val="bottom"/>
            <w:shd w:val="clear" w:color="auto" w:fill="EAF9E8"/>
          </w:tcPr>
          <w:p>
            <w:pPr>
              <w:spacing w:after="0"/>
              <w:rPr>
                <w:sz w:val="12"/>
                <w:szCs w:val="12"/>
                <w:color w:val="auto"/>
              </w:rPr>
            </w:pPr>
          </w:p>
        </w:tc>
        <w:tc>
          <w:tcPr>
            <w:tcW w:w="220" w:type="dxa"/>
            <w:vAlign w:val="bottom"/>
            <w:shd w:val="clear" w:color="auto" w:fill="EAF9E8"/>
          </w:tcPr>
          <w:p>
            <w:pPr>
              <w:spacing w:after="0"/>
              <w:rPr>
                <w:sz w:val="12"/>
                <w:szCs w:val="12"/>
                <w:color w:val="auto"/>
              </w:rPr>
            </w:pPr>
          </w:p>
        </w:tc>
        <w:tc>
          <w:tcPr>
            <w:tcW w:w="80" w:type="dxa"/>
            <w:vAlign w:val="bottom"/>
            <w:shd w:val="clear" w:color="auto" w:fill="EAF9E8"/>
          </w:tcPr>
          <w:p>
            <w:pPr>
              <w:spacing w:after="0"/>
              <w:rPr>
                <w:sz w:val="12"/>
                <w:szCs w:val="12"/>
                <w:color w:val="auto"/>
              </w:rPr>
            </w:pPr>
          </w:p>
        </w:tc>
        <w:tc>
          <w:tcPr>
            <w:tcW w:w="720" w:type="dxa"/>
            <w:vAlign w:val="bottom"/>
            <w:shd w:val="clear" w:color="auto" w:fill="EAF9E8"/>
          </w:tcPr>
          <w:p>
            <w:pPr>
              <w:spacing w:after="0"/>
              <w:rPr>
                <w:sz w:val="12"/>
                <w:szCs w:val="12"/>
                <w:color w:val="auto"/>
              </w:rPr>
            </w:pPr>
          </w:p>
        </w:tc>
        <w:tc>
          <w:tcPr>
            <w:tcW w:w="14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720" w:type="dxa"/>
            <w:vAlign w:val="bottom"/>
            <w:shd w:val="clear" w:color="auto" w:fill="EAF9E8"/>
          </w:tcPr>
          <w:p>
            <w:pPr>
              <w:spacing w:after="0"/>
              <w:rPr>
                <w:sz w:val="12"/>
                <w:szCs w:val="12"/>
                <w:color w:val="auto"/>
              </w:rPr>
            </w:pPr>
          </w:p>
        </w:tc>
        <w:tc>
          <w:tcPr>
            <w:tcW w:w="140" w:type="dxa"/>
            <w:vAlign w:val="bottom"/>
            <w:shd w:val="clear" w:color="auto" w:fill="EAF9E8"/>
          </w:tcPr>
          <w:p>
            <w:pPr>
              <w:spacing w:after="0"/>
              <w:rPr>
                <w:sz w:val="12"/>
                <w:szCs w:val="12"/>
                <w:color w:val="auto"/>
              </w:rPr>
            </w:pPr>
          </w:p>
        </w:tc>
        <w:tc>
          <w:tcPr>
            <w:tcW w:w="80" w:type="dxa"/>
            <w:vAlign w:val="bottom"/>
            <w:shd w:val="clear" w:color="auto" w:fill="EAF9E8"/>
          </w:tcPr>
          <w:p>
            <w:pPr>
              <w:spacing w:after="0"/>
              <w:rPr>
                <w:sz w:val="12"/>
                <w:szCs w:val="12"/>
                <w:color w:val="auto"/>
              </w:rPr>
            </w:pPr>
          </w:p>
        </w:tc>
        <w:tc>
          <w:tcPr>
            <w:tcW w:w="80" w:type="dxa"/>
            <w:vAlign w:val="bottom"/>
            <w:shd w:val="clear" w:color="auto" w:fill="EAF9E8"/>
          </w:tcPr>
          <w:p>
            <w:pPr>
              <w:spacing w:after="0"/>
              <w:rPr>
                <w:sz w:val="12"/>
                <w:szCs w:val="12"/>
                <w:color w:val="auto"/>
              </w:rPr>
            </w:pPr>
          </w:p>
        </w:tc>
        <w:tc>
          <w:tcPr>
            <w:tcW w:w="760" w:type="dxa"/>
            <w:vAlign w:val="bottom"/>
            <w:shd w:val="clear" w:color="auto" w:fill="EAF9E8"/>
          </w:tcPr>
          <w:p>
            <w:pPr>
              <w:spacing w:after="0"/>
              <w:rPr>
                <w:sz w:val="12"/>
                <w:szCs w:val="12"/>
                <w:color w:val="auto"/>
              </w:rPr>
            </w:pPr>
          </w:p>
        </w:tc>
        <w:tc>
          <w:tcPr>
            <w:tcW w:w="12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120" w:type="dxa"/>
            <w:vAlign w:val="bottom"/>
            <w:shd w:val="clear" w:color="auto" w:fill="EAF9E8"/>
          </w:tcPr>
          <w:p>
            <w:pPr>
              <w:spacing w:after="0"/>
              <w:rPr>
                <w:sz w:val="12"/>
                <w:szCs w:val="12"/>
                <w:color w:val="auto"/>
              </w:rPr>
            </w:pPr>
          </w:p>
        </w:tc>
        <w:tc>
          <w:tcPr>
            <w:tcW w:w="720" w:type="dxa"/>
            <w:vAlign w:val="bottom"/>
            <w:shd w:val="clear" w:color="auto" w:fill="EAF9E8"/>
          </w:tcPr>
          <w:p>
            <w:pPr>
              <w:spacing w:after="0"/>
              <w:rPr>
                <w:sz w:val="12"/>
                <w:szCs w:val="12"/>
                <w:color w:val="auto"/>
              </w:rPr>
            </w:pPr>
          </w:p>
        </w:tc>
        <w:tc>
          <w:tcPr>
            <w:tcW w:w="120" w:type="dxa"/>
            <w:vAlign w:val="bottom"/>
            <w:shd w:val="clear" w:color="auto" w:fill="EAF9E8"/>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160" w:type="dxa"/>
            <w:vAlign w:val="bottom"/>
            <w:shd w:val="clear" w:color="auto" w:fill="EAF9E8"/>
          </w:tcPr>
          <w:p>
            <w:pPr>
              <w:spacing w:after="0"/>
              <w:rPr>
                <w:sz w:val="13"/>
                <w:szCs w:val="13"/>
                <w:color w:val="auto"/>
              </w:rPr>
            </w:pPr>
          </w:p>
        </w:tc>
        <w:tc>
          <w:tcPr>
            <w:tcW w:w="160" w:type="dxa"/>
            <w:vAlign w:val="bottom"/>
            <w:shd w:val="clear" w:color="auto" w:fill="EAF9E8"/>
          </w:tcPr>
          <w:p>
            <w:pPr>
              <w:spacing w:after="0"/>
              <w:rPr>
                <w:sz w:val="13"/>
                <w:szCs w:val="13"/>
                <w:color w:val="auto"/>
              </w:rPr>
            </w:pPr>
          </w:p>
        </w:tc>
        <w:tc>
          <w:tcPr>
            <w:tcW w:w="1880" w:type="dxa"/>
            <w:vAlign w:val="bottom"/>
            <w:gridSpan w:val="3"/>
            <w:shd w:val="clear" w:color="auto" w:fill="EAF9E8"/>
          </w:tcPr>
          <w:p>
            <w:pPr>
              <w:spacing w:after="0" w:line="159" w:lineRule="exact"/>
              <w:rPr>
                <w:sz w:val="20"/>
                <w:szCs w:val="20"/>
                <w:color w:val="auto"/>
              </w:rPr>
            </w:pPr>
            <w:r>
              <w:rPr>
                <w:rFonts w:ascii="Arial" w:cs="Arial" w:eastAsia="Arial" w:hAnsi="Arial"/>
                <w:sz w:val="14"/>
                <w:szCs w:val="14"/>
                <w:color w:val="auto"/>
              </w:rPr>
              <w:t>taxes</w:t>
            </w:r>
          </w:p>
        </w:tc>
        <w:tc>
          <w:tcPr>
            <w:tcW w:w="120" w:type="dxa"/>
            <w:vAlign w:val="bottom"/>
            <w:shd w:val="clear" w:color="auto" w:fill="EAF9E8"/>
          </w:tcPr>
          <w:p>
            <w:pPr>
              <w:jc w:val="right"/>
              <w:spacing w:after="0" w:line="159" w:lineRule="exact"/>
              <w:rPr>
                <w:sz w:val="20"/>
                <w:szCs w:val="20"/>
                <w:color w:val="auto"/>
              </w:rPr>
            </w:pPr>
            <w:r>
              <w:rPr>
                <w:rFonts w:ascii="Arial" w:cs="Arial" w:eastAsia="Arial" w:hAnsi="Arial"/>
                <w:sz w:val="14"/>
                <w:szCs w:val="14"/>
                <w:color w:val="auto"/>
                <w:w w:val="76"/>
              </w:rPr>
              <w:t>$</w:t>
            </w:r>
          </w:p>
        </w:tc>
        <w:tc>
          <w:tcPr>
            <w:tcW w:w="680" w:type="dxa"/>
            <w:vAlign w:val="bottom"/>
            <w:shd w:val="clear" w:color="auto" w:fill="EAF9E8"/>
          </w:tcPr>
          <w:p>
            <w:pPr>
              <w:jc w:val="right"/>
              <w:spacing w:after="0" w:line="159" w:lineRule="exact"/>
              <w:rPr>
                <w:sz w:val="20"/>
                <w:szCs w:val="20"/>
                <w:color w:val="auto"/>
              </w:rPr>
            </w:pPr>
            <w:r>
              <w:rPr>
                <w:rFonts w:ascii="Arial" w:cs="Arial" w:eastAsia="Arial" w:hAnsi="Arial"/>
                <w:sz w:val="14"/>
                <w:szCs w:val="14"/>
                <w:color w:val="auto"/>
              </w:rPr>
              <w:t>25,196</w:t>
            </w:r>
          </w:p>
        </w:tc>
        <w:tc>
          <w:tcPr>
            <w:tcW w:w="140" w:type="dxa"/>
            <w:vAlign w:val="bottom"/>
            <w:shd w:val="clear" w:color="auto" w:fill="EAF9E8"/>
          </w:tcPr>
          <w:p>
            <w:pPr>
              <w:spacing w:after="0"/>
              <w:rPr>
                <w:sz w:val="13"/>
                <w:szCs w:val="13"/>
                <w:color w:val="auto"/>
              </w:rPr>
            </w:pPr>
          </w:p>
        </w:tc>
        <w:tc>
          <w:tcPr>
            <w:tcW w:w="180" w:type="dxa"/>
            <w:vAlign w:val="bottom"/>
            <w:gridSpan w:val="2"/>
            <w:shd w:val="clear" w:color="auto" w:fill="EAF9E8"/>
          </w:tcPr>
          <w:p>
            <w:pPr>
              <w:jc w:val="right"/>
              <w:ind w:right="40"/>
              <w:spacing w:after="0" w:line="15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EAF9E8"/>
          </w:tcPr>
          <w:p>
            <w:pPr>
              <w:jc w:val="right"/>
              <w:ind w:right="180"/>
              <w:spacing w:after="0" w:line="159" w:lineRule="exact"/>
              <w:rPr>
                <w:sz w:val="20"/>
                <w:szCs w:val="20"/>
                <w:color w:val="auto"/>
              </w:rPr>
            </w:pPr>
            <w:r>
              <w:rPr>
                <w:rFonts w:ascii="Arial" w:cs="Arial" w:eastAsia="Arial" w:hAnsi="Arial"/>
                <w:sz w:val="14"/>
                <w:szCs w:val="14"/>
                <w:color w:val="auto"/>
              </w:rPr>
              <w:t>(4,138)</w:t>
            </w:r>
          </w:p>
        </w:tc>
        <w:tc>
          <w:tcPr>
            <w:tcW w:w="140" w:type="dxa"/>
            <w:vAlign w:val="bottom"/>
            <w:shd w:val="clear" w:color="auto" w:fill="EAF9E8"/>
          </w:tcPr>
          <w:p>
            <w:pPr>
              <w:jc w:val="right"/>
              <w:ind w:right="27"/>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EAF9E8"/>
          </w:tcPr>
          <w:p>
            <w:pPr>
              <w:jc w:val="right"/>
              <w:ind w:right="160"/>
              <w:spacing w:after="0" w:line="159" w:lineRule="exact"/>
              <w:rPr>
                <w:sz w:val="20"/>
                <w:szCs w:val="20"/>
                <w:color w:val="auto"/>
              </w:rPr>
            </w:pPr>
            <w:r>
              <w:rPr>
                <w:rFonts w:ascii="Arial" w:cs="Arial" w:eastAsia="Arial" w:hAnsi="Arial"/>
                <w:sz w:val="14"/>
                <w:szCs w:val="14"/>
                <w:color w:val="auto"/>
              </w:rPr>
              <w:t>(527)</w:t>
            </w:r>
          </w:p>
        </w:tc>
        <w:tc>
          <w:tcPr>
            <w:tcW w:w="100" w:type="dxa"/>
            <w:vAlign w:val="bottom"/>
            <w:shd w:val="clear" w:color="auto" w:fill="EAF9E8"/>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EAF9E8"/>
          </w:tcPr>
          <w:p>
            <w:pPr>
              <w:jc w:val="right"/>
              <w:spacing w:after="0" w:line="159" w:lineRule="exact"/>
              <w:rPr>
                <w:sz w:val="20"/>
                <w:szCs w:val="20"/>
                <w:color w:val="auto"/>
              </w:rPr>
            </w:pPr>
            <w:r>
              <w:rPr>
                <w:rFonts w:ascii="Arial" w:cs="Arial" w:eastAsia="Arial" w:hAnsi="Arial"/>
                <w:sz w:val="14"/>
                <w:szCs w:val="14"/>
                <w:color w:val="auto"/>
              </w:rPr>
              <w:t>5,148</w:t>
            </w:r>
          </w:p>
        </w:tc>
        <w:tc>
          <w:tcPr>
            <w:tcW w:w="100" w:type="dxa"/>
            <w:vAlign w:val="bottom"/>
            <w:shd w:val="clear" w:color="auto" w:fill="EAF9E8"/>
          </w:tcPr>
          <w:p>
            <w:pPr>
              <w:spacing w:after="0"/>
              <w:rPr>
                <w:sz w:val="13"/>
                <w:szCs w:val="13"/>
                <w:color w:val="auto"/>
              </w:rPr>
            </w:pPr>
          </w:p>
        </w:tc>
        <w:tc>
          <w:tcPr>
            <w:tcW w:w="220" w:type="dxa"/>
            <w:vAlign w:val="bottom"/>
            <w:gridSpan w:val="2"/>
            <w:shd w:val="clear" w:color="auto" w:fill="EAF9E8"/>
          </w:tcPr>
          <w:p>
            <w:pPr>
              <w:jc w:val="right"/>
              <w:ind w:right="40"/>
              <w:spacing w:after="0" w:line="15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EAF9E8"/>
          </w:tcPr>
          <w:p>
            <w:pPr>
              <w:jc w:val="right"/>
              <w:ind w:right="180"/>
              <w:spacing w:after="0" w:line="159" w:lineRule="exact"/>
              <w:rPr>
                <w:sz w:val="20"/>
                <w:szCs w:val="20"/>
                <w:color w:val="auto"/>
              </w:rPr>
            </w:pPr>
            <w:r>
              <w:rPr>
                <w:rFonts w:ascii="Arial" w:cs="Arial" w:eastAsia="Arial" w:hAnsi="Arial"/>
                <w:sz w:val="14"/>
                <w:szCs w:val="14"/>
                <w:color w:val="auto"/>
              </w:rPr>
              <w:t>(1,301)</w:t>
            </w:r>
          </w:p>
        </w:tc>
        <w:tc>
          <w:tcPr>
            <w:tcW w:w="80" w:type="dxa"/>
            <w:vAlign w:val="bottom"/>
            <w:shd w:val="clear" w:color="auto" w:fill="EAF9E8"/>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EAF9E8"/>
          </w:tcPr>
          <w:p>
            <w:pPr>
              <w:jc w:val="right"/>
              <w:spacing w:after="0" w:line="159" w:lineRule="exact"/>
              <w:rPr>
                <w:sz w:val="20"/>
                <w:szCs w:val="20"/>
                <w:color w:val="auto"/>
              </w:rPr>
            </w:pPr>
            <w:r>
              <w:rPr>
                <w:rFonts w:ascii="Arial" w:cs="Arial" w:eastAsia="Arial" w:hAnsi="Arial"/>
                <w:sz w:val="14"/>
                <w:szCs w:val="14"/>
                <w:color w:val="auto"/>
              </w:rPr>
              <w:t>2,324</w:t>
            </w:r>
          </w:p>
        </w:tc>
        <w:tc>
          <w:tcPr>
            <w:tcW w:w="140" w:type="dxa"/>
            <w:vAlign w:val="bottom"/>
            <w:shd w:val="clear" w:color="auto" w:fill="EAF9E8"/>
          </w:tcPr>
          <w:p>
            <w:pPr>
              <w:spacing w:after="0"/>
              <w:rPr>
                <w:sz w:val="13"/>
                <w:szCs w:val="13"/>
                <w:color w:val="auto"/>
              </w:rPr>
            </w:pPr>
          </w:p>
        </w:tc>
        <w:tc>
          <w:tcPr>
            <w:tcW w:w="200" w:type="dxa"/>
            <w:vAlign w:val="bottom"/>
            <w:gridSpan w:val="2"/>
            <w:shd w:val="clear" w:color="auto" w:fill="EAF9E8"/>
          </w:tcPr>
          <w:p>
            <w:pPr>
              <w:jc w:val="right"/>
              <w:ind w:right="40"/>
              <w:spacing w:after="0" w:line="15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EAF9E8"/>
          </w:tcPr>
          <w:p>
            <w:pPr>
              <w:jc w:val="right"/>
              <w:ind w:right="100"/>
              <w:spacing w:after="0" w:line="159" w:lineRule="exact"/>
              <w:rPr>
                <w:sz w:val="20"/>
                <w:szCs w:val="20"/>
                <w:color w:val="auto"/>
              </w:rPr>
            </w:pPr>
            <w:r>
              <w:rPr>
                <w:rFonts w:ascii="Arial" w:cs="Arial" w:eastAsia="Arial" w:hAnsi="Arial"/>
                <w:sz w:val="14"/>
                <w:szCs w:val="14"/>
                <w:color w:val="auto"/>
              </w:rPr>
              <w:t>(3,438)</w:t>
            </w:r>
          </w:p>
        </w:tc>
        <w:tc>
          <w:tcPr>
            <w:tcW w:w="160" w:type="dxa"/>
            <w:vAlign w:val="bottom"/>
            <w:gridSpan w:val="2"/>
            <w:shd w:val="clear" w:color="auto" w:fill="EAF9E8"/>
          </w:tcPr>
          <w:p>
            <w:pPr>
              <w:jc w:val="right"/>
              <w:spacing w:after="0" w:line="15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EAF9E8"/>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220" w:type="dxa"/>
            <w:vAlign w:val="bottom"/>
            <w:gridSpan w:val="2"/>
            <w:shd w:val="clear" w:color="auto" w:fill="EAF9E8"/>
          </w:tcPr>
          <w:p>
            <w:pPr>
              <w:jc w:val="right"/>
              <w:spacing w:after="0" w:line="159" w:lineRule="exact"/>
              <w:rPr>
                <w:sz w:val="20"/>
                <w:szCs w:val="20"/>
                <w:color w:val="auto"/>
              </w:rPr>
            </w:pPr>
            <w:r>
              <w:rPr>
                <w:rFonts w:ascii="Arial" w:cs="Arial" w:eastAsia="Arial" w:hAnsi="Arial"/>
                <w:sz w:val="14"/>
                <w:szCs w:val="14"/>
                <w:color w:val="auto"/>
              </w:rPr>
              <w:t>$</w:t>
            </w:r>
          </w:p>
        </w:tc>
        <w:tc>
          <w:tcPr>
            <w:tcW w:w="720" w:type="dxa"/>
            <w:vAlign w:val="bottom"/>
            <w:shd w:val="clear" w:color="auto" w:fill="EAF9E8"/>
          </w:tcPr>
          <w:p>
            <w:pPr>
              <w:jc w:val="right"/>
              <w:spacing w:after="0" w:line="159" w:lineRule="exact"/>
              <w:rPr>
                <w:sz w:val="20"/>
                <w:szCs w:val="20"/>
                <w:color w:val="auto"/>
              </w:rPr>
            </w:pPr>
            <w:r>
              <w:rPr>
                <w:rFonts w:ascii="Arial" w:cs="Arial" w:eastAsia="Arial" w:hAnsi="Arial"/>
                <w:sz w:val="14"/>
                <w:szCs w:val="14"/>
                <w:color w:val="auto"/>
              </w:rPr>
              <w:t>23,264</w:t>
            </w:r>
          </w:p>
        </w:tc>
        <w:tc>
          <w:tcPr>
            <w:tcW w:w="120" w:type="dxa"/>
            <w:vAlign w:val="bottom"/>
            <w:shd w:val="clear" w:color="auto" w:fill="EAF9E8"/>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160" w:type="dxa"/>
            <w:vAlign w:val="bottom"/>
          </w:tcPr>
          <w:p>
            <w:pPr>
              <w:spacing w:after="0"/>
              <w:rPr>
                <w:sz w:val="21"/>
                <w:szCs w:val="21"/>
                <w:color w:val="auto"/>
              </w:rPr>
            </w:pPr>
          </w:p>
        </w:tc>
        <w:tc>
          <w:tcPr>
            <w:tcW w:w="2040" w:type="dxa"/>
            <w:vAlign w:val="bottom"/>
            <w:gridSpan w:val="4"/>
            <w:vMerge w:val="restart"/>
          </w:tcPr>
          <w:p>
            <w:pPr>
              <w:spacing w:after="0"/>
              <w:rPr>
                <w:sz w:val="20"/>
                <w:szCs w:val="20"/>
                <w:color w:val="auto"/>
              </w:rPr>
            </w:pPr>
            <w:r>
              <w:rPr>
                <w:rFonts w:ascii="Arial" w:cs="Arial" w:eastAsia="Arial" w:hAnsi="Arial"/>
                <w:sz w:val="14"/>
                <w:szCs w:val="14"/>
                <w:color w:val="auto"/>
              </w:rPr>
              <w:t>For the three months ended</w:t>
            </w:r>
          </w:p>
        </w:tc>
        <w:tc>
          <w:tcPr>
            <w:tcW w:w="1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2040" w:type="dxa"/>
            <w:vAlign w:val="bottom"/>
            <w:gridSpan w:val="4"/>
            <w:vMerge w:val="continue"/>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60" w:type="dxa"/>
            <w:vAlign w:val="bottom"/>
          </w:tcPr>
          <w:p>
            <w:pPr>
              <w:spacing w:after="0"/>
              <w:rPr>
                <w:sz w:val="22"/>
                <w:szCs w:val="22"/>
                <w:color w:val="auto"/>
              </w:rPr>
            </w:pPr>
          </w:p>
        </w:tc>
        <w:tc>
          <w:tcPr>
            <w:tcW w:w="2040" w:type="dxa"/>
            <w:vAlign w:val="bottom"/>
            <w:gridSpan w:val="4"/>
            <w:vMerge w:val="continue"/>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9"/>
        </w:trPr>
        <w:tc>
          <w:tcPr>
            <w:tcW w:w="16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900" w:type="dxa"/>
            <w:vAlign w:val="bottom"/>
            <w:tcBorders>
              <w:top w:val="single" w:sz="8" w:color="auto"/>
              <w:bottom w:val="single" w:sz="8" w:color="auto"/>
            </w:tcBorders>
          </w:tcPr>
          <w:p>
            <w:pPr>
              <w:spacing w:after="0" w:line="129" w:lineRule="exact"/>
              <w:rPr>
                <w:sz w:val="20"/>
                <w:szCs w:val="20"/>
                <w:color w:val="auto"/>
              </w:rPr>
            </w:pPr>
            <w:r>
              <w:rPr>
                <w:rFonts w:ascii="Arial" w:cs="Arial" w:eastAsia="Arial" w:hAnsi="Arial"/>
                <w:sz w:val="14"/>
                <w:szCs w:val="14"/>
                <w:color w:val="auto"/>
                <w:w w:val="86"/>
              </w:rPr>
              <w:t>March 31, 2008:</w:t>
            </w:r>
          </w:p>
        </w:tc>
        <w:tc>
          <w:tcPr>
            <w:tcW w:w="420" w:type="dxa"/>
            <w:vAlign w:val="bottom"/>
            <w:tcBorders>
              <w:top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160" w:type="dxa"/>
            <w:vAlign w:val="bottom"/>
            <w:shd w:val="clear" w:color="auto" w:fill="EAF9E8"/>
          </w:tcPr>
          <w:p>
            <w:pPr>
              <w:spacing w:after="0"/>
              <w:rPr>
                <w:sz w:val="12"/>
                <w:szCs w:val="12"/>
                <w:color w:val="auto"/>
              </w:rPr>
            </w:pPr>
          </w:p>
        </w:tc>
        <w:tc>
          <w:tcPr>
            <w:tcW w:w="2040" w:type="dxa"/>
            <w:vAlign w:val="bottom"/>
            <w:gridSpan w:val="4"/>
            <w:shd w:val="clear" w:color="auto" w:fill="EAF9E8"/>
          </w:tcPr>
          <w:p>
            <w:pPr>
              <w:spacing w:after="0" w:line="142" w:lineRule="exact"/>
              <w:rPr>
                <w:sz w:val="20"/>
                <w:szCs w:val="20"/>
                <w:color w:val="auto"/>
              </w:rPr>
            </w:pPr>
            <w:r>
              <w:rPr>
                <w:rFonts w:ascii="Arial" w:cs="Arial" w:eastAsia="Arial" w:hAnsi="Arial"/>
                <w:sz w:val="14"/>
                <w:szCs w:val="14"/>
                <w:color w:val="auto"/>
              </w:rPr>
              <w:t>Revenue (1) (2)</w:t>
            </w:r>
          </w:p>
        </w:tc>
        <w:tc>
          <w:tcPr>
            <w:tcW w:w="120" w:type="dxa"/>
            <w:vAlign w:val="bottom"/>
            <w:shd w:val="clear" w:color="auto" w:fill="EAF9E8"/>
          </w:tcPr>
          <w:p>
            <w:pPr>
              <w:jc w:val="right"/>
              <w:spacing w:after="0" w:line="142" w:lineRule="exact"/>
              <w:rPr>
                <w:sz w:val="20"/>
                <w:szCs w:val="20"/>
                <w:color w:val="auto"/>
              </w:rPr>
            </w:pPr>
            <w:r>
              <w:rPr>
                <w:rFonts w:ascii="Arial" w:cs="Arial" w:eastAsia="Arial" w:hAnsi="Arial"/>
                <w:sz w:val="14"/>
                <w:szCs w:val="14"/>
                <w:color w:val="auto"/>
                <w:w w:val="76"/>
              </w:rPr>
              <w:t>$</w:t>
            </w:r>
          </w:p>
        </w:tc>
        <w:tc>
          <w:tcPr>
            <w:tcW w:w="680" w:type="dxa"/>
            <w:vAlign w:val="bottom"/>
            <w:shd w:val="clear" w:color="auto" w:fill="EAF9E8"/>
          </w:tcPr>
          <w:p>
            <w:pPr>
              <w:jc w:val="right"/>
              <w:spacing w:after="0" w:line="142" w:lineRule="exact"/>
              <w:rPr>
                <w:sz w:val="20"/>
                <w:szCs w:val="20"/>
                <w:color w:val="auto"/>
              </w:rPr>
            </w:pPr>
            <w:r>
              <w:rPr>
                <w:rFonts w:ascii="Arial" w:cs="Arial" w:eastAsia="Arial" w:hAnsi="Arial"/>
                <w:sz w:val="14"/>
                <w:szCs w:val="14"/>
                <w:color w:val="auto"/>
              </w:rPr>
              <w:t>86,512</w:t>
            </w:r>
          </w:p>
        </w:tc>
        <w:tc>
          <w:tcPr>
            <w:tcW w:w="140" w:type="dxa"/>
            <w:vAlign w:val="bottom"/>
            <w:shd w:val="clear" w:color="auto" w:fill="EAF9E8"/>
          </w:tcPr>
          <w:p>
            <w:pPr>
              <w:spacing w:after="0"/>
              <w:rPr>
                <w:sz w:val="12"/>
                <w:szCs w:val="12"/>
                <w:color w:val="auto"/>
              </w:rPr>
            </w:pPr>
          </w:p>
        </w:tc>
        <w:tc>
          <w:tcPr>
            <w:tcW w:w="180" w:type="dxa"/>
            <w:vAlign w:val="bottom"/>
            <w:gridSpan w:val="2"/>
            <w:shd w:val="clear" w:color="auto" w:fill="EAF9E8"/>
          </w:tcPr>
          <w:p>
            <w:pPr>
              <w:jc w:val="right"/>
              <w:ind w:right="40"/>
              <w:spacing w:after="0" w:line="142"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EAF9E8"/>
          </w:tcPr>
          <w:p>
            <w:pPr>
              <w:jc w:val="right"/>
              <w:ind w:right="220"/>
              <w:spacing w:after="0" w:line="142" w:lineRule="exact"/>
              <w:rPr>
                <w:sz w:val="20"/>
                <w:szCs w:val="20"/>
                <w:color w:val="auto"/>
              </w:rPr>
            </w:pPr>
            <w:r>
              <w:rPr>
                <w:rFonts w:ascii="Arial" w:cs="Arial" w:eastAsia="Arial" w:hAnsi="Arial"/>
                <w:sz w:val="14"/>
                <w:szCs w:val="14"/>
                <w:color w:val="auto"/>
              </w:rPr>
              <w:t>—</w:t>
            </w:r>
          </w:p>
        </w:tc>
        <w:tc>
          <w:tcPr>
            <w:tcW w:w="140" w:type="dxa"/>
            <w:vAlign w:val="bottom"/>
            <w:shd w:val="clear" w:color="auto" w:fill="EAF9E8"/>
          </w:tcPr>
          <w:p>
            <w:pPr>
              <w:jc w:val="right"/>
              <w:ind w:right="27"/>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EAF9E8"/>
          </w:tcPr>
          <w:p>
            <w:pPr>
              <w:jc w:val="right"/>
              <w:spacing w:after="0" w:line="142" w:lineRule="exact"/>
              <w:rPr>
                <w:sz w:val="20"/>
                <w:szCs w:val="20"/>
                <w:color w:val="auto"/>
              </w:rPr>
            </w:pPr>
            <w:r>
              <w:rPr>
                <w:rFonts w:ascii="Arial" w:cs="Arial" w:eastAsia="Arial" w:hAnsi="Arial"/>
                <w:sz w:val="14"/>
                <w:szCs w:val="14"/>
                <w:color w:val="auto"/>
              </w:rPr>
              <w:t>1,051</w:t>
            </w:r>
          </w:p>
        </w:tc>
        <w:tc>
          <w:tcPr>
            <w:tcW w:w="220" w:type="dxa"/>
            <w:vAlign w:val="bottom"/>
            <w:shd w:val="clear" w:color="auto" w:fill="EAF9E8"/>
          </w:tcPr>
          <w:p>
            <w:pPr>
              <w:spacing w:after="0"/>
              <w:rPr>
                <w:sz w:val="12"/>
                <w:szCs w:val="12"/>
                <w:color w:val="auto"/>
              </w:rPr>
            </w:pPr>
          </w:p>
        </w:tc>
        <w:tc>
          <w:tcPr>
            <w:tcW w:w="100" w:type="dxa"/>
            <w:vAlign w:val="bottom"/>
            <w:shd w:val="clear" w:color="auto" w:fill="EAF9E8"/>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EAF9E8"/>
          </w:tcPr>
          <w:p>
            <w:pPr>
              <w:jc w:val="right"/>
              <w:spacing w:after="0" w:line="142" w:lineRule="exact"/>
              <w:rPr>
                <w:sz w:val="20"/>
                <w:szCs w:val="20"/>
                <w:color w:val="auto"/>
              </w:rPr>
            </w:pPr>
            <w:r>
              <w:rPr>
                <w:rFonts w:ascii="Arial" w:cs="Arial" w:eastAsia="Arial" w:hAnsi="Arial"/>
                <w:sz w:val="14"/>
                <w:szCs w:val="14"/>
                <w:color w:val="auto"/>
              </w:rPr>
              <w:t>16,755</w:t>
            </w:r>
          </w:p>
        </w:tc>
        <w:tc>
          <w:tcPr>
            <w:tcW w:w="100" w:type="dxa"/>
            <w:vAlign w:val="bottom"/>
            <w:shd w:val="clear" w:color="auto" w:fill="EAF9E8"/>
          </w:tcPr>
          <w:p>
            <w:pPr>
              <w:spacing w:after="0"/>
              <w:rPr>
                <w:sz w:val="12"/>
                <w:szCs w:val="12"/>
                <w:color w:val="auto"/>
              </w:rPr>
            </w:pPr>
          </w:p>
        </w:tc>
        <w:tc>
          <w:tcPr>
            <w:tcW w:w="220" w:type="dxa"/>
            <w:vAlign w:val="bottom"/>
            <w:gridSpan w:val="2"/>
            <w:shd w:val="clear" w:color="auto" w:fill="EAF9E8"/>
          </w:tcPr>
          <w:p>
            <w:pPr>
              <w:jc w:val="right"/>
              <w:ind w:right="40"/>
              <w:spacing w:after="0" w:line="142" w:lineRule="exact"/>
              <w:rPr>
                <w:sz w:val="20"/>
                <w:szCs w:val="20"/>
                <w:color w:val="auto"/>
              </w:rPr>
            </w:pPr>
            <w:r>
              <w:rPr>
                <w:rFonts w:ascii="Arial" w:cs="Arial" w:eastAsia="Arial" w:hAnsi="Arial"/>
                <w:sz w:val="14"/>
                <w:szCs w:val="14"/>
                <w:color w:val="auto"/>
              </w:rPr>
              <w:t>$</w:t>
            </w:r>
          </w:p>
        </w:tc>
        <w:tc>
          <w:tcPr>
            <w:tcW w:w="700" w:type="dxa"/>
            <w:vAlign w:val="bottom"/>
            <w:shd w:val="clear" w:color="auto" w:fill="EAF9E8"/>
          </w:tcPr>
          <w:p>
            <w:pPr>
              <w:jc w:val="right"/>
              <w:spacing w:after="0" w:line="142" w:lineRule="exact"/>
              <w:rPr>
                <w:sz w:val="20"/>
                <w:szCs w:val="20"/>
                <w:color w:val="auto"/>
              </w:rPr>
            </w:pPr>
            <w:r>
              <w:rPr>
                <w:rFonts w:ascii="Arial" w:cs="Arial" w:eastAsia="Arial" w:hAnsi="Arial"/>
                <w:sz w:val="14"/>
                <w:szCs w:val="14"/>
                <w:color w:val="auto"/>
              </w:rPr>
              <w:t>19,499</w:t>
            </w:r>
          </w:p>
        </w:tc>
        <w:tc>
          <w:tcPr>
            <w:tcW w:w="220" w:type="dxa"/>
            <w:vAlign w:val="bottom"/>
            <w:shd w:val="clear" w:color="auto" w:fill="EAF9E8"/>
          </w:tcPr>
          <w:p>
            <w:pPr>
              <w:spacing w:after="0"/>
              <w:rPr>
                <w:sz w:val="12"/>
                <w:szCs w:val="12"/>
                <w:color w:val="auto"/>
              </w:rPr>
            </w:pPr>
          </w:p>
        </w:tc>
        <w:tc>
          <w:tcPr>
            <w:tcW w:w="80" w:type="dxa"/>
            <w:vAlign w:val="bottom"/>
            <w:shd w:val="clear" w:color="auto" w:fill="EAF9E8"/>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EAF9E8"/>
          </w:tcPr>
          <w:p>
            <w:pPr>
              <w:jc w:val="right"/>
              <w:spacing w:after="0" w:line="142" w:lineRule="exact"/>
              <w:rPr>
                <w:sz w:val="20"/>
                <w:szCs w:val="20"/>
                <w:color w:val="auto"/>
              </w:rPr>
            </w:pPr>
            <w:r>
              <w:rPr>
                <w:rFonts w:ascii="Arial" w:cs="Arial" w:eastAsia="Arial" w:hAnsi="Arial"/>
                <w:sz w:val="14"/>
                <w:szCs w:val="14"/>
                <w:color w:val="auto"/>
              </w:rPr>
              <w:t>10,484</w:t>
            </w:r>
          </w:p>
        </w:tc>
        <w:tc>
          <w:tcPr>
            <w:tcW w:w="140" w:type="dxa"/>
            <w:vAlign w:val="bottom"/>
            <w:shd w:val="clear" w:color="auto" w:fill="EAF9E8"/>
          </w:tcPr>
          <w:p>
            <w:pPr>
              <w:spacing w:after="0"/>
              <w:rPr>
                <w:sz w:val="12"/>
                <w:szCs w:val="12"/>
                <w:color w:val="auto"/>
              </w:rPr>
            </w:pPr>
          </w:p>
        </w:tc>
        <w:tc>
          <w:tcPr>
            <w:tcW w:w="200" w:type="dxa"/>
            <w:vAlign w:val="bottom"/>
            <w:gridSpan w:val="2"/>
            <w:shd w:val="clear" w:color="auto" w:fill="EAF9E8"/>
          </w:tcPr>
          <w:p>
            <w:pPr>
              <w:jc w:val="right"/>
              <w:ind w:right="40"/>
              <w:spacing w:after="0" w:line="142" w:lineRule="exact"/>
              <w:rPr>
                <w:sz w:val="20"/>
                <w:szCs w:val="20"/>
                <w:color w:val="auto"/>
              </w:rPr>
            </w:pPr>
            <w:r>
              <w:rPr>
                <w:rFonts w:ascii="Arial" w:cs="Arial" w:eastAsia="Arial" w:hAnsi="Arial"/>
                <w:sz w:val="14"/>
                <w:szCs w:val="14"/>
                <w:color w:val="auto"/>
              </w:rPr>
              <w:t>$</w:t>
            </w:r>
          </w:p>
        </w:tc>
        <w:tc>
          <w:tcPr>
            <w:tcW w:w="720" w:type="dxa"/>
            <w:vAlign w:val="bottom"/>
            <w:shd w:val="clear" w:color="auto" w:fill="EAF9E8"/>
          </w:tcPr>
          <w:p>
            <w:pPr>
              <w:jc w:val="right"/>
              <w:spacing w:after="0" w:line="142" w:lineRule="exact"/>
              <w:rPr>
                <w:sz w:val="20"/>
                <w:szCs w:val="20"/>
                <w:color w:val="auto"/>
              </w:rPr>
            </w:pPr>
            <w:r>
              <w:rPr>
                <w:rFonts w:ascii="Arial" w:cs="Arial" w:eastAsia="Arial" w:hAnsi="Arial"/>
                <w:sz w:val="14"/>
                <w:szCs w:val="14"/>
                <w:color w:val="auto"/>
              </w:rPr>
              <w:t>5</w:t>
            </w:r>
          </w:p>
        </w:tc>
        <w:tc>
          <w:tcPr>
            <w:tcW w:w="140" w:type="dxa"/>
            <w:vAlign w:val="bottom"/>
            <w:shd w:val="clear" w:color="auto" w:fill="EAF9E8"/>
          </w:tcPr>
          <w:p>
            <w:pPr>
              <w:spacing w:after="0"/>
              <w:rPr>
                <w:sz w:val="12"/>
                <w:szCs w:val="12"/>
                <w:color w:val="auto"/>
              </w:rPr>
            </w:pPr>
          </w:p>
        </w:tc>
        <w:tc>
          <w:tcPr>
            <w:tcW w:w="160" w:type="dxa"/>
            <w:vAlign w:val="bottom"/>
            <w:gridSpan w:val="2"/>
            <w:shd w:val="clear" w:color="auto" w:fill="EAF9E8"/>
          </w:tcPr>
          <w:p>
            <w:pPr>
              <w:jc w:val="right"/>
              <w:spacing w:after="0" w:line="142"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EAF9E8"/>
          </w:tcPr>
          <w:p>
            <w:pPr>
              <w:jc w:val="right"/>
              <w:ind w:right="80"/>
              <w:spacing w:after="0" w:line="142" w:lineRule="exact"/>
              <w:rPr>
                <w:sz w:val="20"/>
                <w:szCs w:val="20"/>
                <w:color w:val="auto"/>
              </w:rPr>
            </w:pPr>
            <w:r>
              <w:rPr>
                <w:rFonts w:ascii="Arial" w:cs="Arial" w:eastAsia="Arial" w:hAnsi="Arial"/>
                <w:sz w:val="14"/>
                <w:szCs w:val="14"/>
                <w:color w:val="auto"/>
              </w:rPr>
              <w:t>(6,055)</w:t>
            </w:r>
          </w:p>
        </w:tc>
        <w:tc>
          <w:tcPr>
            <w:tcW w:w="220" w:type="dxa"/>
            <w:vAlign w:val="bottom"/>
            <w:gridSpan w:val="2"/>
            <w:shd w:val="clear" w:color="auto" w:fill="EAF9E8"/>
          </w:tcPr>
          <w:p>
            <w:pPr>
              <w:jc w:val="right"/>
              <w:spacing w:after="0" w:line="142" w:lineRule="exact"/>
              <w:rPr>
                <w:sz w:val="20"/>
                <w:szCs w:val="20"/>
                <w:color w:val="auto"/>
              </w:rPr>
            </w:pPr>
            <w:r>
              <w:rPr>
                <w:rFonts w:ascii="Arial" w:cs="Arial" w:eastAsia="Arial" w:hAnsi="Arial"/>
                <w:sz w:val="14"/>
                <w:szCs w:val="14"/>
                <w:color w:val="auto"/>
              </w:rPr>
              <w:t>$</w:t>
            </w:r>
          </w:p>
        </w:tc>
        <w:tc>
          <w:tcPr>
            <w:tcW w:w="720" w:type="dxa"/>
            <w:vAlign w:val="bottom"/>
            <w:shd w:val="clear" w:color="auto" w:fill="EAF9E8"/>
          </w:tcPr>
          <w:p>
            <w:pPr>
              <w:jc w:val="right"/>
              <w:spacing w:after="0" w:line="142" w:lineRule="exact"/>
              <w:rPr>
                <w:sz w:val="20"/>
                <w:szCs w:val="20"/>
                <w:color w:val="auto"/>
              </w:rPr>
            </w:pPr>
            <w:r>
              <w:rPr>
                <w:rFonts w:ascii="Arial" w:cs="Arial" w:eastAsia="Arial" w:hAnsi="Arial"/>
                <w:sz w:val="14"/>
                <w:szCs w:val="14"/>
                <w:color w:val="auto"/>
              </w:rPr>
              <w:t>128,251</w:t>
            </w:r>
          </w:p>
        </w:tc>
        <w:tc>
          <w:tcPr>
            <w:tcW w:w="120" w:type="dxa"/>
            <w:vAlign w:val="bottom"/>
            <w:shd w:val="clear" w:color="auto" w:fill="EAF9E8"/>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160" w:type="dxa"/>
            <w:vAlign w:val="bottom"/>
          </w:tcPr>
          <w:p>
            <w:pPr>
              <w:spacing w:after="0"/>
              <w:rPr>
                <w:sz w:val="14"/>
                <w:szCs w:val="14"/>
                <w:color w:val="auto"/>
              </w:rPr>
            </w:pPr>
          </w:p>
        </w:tc>
        <w:tc>
          <w:tcPr>
            <w:tcW w:w="2040" w:type="dxa"/>
            <w:vAlign w:val="bottom"/>
            <w:gridSpan w:val="4"/>
          </w:tcPr>
          <w:p>
            <w:pPr>
              <w:spacing w:after="0"/>
              <w:rPr>
                <w:sz w:val="20"/>
                <w:szCs w:val="20"/>
                <w:color w:val="auto"/>
              </w:rPr>
            </w:pPr>
            <w:r>
              <w:rPr>
                <w:rFonts w:ascii="Arial" w:cs="Arial" w:eastAsia="Arial" w:hAnsi="Arial"/>
                <w:sz w:val="14"/>
                <w:szCs w:val="14"/>
                <w:color w:val="auto"/>
              </w:rPr>
              <w:t>Operating expenses (1) (3) (4)</w:t>
            </w: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41,952</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917</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690</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13,519</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19,008</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8,882</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8,636</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4"/>
                <w:szCs w:val="14"/>
                <w:color w:val="auto"/>
              </w:rPr>
              <w:t>(5,529)</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88,075</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gridSpan w:val="2"/>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2"/>
        </w:trPr>
        <w:tc>
          <w:tcPr>
            <w:tcW w:w="160" w:type="dxa"/>
            <w:vAlign w:val="bottom"/>
            <w:shd w:val="clear" w:color="auto" w:fill="EAF9E8"/>
          </w:tcPr>
          <w:p>
            <w:pPr>
              <w:spacing w:after="0"/>
              <w:rPr>
                <w:sz w:val="12"/>
                <w:szCs w:val="12"/>
                <w:color w:val="auto"/>
              </w:rPr>
            </w:pPr>
          </w:p>
        </w:tc>
        <w:tc>
          <w:tcPr>
            <w:tcW w:w="2040" w:type="dxa"/>
            <w:vAlign w:val="bottom"/>
            <w:gridSpan w:val="4"/>
            <w:shd w:val="clear" w:color="auto" w:fill="EAF9E8"/>
          </w:tcPr>
          <w:p>
            <w:pPr>
              <w:spacing w:after="0" w:line="142" w:lineRule="exact"/>
              <w:rPr>
                <w:sz w:val="20"/>
                <w:szCs w:val="20"/>
                <w:color w:val="auto"/>
              </w:rPr>
            </w:pPr>
            <w:r>
              <w:rPr>
                <w:rFonts w:ascii="Arial" w:cs="Arial" w:eastAsia="Arial" w:hAnsi="Arial"/>
                <w:sz w:val="14"/>
                <w:szCs w:val="14"/>
                <w:color w:val="auto"/>
              </w:rPr>
              <w:t>Income (loss) from operations</w:t>
            </w:r>
          </w:p>
        </w:tc>
        <w:tc>
          <w:tcPr>
            <w:tcW w:w="120" w:type="dxa"/>
            <w:vAlign w:val="bottom"/>
            <w:tcBorders>
              <w:top w:val="single" w:sz="8" w:color="auto"/>
            </w:tcBorders>
            <w:shd w:val="clear" w:color="auto" w:fill="EAF9E8"/>
          </w:tcPr>
          <w:p>
            <w:pPr>
              <w:spacing w:after="0"/>
              <w:rPr>
                <w:sz w:val="12"/>
                <w:szCs w:val="12"/>
                <w:color w:val="auto"/>
              </w:rPr>
            </w:pPr>
          </w:p>
        </w:tc>
        <w:tc>
          <w:tcPr>
            <w:tcW w:w="680" w:type="dxa"/>
            <w:vAlign w:val="bottom"/>
            <w:tcBorders>
              <w:top w:val="single" w:sz="8" w:color="auto"/>
            </w:tcBorders>
            <w:shd w:val="clear" w:color="auto" w:fill="EAF9E8"/>
          </w:tcPr>
          <w:p>
            <w:pPr>
              <w:jc w:val="right"/>
              <w:spacing w:after="0" w:line="142" w:lineRule="exact"/>
              <w:rPr>
                <w:sz w:val="20"/>
                <w:szCs w:val="20"/>
                <w:color w:val="auto"/>
              </w:rPr>
            </w:pPr>
            <w:r>
              <w:rPr>
                <w:rFonts w:ascii="Arial" w:cs="Arial" w:eastAsia="Arial" w:hAnsi="Arial"/>
                <w:sz w:val="14"/>
                <w:szCs w:val="14"/>
                <w:color w:val="auto"/>
              </w:rPr>
              <w:t>44,560</w:t>
            </w:r>
          </w:p>
        </w:tc>
        <w:tc>
          <w:tcPr>
            <w:tcW w:w="140" w:type="dxa"/>
            <w:vAlign w:val="bottom"/>
            <w:shd w:val="clear" w:color="auto" w:fill="EAF9E8"/>
          </w:tcPr>
          <w:p>
            <w:pPr>
              <w:spacing w:after="0"/>
              <w:rPr>
                <w:sz w:val="12"/>
                <w:szCs w:val="12"/>
                <w:color w:val="auto"/>
              </w:rPr>
            </w:pPr>
          </w:p>
        </w:tc>
        <w:tc>
          <w:tcPr>
            <w:tcW w:w="80" w:type="dxa"/>
            <w:vAlign w:val="bottom"/>
            <w:shd w:val="clear" w:color="auto" w:fill="EAF9E8"/>
          </w:tcPr>
          <w:p>
            <w:pPr>
              <w:spacing w:after="0"/>
              <w:rPr>
                <w:sz w:val="12"/>
                <w:szCs w:val="12"/>
                <w:color w:val="auto"/>
              </w:rPr>
            </w:pPr>
          </w:p>
        </w:tc>
        <w:tc>
          <w:tcPr>
            <w:tcW w:w="100" w:type="dxa"/>
            <w:vAlign w:val="bottom"/>
            <w:tcBorders>
              <w:top w:val="single" w:sz="8" w:color="auto"/>
            </w:tcBorders>
            <w:shd w:val="clear" w:color="auto" w:fill="EAF9E8"/>
          </w:tcPr>
          <w:p>
            <w:pPr>
              <w:spacing w:after="0"/>
              <w:rPr>
                <w:sz w:val="12"/>
                <w:szCs w:val="12"/>
                <w:color w:val="auto"/>
              </w:rPr>
            </w:pPr>
          </w:p>
        </w:tc>
        <w:tc>
          <w:tcPr>
            <w:tcW w:w="700" w:type="dxa"/>
            <w:vAlign w:val="bottom"/>
            <w:tcBorders>
              <w:top w:val="single" w:sz="8" w:color="auto"/>
            </w:tcBorders>
            <w:shd w:val="clear" w:color="auto" w:fill="EAF9E8"/>
          </w:tcPr>
          <w:p>
            <w:pPr>
              <w:jc w:val="right"/>
              <w:spacing w:after="0" w:line="142" w:lineRule="exact"/>
              <w:rPr>
                <w:sz w:val="20"/>
                <w:szCs w:val="20"/>
                <w:color w:val="auto"/>
              </w:rPr>
            </w:pPr>
            <w:r>
              <w:rPr>
                <w:rFonts w:ascii="Arial" w:cs="Arial" w:eastAsia="Arial" w:hAnsi="Arial"/>
                <w:sz w:val="14"/>
                <w:szCs w:val="14"/>
                <w:color w:val="auto"/>
              </w:rPr>
              <w:t>(917)</w:t>
            </w:r>
          </w:p>
        </w:tc>
        <w:tc>
          <w:tcPr>
            <w:tcW w:w="220" w:type="dxa"/>
            <w:vAlign w:val="bottom"/>
            <w:shd w:val="clear" w:color="auto" w:fill="EAF9E8"/>
          </w:tcPr>
          <w:p>
            <w:pPr>
              <w:spacing w:after="0"/>
              <w:rPr>
                <w:sz w:val="12"/>
                <w:szCs w:val="12"/>
                <w:color w:val="auto"/>
              </w:rPr>
            </w:pPr>
          </w:p>
        </w:tc>
        <w:tc>
          <w:tcPr>
            <w:tcW w:w="140" w:type="dxa"/>
            <w:vAlign w:val="bottom"/>
            <w:tcBorders>
              <w:top w:val="single" w:sz="8" w:color="auto"/>
            </w:tcBorders>
            <w:shd w:val="clear" w:color="auto" w:fill="EAF9E8"/>
          </w:tcPr>
          <w:p>
            <w:pPr>
              <w:spacing w:after="0"/>
              <w:rPr>
                <w:sz w:val="12"/>
                <w:szCs w:val="12"/>
                <w:color w:val="auto"/>
              </w:rPr>
            </w:pPr>
          </w:p>
        </w:tc>
        <w:tc>
          <w:tcPr>
            <w:tcW w:w="660" w:type="dxa"/>
            <w:vAlign w:val="bottom"/>
            <w:tcBorders>
              <w:top w:val="single" w:sz="8" w:color="auto"/>
            </w:tcBorders>
            <w:shd w:val="clear" w:color="auto" w:fill="EAF9E8"/>
          </w:tcPr>
          <w:p>
            <w:pPr>
              <w:jc w:val="right"/>
              <w:spacing w:after="0" w:line="142" w:lineRule="exact"/>
              <w:rPr>
                <w:sz w:val="20"/>
                <w:szCs w:val="20"/>
                <w:color w:val="auto"/>
              </w:rPr>
            </w:pPr>
            <w:r>
              <w:rPr>
                <w:rFonts w:ascii="Arial" w:cs="Arial" w:eastAsia="Arial" w:hAnsi="Arial"/>
                <w:sz w:val="14"/>
                <w:szCs w:val="14"/>
                <w:color w:val="auto"/>
              </w:rPr>
              <w:t>361</w:t>
            </w:r>
          </w:p>
        </w:tc>
        <w:tc>
          <w:tcPr>
            <w:tcW w:w="220" w:type="dxa"/>
            <w:vAlign w:val="bottom"/>
            <w:shd w:val="clear" w:color="auto" w:fill="EAF9E8"/>
          </w:tcPr>
          <w:p>
            <w:pPr>
              <w:spacing w:after="0"/>
              <w:rPr>
                <w:sz w:val="12"/>
                <w:szCs w:val="12"/>
                <w:color w:val="auto"/>
              </w:rPr>
            </w:pPr>
          </w:p>
        </w:tc>
        <w:tc>
          <w:tcPr>
            <w:tcW w:w="100" w:type="dxa"/>
            <w:vAlign w:val="bottom"/>
            <w:tcBorders>
              <w:top w:val="single" w:sz="8" w:color="auto"/>
            </w:tcBorders>
            <w:shd w:val="clear" w:color="auto" w:fill="EAF9E8"/>
          </w:tcPr>
          <w:p>
            <w:pPr>
              <w:spacing w:after="0"/>
              <w:rPr>
                <w:sz w:val="12"/>
                <w:szCs w:val="12"/>
                <w:color w:val="auto"/>
              </w:rPr>
            </w:pPr>
          </w:p>
        </w:tc>
        <w:tc>
          <w:tcPr>
            <w:tcW w:w="720" w:type="dxa"/>
            <w:vAlign w:val="bottom"/>
            <w:tcBorders>
              <w:top w:val="single" w:sz="8" w:color="auto"/>
            </w:tcBorders>
            <w:shd w:val="clear" w:color="auto" w:fill="EAF9E8"/>
          </w:tcPr>
          <w:p>
            <w:pPr>
              <w:jc w:val="right"/>
              <w:spacing w:after="0" w:line="142" w:lineRule="exact"/>
              <w:rPr>
                <w:sz w:val="20"/>
                <w:szCs w:val="20"/>
                <w:color w:val="auto"/>
              </w:rPr>
            </w:pPr>
            <w:r>
              <w:rPr>
                <w:rFonts w:ascii="Arial" w:cs="Arial" w:eastAsia="Arial" w:hAnsi="Arial"/>
                <w:sz w:val="14"/>
                <w:szCs w:val="14"/>
                <w:color w:val="auto"/>
              </w:rPr>
              <w:t>3,236</w:t>
            </w:r>
          </w:p>
        </w:tc>
        <w:tc>
          <w:tcPr>
            <w:tcW w:w="10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120" w:type="dxa"/>
            <w:vAlign w:val="bottom"/>
            <w:tcBorders>
              <w:top w:val="single" w:sz="8" w:color="auto"/>
            </w:tcBorders>
            <w:shd w:val="clear" w:color="auto" w:fill="EAF9E8"/>
          </w:tcPr>
          <w:p>
            <w:pPr>
              <w:spacing w:after="0"/>
              <w:rPr>
                <w:sz w:val="12"/>
                <w:szCs w:val="12"/>
                <w:color w:val="auto"/>
              </w:rPr>
            </w:pPr>
          </w:p>
        </w:tc>
        <w:tc>
          <w:tcPr>
            <w:tcW w:w="700" w:type="dxa"/>
            <w:vAlign w:val="bottom"/>
            <w:tcBorders>
              <w:top w:val="single" w:sz="8" w:color="auto"/>
            </w:tcBorders>
            <w:shd w:val="clear" w:color="auto" w:fill="EAF9E8"/>
          </w:tcPr>
          <w:p>
            <w:pPr>
              <w:jc w:val="right"/>
              <w:spacing w:after="0" w:line="142" w:lineRule="exact"/>
              <w:rPr>
                <w:sz w:val="20"/>
                <w:szCs w:val="20"/>
                <w:color w:val="auto"/>
              </w:rPr>
            </w:pPr>
            <w:r>
              <w:rPr>
                <w:rFonts w:ascii="Arial" w:cs="Arial" w:eastAsia="Arial" w:hAnsi="Arial"/>
                <w:sz w:val="14"/>
                <w:szCs w:val="14"/>
                <w:color w:val="auto"/>
              </w:rPr>
              <w:t>491</w:t>
            </w:r>
          </w:p>
        </w:tc>
        <w:tc>
          <w:tcPr>
            <w:tcW w:w="220" w:type="dxa"/>
            <w:vAlign w:val="bottom"/>
            <w:shd w:val="clear" w:color="auto" w:fill="EAF9E8"/>
          </w:tcPr>
          <w:p>
            <w:pPr>
              <w:spacing w:after="0"/>
              <w:rPr>
                <w:sz w:val="12"/>
                <w:szCs w:val="12"/>
                <w:color w:val="auto"/>
              </w:rPr>
            </w:pPr>
          </w:p>
        </w:tc>
        <w:tc>
          <w:tcPr>
            <w:tcW w:w="80" w:type="dxa"/>
            <w:vAlign w:val="bottom"/>
            <w:tcBorders>
              <w:top w:val="single" w:sz="8" w:color="auto"/>
            </w:tcBorders>
            <w:shd w:val="clear" w:color="auto" w:fill="EAF9E8"/>
          </w:tcPr>
          <w:p>
            <w:pPr>
              <w:spacing w:after="0"/>
              <w:rPr>
                <w:sz w:val="12"/>
                <w:szCs w:val="12"/>
                <w:color w:val="auto"/>
              </w:rPr>
            </w:pPr>
          </w:p>
        </w:tc>
        <w:tc>
          <w:tcPr>
            <w:tcW w:w="720" w:type="dxa"/>
            <w:vAlign w:val="bottom"/>
            <w:tcBorders>
              <w:top w:val="single" w:sz="8" w:color="auto"/>
            </w:tcBorders>
            <w:shd w:val="clear" w:color="auto" w:fill="EAF9E8"/>
          </w:tcPr>
          <w:p>
            <w:pPr>
              <w:jc w:val="right"/>
              <w:spacing w:after="0" w:line="142" w:lineRule="exact"/>
              <w:rPr>
                <w:sz w:val="20"/>
                <w:szCs w:val="20"/>
                <w:color w:val="auto"/>
              </w:rPr>
            </w:pPr>
            <w:r>
              <w:rPr>
                <w:rFonts w:ascii="Arial" w:cs="Arial" w:eastAsia="Arial" w:hAnsi="Arial"/>
                <w:sz w:val="14"/>
                <w:szCs w:val="14"/>
                <w:color w:val="auto"/>
              </w:rPr>
              <w:t>1,602</w:t>
            </w:r>
          </w:p>
        </w:tc>
        <w:tc>
          <w:tcPr>
            <w:tcW w:w="14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100" w:type="dxa"/>
            <w:vAlign w:val="bottom"/>
            <w:tcBorders>
              <w:top w:val="single" w:sz="8" w:color="auto"/>
            </w:tcBorders>
            <w:shd w:val="clear" w:color="auto" w:fill="EAF9E8"/>
          </w:tcPr>
          <w:p>
            <w:pPr>
              <w:spacing w:after="0"/>
              <w:rPr>
                <w:sz w:val="12"/>
                <w:szCs w:val="12"/>
                <w:color w:val="auto"/>
              </w:rPr>
            </w:pPr>
          </w:p>
        </w:tc>
        <w:tc>
          <w:tcPr>
            <w:tcW w:w="720" w:type="dxa"/>
            <w:vAlign w:val="bottom"/>
            <w:tcBorders>
              <w:top w:val="single" w:sz="8" w:color="auto"/>
            </w:tcBorders>
            <w:shd w:val="clear" w:color="auto" w:fill="EAF9E8"/>
          </w:tcPr>
          <w:p>
            <w:pPr>
              <w:jc w:val="right"/>
              <w:spacing w:after="0" w:line="142" w:lineRule="exact"/>
              <w:rPr>
                <w:sz w:val="20"/>
                <w:szCs w:val="20"/>
                <w:color w:val="auto"/>
              </w:rPr>
            </w:pPr>
            <w:r>
              <w:rPr>
                <w:rFonts w:ascii="Arial" w:cs="Arial" w:eastAsia="Arial" w:hAnsi="Arial"/>
                <w:sz w:val="14"/>
                <w:szCs w:val="14"/>
                <w:color w:val="auto"/>
              </w:rPr>
              <w:t>(8,631)</w:t>
            </w:r>
          </w:p>
        </w:tc>
        <w:tc>
          <w:tcPr>
            <w:tcW w:w="140" w:type="dxa"/>
            <w:vAlign w:val="bottom"/>
            <w:shd w:val="clear" w:color="auto" w:fill="EAF9E8"/>
          </w:tcPr>
          <w:p>
            <w:pPr>
              <w:spacing w:after="0"/>
              <w:rPr>
                <w:sz w:val="12"/>
                <w:szCs w:val="12"/>
                <w:color w:val="auto"/>
              </w:rPr>
            </w:pPr>
          </w:p>
        </w:tc>
        <w:tc>
          <w:tcPr>
            <w:tcW w:w="80" w:type="dxa"/>
            <w:vAlign w:val="bottom"/>
            <w:shd w:val="clear" w:color="auto" w:fill="EAF9E8"/>
          </w:tcPr>
          <w:p>
            <w:pPr>
              <w:spacing w:after="0"/>
              <w:rPr>
                <w:sz w:val="12"/>
                <w:szCs w:val="12"/>
                <w:color w:val="auto"/>
              </w:rPr>
            </w:pPr>
          </w:p>
        </w:tc>
        <w:tc>
          <w:tcPr>
            <w:tcW w:w="80" w:type="dxa"/>
            <w:vAlign w:val="bottom"/>
            <w:tcBorders>
              <w:top w:val="single" w:sz="8" w:color="auto"/>
            </w:tcBorders>
            <w:shd w:val="clear" w:color="auto" w:fill="EAF9E8"/>
          </w:tcPr>
          <w:p>
            <w:pPr>
              <w:spacing w:after="0"/>
              <w:rPr>
                <w:sz w:val="12"/>
                <w:szCs w:val="12"/>
                <w:color w:val="auto"/>
              </w:rPr>
            </w:pPr>
          </w:p>
        </w:tc>
        <w:tc>
          <w:tcPr>
            <w:tcW w:w="760" w:type="dxa"/>
            <w:vAlign w:val="bottom"/>
            <w:tcBorders>
              <w:top w:val="single" w:sz="8" w:color="auto"/>
            </w:tcBorders>
            <w:shd w:val="clear" w:color="auto" w:fill="EAF9E8"/>
          </w:tcPr>
          <w:p>
            <w:pPr>
              <w:jc w:val="right"/>
              <w:spacing w:after="0" w:line="142" w:lineRule="exact"/>
              <w:rPr>
                <w:sz w:val="20"/>
                <w:szCs w:val="20"/>
                <w:color w:val="auto"/>
              </w:rPr>
            </w:pPr>
            <w:r>
              <w:rPr>
                <w:rFonts w:ascii="Arial" w:cs="Arial" w:eastAsia="Arial" w:hAnsi="Arial"/>
                <w:sz w:val="14"/>
                <w:szCs w:val="14"/>
                <w:color w:val="auto"/>
              </w:rPr>
              <w:t>(526)</w:t>
            </w:r>
          </w:p>
        </w:tc>
        <w:tc>
          <w:tcPr>
            <w:tcW w:w="12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120" w:type="dxa"/>
            <w:vAlign w:val="bottom"/>
            <w:tcBorders>
              <w:top w:val="single" w:sz="8" w:color="auto"/>
            </w:tcBorders>
            <w:shd w:val="clear" w:color="auto" w:fill="EAF9E8"/>
          </w:tcPr>
          <w:p>
            <w:pPr>
              <w:spacing w:after="0"/>
              <w:rPr>
                <w:sz w:val="12"/>
                <w:szCs w:val="12"/>
                <w:color w:val="auto"/>
              </w:rPr>
            </w:pPr>
          </w:p>
        </w:tc>
        <w:tc>
          <w:tcPr>
            <w:tcW w:w="720" w:type="dxa"/>
            <w:vAlign w:val="bottom"/>
            <w:tcBorders>
              <w:top w:val="single" w:sz="8" w:color="auto"/>
            </w:tcBorders>
            <w:shd w:val="clear" w:color="auto" w:fill="EAF9E8"/>
          </w:tcPr>
          <w:p>
            <w:pPr>
              <w:jc w:val="right"/>
              <w:spacing w:after="0" w:line="142" w:lineRule="exact"/>
              <w:rPr>
                <w:sz w:val="20"/>
                <w:szCs w:val="20"/>
                <w:color w:val="auto"/>
              </w:rPr>
            </w:pPr>
            <w:r>
              <w:rPr>
                <w:rFonts w:ascii="Arial" w:cs="Arial" w:eastAsia="Arial" w:hAnsi="Arial"/>
                <w:sz w:val="14"/>
                <w:szCs w:val="14"/>
                <w:color w:val="auto"/>
              </w:rPr>
              <w:t>40,176</w:t>
            </w:r>
          </w:p>
        </w:tc>
        <w:tc>
          <w:tcPr>
            <w:tcW w:w="120" w:type="dxa"/>
            <w:vAlign w:val="bottom"/>
            <w:shd w:val="clear" w:color="auto" w:fill="EAF9E8"/>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160" w:type="dxa"/>
            <w:vAlign w:val="bottom"/>
          </w:tcPr>
          <w:p>
            <w:pPr>
              <w:spacing w:after="0"/>
              <w:rPr>
                <w:sz w:val="21"/>
                <w:szCs w:val="21"/>
                <w:color w:val="auto"/>
              </w:rPr>
            </w:pPr>
          </w:p>
        </w:tc>
        <w:tc>
          <w:tcPr>
            <w:tcW w:w="2040" w:type="dxa"/>
            <w:vAlign w:val="bottom"/>
            <w:gridSpan w:val="4"/>
            <w:vMerge w:val="restart"/>
          </w:tcPr>
          <w:p>
            <w:pPr>
              <w:spacing w:after="0"/>
              <w:rPr>
                <w:sz w:val="20"/>
                <w:szCs w:val="20"/>
                <w:color w:val="auto"/>
              </w:rPr>
            </w:pPr>
            <w:r>
              <w:rPr>
                <w:rFonts w:ascii="Arial" w:cs="Arial" w:eastAsia="Arial" w:hAnsi="Arial"/>
                <w:sz w:val="14"/>
                <w:szCs w:val="14"/>
                <w:color w:val="auto"/>
              </w:rPr>
              <w:t>Other income (expense), net:</w:t>
            </w:r>
          </w:p>
        </w:tc>
        <w:tc>
          <w:tcPr>
            <w:tcW w:w="1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2"/>
        </w:trPr>
        <w:tc>
          <w:tcPr>
            <w:tcW w:w="160" w:type="dxa"/>
            <w:vAlign w:val="bottom"/>
          </w:tcPr>
          <w:p>
            <w:pPr>
              <w:spacing w:after="0"/>
              <w:rPr>
                <w:sz w:val="12"/>
                <w:szCs w:val="12"/>
                <w:color w:val="auto"/>
              </w:rPr>
            </w:pPr>
          </w:p>
        </w:tc>
        <w:tc>
          <w:tcPr>
            <w:tcW w:w="2040" w:type="dxa"/>
            <w:vAlign w:val="bottom"/>
            <w:gridSpan w:val="4"/>
            <w:vMerge w:val="continue"/>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0" w:type="dxa"/>
            <w:vAlign w:val="bottom"/>
            <w:shd w:val="clear" w:color="auto" w:fill="EAF9E8"/>
          </w:tcPr>
          <w:p>
            <w:pPr>
              <w:spacing w:after="0"/>
              <w:rPr>
                <w:sz w:val="12"/>
                <w:szCs w:val="12"/>
                <w:color w:val="auto"/>
              </w:rPr>
            </w:pPr>
          </w:p>
        </w:tc>
        <w:tc>
          <w:tcPr>
            <w:tcW w:w="160" w:type="dxa"/>
            <w:vAlign w:val="bottom"/>
            <w:shd w:val="clear" w:color="auto" w:fill="EAF9E8"/>
          </w:tcPr>
          <w:p>
            <w:pPr>
              <w:spacing w:after="0"/>
              <w:rPr>
                <w:sz w:val="12"/>
                <w:szCs w:val="12"/>
                <w:color w:val="auto"/>
              </w:rPr>
            </w:pPr>
          </w:p>
        </w:tc>
        <w:tc>
          <w:tcPr>
            <w:tcW w:w="1880" w:type="dxa"/>
            <w:vAlign w:val="bottom"/>
            <w:gridSpan w:val="3"/>
            <w:shd w:val="clear" w:color="auto" w:fill="EAF9E8"/>
          </w:tcPr>
          <w:p>
            <w:pPr>
              <w:spacing w:after="0" w:line="149" w:lineRule="exact"/>
              <w:rPr>
                <w:sz w:val="20"/>
                <w:szCs w:val="20"/>
                <w:color w:val="auto"/>
              </w:rPr>
            </w:pPr>
            <w:r>
              <w:rPr>
                <w:rFonts w:ascii="Arial" w:cs="Arial" w:eastAsia="Arial" w:hAnsi="Arial"/>
                <w:sz w:val="14"/>
                <w:szCs w:val="14"/>
                <w:color w:val="auto"/>
              </w:rPr>
              <w:t>Interest income</w:t>
            </w:r>
          </w:p>
        </w:tc>
        <w:tc>
          <w:tcPr>
            <w:tcW w:w="120" w:type="dxa"/>
            <w:vAlign w:val="bottom"/>
            <w:shd w:val="clear" w:color="auto" w:fill="EAF9E8"/>
          </w:tcPr>
          <w:p>
            <w:pPr>
              <w:spacing w:after="0"/>
              <w:rPr>
                <w:sz w:val="12"/>
                <w:szCs w:val="12"/>
                <w:color w:val="auto"/>
              </w:rPr>
            </w:pPr>
          </w:p>
        </w:tc>
        <w:tc>
          <w:tcPr>
            <w:tcW w:w="68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rPr>
              <w:t>399</w:t>
            </w:r>
          </w:p>
        </w:tc>
        <w:tc>
          <w:tcPr>
            <w:tcW w:w="140" w:type="dxa"/>
            <w:vAlign w:val="bottom"/>
            <w:shd w:val="clear" w:color="auto" w:fill="EAF9E8"/>
          </w:tcPr>
          <w:p>
            <w:pPr>
              <w:spacing w:after="0"/>
              <w:rPr>
                <w:sz w:val="12"/>
                <w:szCs w:val="12"/>
                <w:color w:val="auto"/>
              </w:rPr>
            </w:pPr>
          </w:p>
        </w:tc>
        <w:tc>
          <w:tcPr>
            <w:tcW w:w="8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70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rPr>
              <w:t>3,656</w:t>
            </w:r>
          </w:p>
        </w:tc>
        <w:tc>
          <w:tcPr>
            <w:tcW w:w="220" w:type="dxa"/>
            <w:vAlign w:val="bottom"/>
            <w:shd w:val="clear" w:color="auto" w:fill="EAF9E8"/>
          </w:tcPr>
          <w:p>
            <w:pPr>
              <w:spacing w:after="0"/>
              <w:rPr>
                <w:sz w:val="12"/>
                <w:szCs w:val="12"/>
                <w:color w:val="auto"/>
              </w:rPr>
            </w:pPr>
          </w:p>
        </w:tc>
        <w:tc>
          <w:tcPr>
            <w:tcW w:w="140" w:type="dxa"/>
            <w:vAlign w:val="bottom"/>
            <w:shd w:val="clear" w:color="auto" w:fill="EAF9E8"/>
          </w:tcPr>
          <w:p>
            <w:pPr>
              <w:spacing w:after="0"/>
              <w:rPr>
                <w:sz w:val="12"/>
                <w:szCs w:val="12"/>
                <w:color w:val="auto"/>
              </w:rPr>
            </w:pPr>
          </w:p>
        </w:tc>
        <w:tc>
          <w:tcPr>
            <w:tcW w:w="880" w:type="dxa"/>
            <w:vAlign w:val="bottom"/>
            <w:gridSpan w:val="2"/>
            <w:shd w:val="clear" w:color="auto" w:fill="EAF9E8"/>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EAF9E8"/>
          </w:tcPr>
          <w:p>
            <w:pPr>
              <w:spacing w:after="0"/>
              <w:rPr>
                <w:sz w:val="12"/>
                <w:szCs w:val="12"/>
                <w:color w:val="auto"/>
              </w:rPr>
            </w:pPr>
          </w:p>
        </w:tc>
        <w:tc>
          <w:tcPr>
            <w:tcW w:w="72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rPr>
              <w:t>39</w:t>
            </w:r>
          </w:p>
        </w:tc>
        <w:tc>
          <w:tcPr>
            <w:tcW w:w="10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120" w:type="dxa"/>
            <w:vAlign w:val="bottom"/>
            <w:shd w:val="clear" w:color="auto" w:fill="EAF9E8"/>
          </w:tcPr>
          <w:p>
            <w:pPr>
              <w:spacing w:after="0"/>
              <w:rPr>
                <w:sz w:val="12"/>
                <w:szCs w:val="12"/>
                <w:color w:val="auto"/>
              </w:rPr>
            </w:pPr>
          </w:p>
        </w:tc>
        <w:tc>
          <w:tcPr>
            <w:tcW w:w="70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rPr>
              <w:t>13</w:t>
            </w:r>
          </w:p>
        </w:tc>
        <w:tc>
          <w:tcPr>
            <w:tcW w:w="220" w:type="dxa"/>
            <w:vAlign w:val="bottom"/>
            <w:shd w:val="clear" w:color="auto" w:fill="EAF9E8"/>
          </w:tcPr>
          <w:p>
            <w:pPr>
              <w:spacing w:after="0"/>
              <w:rPr>
                <w:sz w:val="12"/>
                <w:szCs w:val="12"/>
                <w:color w:val="auto"/>
              </w:rPr>
            </w:pPr>
          </w:p>
        </w:tc>
        <w:tc>
          <w:tcPr>
            <w:tcW w:w="80" w:type="dxa"/>
            <w:vAlign w:val="bottom"/>
            <w:shd w:val="clear" w:color="auto" w:fill="EAF9E8"/>
          </w:tcPr>
          <w:p>
            <w:pPr>
              <w:spacing w:after="0"/>
              <w:rPr>
                <w:sz w:val="12"/>
                <w:szCs w:val="12"/>
                <w:color w:val="auto"/>
              </w:rPr>
            </w:pPr>
          </w:p>
        </w:tc>
        <w:tc>
          <w:tcPr>
            <w:tcW w:w="860" w:type="dxa"/>
            <w:vAlign w:val="bottom"/>
            <w:gridSpan w:val="2"/>
            <w:shd w:val="clear" w:color="auto" w:fill="EAF9E8"/>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72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rPr>
              <w:t>706</w:t>
            </w:r>
          </w:p>
        </w:tc>
        <w:tc>
          <w:tcPr>
            <w:tcW w:w="140" w:type="dxa"/>
            <w:vAlign w:val="bottom"/>
            <w:shd w:val="clear" w:color="auto" w:fill="EAF9E8"/>
          </w:tcPr>
          <w:p>
            <w:pPr>
              <w:spacing w:after="0"/>
              <w:rPr>
                <w:sz w:val="12"/>
                <w:szCs w:val="12"/>
                <w:color w:val="auto"/>
              </w:rPr>
            </w:pPr>
          </w:p>
        </w:tc>
        <w:tc>
          <w:tcPr>
            <w:tcW w:w="80" w:type="dxa"/>
            <w:vAlign w:val="bottom"/>
            <w:shd w:val="clear" w:color="auto" w:fill="EAF9E8"/>
          </w:tcPr>
          <w:p>
            <w:pPr>
              <w:spacing w:after="0"/>
              <w:rPr>
                <w:sz w:val="12"/>
                <w:szCs w:val="12"/>
                <w:color w:val="auto"/>
              </w:rPr>
            </w:pPr>
          </w:p>
        </w:tc>
        <w:tc>
          <w:tcPr>
            <w:tcW w:w="80" w:type="dxa"/>
            <w:vAlign w:val="bottom"/>
            <w:shd w:val="clear" w:color="auto" w:fill="EAF9E8"/>
          </w:tcPr>
          <w:p>
            <w:pPr>
              <w:spacing w:after="0"/>
              <w:rPr>
                <w:sz w:val="12"/>
                <w:szCs w:val="12"/>
                <w:color w:val="auto"/>
              </w:rPr>
            </w:pPr>
          </w:p>
        </w:tc>
        <w:tc>
          <w:tcPr>
            <w:tcW w:w="880" w:type="dxa"/>
            <w:vAlign w:val="bottom"/>
            <w:gridSpan w:val="2"/>
            <w:shd w:val="clear" w:color="auto" w:fill="EAF9E8"/>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EAF9E8"/>
          </w:tcPr>
          <w:p>
            <w:pPr>
              <w:spacing w:after="0"/>
              <w:rPr>
                <w:sz w:val="12"/>
                <w:szCs w:val="12"/>
                <w:color w:val="auto"/>
              </w:rPr>
            </w:pPr>
          </w:p>
        </w:tc>
        <w:tc>
          <w:tcPr>
            <w:tcW w:w="120" w:type="dxa"/>
            <w:vAlign w:val="bottom"/>
            <w:shd w:val="clear" w:color="auto" w:fill="EAF9E8"/>
          </w:tcPr>
          <w:p>
            <w:pPr>
              <w:spacing w:after="0"/>
              <w:rPr>
                <w:sz w:val="12"/>
                <w:szCs w:val="12"/>
                <w:color w:val="auto"/>
              </w:rPr>
            </w:pPr>
          </w:p>
        </w:tc>
        <w:tc>
          <w:tcPr>
            <w:tcW w:w="72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rPr>
              <w:t>4,813</w:t>
            </w:r>
          </w:p>
        </w:tc>
        <w:tc>
          <w:tcPr>
            <w:tcW w:w="120" w:type="dxa"/>
            <w:vAlign w:val="bottom"/>
            <w:shd w:val="clear" w:color="auto" w:fill="EAF9E8"/>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80" w:type="dxa"/>
            <w:vAlign w:val="bottom"/>
            <w:gridSpan w:val="3"/>
          </w:tcPr>
          <w:p>
            <w:pPr>
              <w:spacing w:after="0" w:line="149" w:lineRule="exact"/>
              <w:rPr>
                <w:sz w:val="20"/>
                <w:szCs w:val="20"/>
                <w:color w:val="auto"/>
              </w:rPr>
            </w:pPr>
            <w:r>
              <w:rPr>
                <w:rFonts w:ascii="Arial" w:cs="Arial" w:eastAsia="Arial" w:hAnsi="Arial"/>
                <w:sz w:val="14"/>
                <w:szCs w:val="14"/>
                <w:color w:val="auto"/>
              </w:rPr>
              <w:t>Interest expense</w:t>
            </w:r>
          </w:p>
        </w:tc>
        <w:tc>
          <w:tcPr>
            <w:tcW w:w="120" w:type="dxa"/>
            <w:vAlign w:val="bottom"/>
          </w:tcPr>
          <w:p>
            <w:pPr>
              <w:spacing w:after="0"/>
              <w:rPr>
                <w:sz w:val="12"/>
                <w:szCs w:val="12"/>
                <w:color w:val="auto"/>
              </w:rPr>
            </w:pPr>
          </w:p>
        </w:tc>
        <w:tc>
          <w:tcPr>
            <w:tcW w:w="8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(23,005)</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(856)</w:t>
            </w:r>
          </w:p>
        </w:tc>
        <w:tc>
          <w:tcPr>
            <w:tcW w:w="140" w:type="dxa"/>
            <w:vAlign w:val="bottom"/>
          </w:tcPr>
          <w:p>
            <w:pPr>
              <w:spacing w:after="0"/>
              <w:rPr>
                <w:sz w:val="12"/>
                <w:szCs w:val="12"/>
                <w:color w:val="auto"/>
              </w:rPr>
            </w:pP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(122)</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(492)</w:t>
            </w:r>
          </w:p>
        </w:tc>
        <w:tc>
          <w:tcPr>
            <w:tcW w:w="80" w:type="dxa"/>
            <w:vAlign w:val="bottom"/>
          </w:tcPr>
          <w:p>
            <w:pPr>
              <w:spacing w:after="0"/>
              <w:rPr>
                <w:sz w:val="12"/>
                <w:szCs w:val="12"/>
                <w:color w:val="auto"/>
              </w:rPr>
            </w:pPr>
          </w:p>
        </w:tc>
        <w:tc>
          <w:tcPr>
            <w:tcW w:w="8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(164)</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(1,431)</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(26,070)</w:t>
            </w:r>
          </w:p>
        </w:tc>
        <w:tc>
          <w:tcPr>
            <w:tcW w:w="0" w:type="dxa"/>
            <w:vAlign w:val="bottom"/>
          </w:tcPr>
          <w:p>
            <w:pPr>
              <w:spacing w:after="0"/>
              <w:rPr>
                <w:sz w:val="1"/>
                <w:szCs w:val="1"/>
                <w:color w:val="auto"/>
              </w:rPr>
            </w:pPr>
          </w:p>
        </w:tc>
      </w:tr>
      <w:tr>
        <w:trPr>
          <w:trHeight w:val="149"/>
        </w:trPr>
        <w:tc>
          <w:tcPr>
            <w:tcW w:w="160" w:type="dxa"/>
            <w:vAlign w:val="bottom"/>
            <w:shd w:val="clear" w:color="auto" w:fill="EAF9E8"/>
          </w:tcPr>
          <w:p>
            <w:pPr>
              <w:spacing w:after="0"/>
              <w:rPr>
                <w:sz w:val="12"/>
                <w:szCs w:val="12"/>
                <w:color w:val="auto"/>
              </w:rPr>
            </w:pPr>
          </w:p>
        </w:tc>
        <w:tc>
          <w:tcPr>
            <w:tcW w:w="160" w:type="dxa"/>
            <w:vAlign w:val="bottom"/>
            <w:shd w:val="clear" w:color="auto" w:fill="EAF9E8"/>
          </w:tcPr>
          <w:p>
            <w:pPr>
              <w:spacing w:after="0"/>
              <w:rPr>
                <w:sz w:val="12"/>
                <w:szCs w:val="12"/>
                <w:color w:val="auto"/>
              </w:rPr>
            </w:pPr>
          </w:p>
        </w:tc>
        <w:tc>
          <w:tcPr>
            <w:tcW w:w="1880" w:type="dxa"/>
            <w:vAlign w:val="bottom"/>
            <w:gridSpan w:val="3"/>
            <w:shd w:val="clear" w:color="auto" w:fill="EAF9E8"/>
          </w:tcPr>
          <w:p>
            <w:pPr>
              <w:spacing w:after="0" w:line="149" w:lineRule="exact"/>
              <w:rPr>
                <w:sz w:val="20"/>
                <w:szCs w:val="20"/>
                <w:color w:val="auto"/>
              </w:rPr>
            </w:pPr>
            <w:r>
              <w:rPr>
                <w:rFonts w:ascii="Arial" w:cs="Arial" w:eastAsia="Arial" w:hAnsi="Arial"/>
                <w:sz w:val="14"/>
                <w:szCs w:val="14"/>
                <w:color w:val="auto"/>
              </w:rPr>
              <w:t>Other (1) (2)</w:t>
            </w:r>
          </w:p>
        </w:tc>
        <w:tc>
          <w:tcPr>
            <w:tcW w:w="120" w:type="dxa"/>
            <w:vAlign w:val="bottom"/>
            <w:shd w:val="clear" w:color="auto" w:fill="EAF9E8"/>
          </w:tcPr>
          <w:p>
            <w:pPr>
              <w:spacing w:after="0"/>
              <w:rPr>
                <w:sz w:val="12"/>
                <w:szCs w:val="12"/>
                <w:color w:val="auto"/>
              </w:rPr>
            </w:pPr>
          </w:p>
        </w:tc>
        <w:tc>
          <w:tcPr>
            <w:tcW w:w="820" w:type="dxa"/>
            <w:vAlign w:val="bottom"/>
            <w:gridSpan w:val="2"/>
            <w:shd w:val="clear" w:color="auto" w:fill="EAF9E8"/>
          </w:tcPr>
          <w:p>
            <w:pPr>
              <w:jc w:val="right"/>
              <w:ind w:right="80"/>
              <w:spacing w:after="0" w:line="149" w:lineRule="exact"/>
              <w:rPr>
                <w:sz w:val="20"/>
                <w:szCs w:val="20"/>
                <w:color w:val="auto"/>
              </w:rPr>
            </w:pPr>
            <w:r>
              <w:rPr>
                <w:rFonts w:ascii="Arial" w:cs="Arial" w:eastAsia="Arial" w:hAnsi="Arial"/>
                <w:sz w:val="14"/>
                <w:szCs w:val="14"/>
                <w:color w:val="auto"/>
              </w:rPr>
              <w:t>(525)</w:t>
            </w:r>
          </w:p>
        </w:tc>
        <w:tc>
          <w:tcPr>
            <w:tcW w:w="8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920" w:type="dxa"/>
            <w:vAlign w:val="bottom"/>
            <w:gridSpan w:val="2"/>
            <w:shd w:val="clear" w:color="auto" w:fill="EAF9E8"/>
          </w:tcPr>
          <w:p>
            <w:pPr>
              <w:jc w:val="right"/>
              <w:ind w:right="180"/>
              <w:spacing w:after="0" w:line="149" w:lineRule="exact"/>
              <w:rPr>
                <w:sz w:val="20"/>
                <w:szCs w:val="20"/>
                <w:color w:val="auto"/>
              </w:rPr>
            </w:pPr>
            <w:r>
              <w:rPr>
                <w:rFonts w:ascii="Arial" w:cs="Arial" w:eastAsia="Arial" w:hAnsi="Arial"/>
                <w:sz w:val="14"/>
                <w:szCs w:val="14"/>
                <w:color w:val="auto"/>
              </w:rPr>
              <w:t>(5,541)</w:t>
            </w:r>
          </w:p>
        </w:tc>
        <w:tc>
          <w:tcPr>
            <w:tcW w:w="140" w:type="dxa"/>
            <w:vAlign w:val="bottom"/>
            <w:shd w:val="clear" w:color="auto" w:fill="EAF9E8"/>
          </w:tcPr>
          <w:p>
            <w:pPr>
              <w:spacing w:after="0"/>
              <w:rPr>
                <w:sz w:val="12"/>
                <w:szCs w:val="12"/>
                <w:color w:val="auto"/>
              </w:rPr>
            </w:pPr>
          </w:p>
        </w:tc>
        <w:tc>
          <w:tcPr>
            <w:tcW w:w="880" w:type="dxa"/>
            <w:vAlign w:val="bottom"/>
            <w:gridSpan w:val="2"/>
            <w:shd w:val="clear" w:color="auto" w:fill="EAF9E8"/>
          </w:tcPr>
          <w:p>
            <w:pPr>
              <w:jc w:val="right"/>
              <w:ind w:right="160"/>
              <w:spacing w:after="0" w:line="149" w:lineRule="exact"/>
              <w:rPr>
                <w:sz w:val="20"/>
                <w:szCs w:val="20"/>
                <w:color w:val="auto"/>
              </w:rPr>
            </w:pPr>
            <w:r>
              <w:rPr>
                <w:rFonts w:ascii="Arial" w:cs="Arial" w:eastAsia="Arial" w:hAnsi="Arial"/>
                <w:sz w:val="14"/>
                <w:szCs w:val="14"/>
                <w:color w:val="auto"/>
              </w:rPr>
              <w:t>(1,807)</w:t>
            </w:r>
          </w:p>
        </w:tc>
        <w:tc>
          <w:tcPr>
            <w:tcW w:w="100" w:type="dxa"/>
            <w:vAlign w:val="bottom"/>
            <w:shd w:val="clear" w:color="auto" w:fill="EAF9E8"/>
          </w:tcPr>
          <w:p>
            <w:pPr>
              <w:spacing w:after="0"/>
              <w:rPr>
                <w:sz w:val="12"/>
                <w:szCs w:val="12"/>
                <w:color w:val="auto"/>
              </w:rPr>
            </w:pPr>
          </w:p>
        </w:tc>
        <w:tc>
          <w:tcPr>
            <w:tcW w:w="820" w:type="dxa"/>
            <w:vAlign w:val="bottom"/>
            <w:gridSpan w:val="2"/>
            <w:shd w:val="clear" w:color="auto" w:fill="EAF9E8"/>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EAF9E8"/>
          </w:tcPr>
          <w:p>
            <w:pPr>
              <w:spacing w:after="0"/>
              <w:rPr>
                <w:sz w:val="12"/>
                <w:szCs w:val="12"/>
                <w:color w:val="auto"/>
              </w:rPr>
            </w:pPr>
          </w:p>
        </w:tc>
        <w:tc>
          <w:tcPr>
            <w:tcW w:w="120" w:type="dxa"/>
            <w:vAlign w:val="bottom"/>
            <w:shd w:val="clear" w:color="auto" w:fill="EAF9E8"/>
          </w:tcPr>
          <w:p>
            <w:pPr>
              <w:spacing w:after="0"/>
              <w:rPr>
                <w:sz w:val="12"/>
                <w:szCs w:val="12"/>
                <w:color w:val="auto"/>
              </w:rPr>
            </w:pPr>
          </w:p>
        </w:tc>
        <w:tc>
          <w:tcPr>
            <w:tcW w:w="920" w:type="dxa"/>
            <w:vAlign w:val="bottom"/>
            <w:gridSpan w:val="2"/>
            <w:shd w:val="clear" w:color="auto" w:fill="EAF9E8"/>
          </w:tcPr>
          <w:p>
            <w:pPr>
              <w:jc w:val="right"/>
              <w:ind w:right="220"/>
              <w:spacing w:after="0" w:line="149" w:lineRule="exact"/>
              <w:rPr>
                <w:sz w:val="20"/>
                <w:szCs w:val="20"/>
                <w:color w:val="auto"/>
              </w:rPr>
            </w:pPr>
            <w:r>
              <w:rPr>
                <w:rFonts w:ascii="Arial" w:cs="Arial" w:eastAsia="Arial" w:hAnsi="Arial"/>
                <w:sz w:val="14"/>
                <w:szCs w:val="14"/>
                <w:color w:val="auto"/>
              </w:rPr>
              <w:t>11</w:t>
            </w:r>
          </w:p>
        </w:tc>
        <w:tc>
          <w:tcPr>
            <w:tcW w:w="80" w:type="dxa"/>
            <w:vAlign w:val="bottom"/>
            <w:shd w:val="clear" w:color="auto" w:fill="EAF9E8"/>
          </w:tcPr>
          <w:p>
            <w:pPr>
              <w:spacing w:after="0"/>
              <w:rPr>
                <w:sz w:val="12"/>
                <w:szCs w:val="12"/>
                <w:color w:val="auto"/>
              </w:rPr>
            </w:pPr>
          </w:p>
        </w:tc>
        <w:tc>
          <w:tcPr>
            <w:tcW w:w="72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rPr>
              <w:t>8,173</w:t>
            </w:r>
          </w:p>
        </w:tc>
        <w:tc>
          <w:tcPr>
            <w:tcW w:w="14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860" w:type="dxa"/>
            <w:vAlign w:val="bottom"/>
            <w:gridSpan w:val="2"/>
            <w:shd w:val="clear" w:color="auto" w:fill="EAF9E8"/>
          </w:tcPr>
          <w:p>
            <w:pPr>
              <w:jc w:val="right"/>
              <w:ind w:right="100"/>
              <w:spacing w:after="0" w:line="149" w:lineRule="exact"/>
              <w:rPr>
                <w:sz w:val="20"/>
                <w:szCs w:val="20"/>
                <w:color w:val="auto"/>
              </w:rPr>
            </w:pPr>
            <w:r>
              <w:rPr>
                <w:rFonts w:ascii="Arial" w:cs="Arial" w:eastAsia="Arial" w:hAnsi="Arial"/>
                <w:sz w:val="14"/>
                <w:szCs w:val="14"/>
                <w:color w:val="auto"/>
              </w:rPr>
              <w:t>(11,339)</w:t>
            </w:r>
          </w:p>
        </w:tc>
        <w:tc>
          <w:tcPr>
            <w:tcW w:w="80" w:type="dxa"/>
            <w:vAlign w:val="bottom"/>
            <w:shd w:val="clear" w:color="auto" w:fill="EAF9E8"/>
          </w:tcPr>
          <w:p>
            <w:pPr>
              <w:spacing w:after="0"/>
              <w:rPr>
                <w:sz w:val="12"/>
                <w:szCs w:val="12"/>
                <w:color w:val="auto"/>
              </w:rPr>
            </w:pPr>
          </w:p>
        </w:tc>
        <w:tc>
          <w:tcPr>
            <w:tcW w:w="80" w:type="dxa"/>
            <w:vAlign w:val="bottom"/>
            <w:shd w:val="clear" w:color="auto" w:fill="EAF9E8"/>
          </w:tcPr>
          <w:p>
            <w:pPr>
              <w:spacing w:after="0"/>
              <w:rPr>
                <w:sz w:val="12"/>
                <w:szCs w:val="12"/>
                <w:color w:val="auto"/>
              </w:rPr>
            </w:pPr>
          </w:p>
        </w:tc>
        <w:tc>
          <w:tcPr>
            <w:tcW w:w="76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rPr>
              <w:t>526</w:t>
            </w:r>
          </w:p>
        </w:tc>
        <w:tc>
          <w:tcPr>
            <w:tcW w:w="12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120" w:type="dxa"/>
            <w:vAlign w:val="bottom"/>
            <w:shd w:val="clear" w:color="auto" w:fill="EAF9E8"/>
          </w:tcPr>
          <w:p>
            <w:pPr>
              <w:spacing w:after="0"/>
              <w:rPr>
                <w:sz w:val="12"/>
                <w:szCs w:val="12"/>
                <w:color w:val="auto"/>
              </w:rPr>
            </w:pPr>
          </w:p>
        </w:tc>
        <w:tc>
          <w:tcPr>
            <w:tcW w:w="840" w:type="dxa"/>
            <w:vAlign w:val="bottom"/>
            <w:gridSpan w:val="2"/>
            <w:shd w:val="clear" w:color="auto" w:fill="EAF9E8"/>
          </w:tcPr>
          <w:p>
            <w:pPr>
              <w:jc w:val="right"/>
              <w:ind w:right="80"/>
              <w:spacing w:after="0" w:line="149" w:lineRule="exact"/>
              <w:rPr>
                <w:sz w:val="20"/>
                <w:szCs w:val="20"/>
                <w:color w:val="auto"/>
              </w:rPr>
            </w:pPr>
            <w:r>
              <w:rPr>
                <w:rFonts w:ascii="Arial" w:cs="Arial" w:eastAsia="Arial" w:hAnsi="Arial"/>
                <w:sz w:val="14"/>
                <w:szCs w:val="14"/>
                <w:color w:val="auto"/>
              </w:rPr>
              <w:t>(10,502)</w:t>
            </w:r>
          </w:p>
        </w:tc>
        <w:tc>
          <w:tcPr>
            <w:tcW w:w="0" w:type="dxa"/>
            <w:vAlign w:val="bottom"/>
          </w:tcPr>
          <w:p>
            <w:pPr>
              <w:spacing w:after="0"/>
              <w:rPr>
                <w:sz w:val="1"/>
                <w:szCs w:val="1"/>
                <w:color w:val="auto"/>
              </w:rPr>
            </w:pPr>
          </w:p>
        </w:tc>
      </w:tr>
      <w:tr>
        <w:trPr>
          <w:trHeight w:val="243"/>
        </w:trPr>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80" w:type="dxa"/>
            <w:vAlign w:val="bottom"/>
            <w:gridSpan w:val="3"/>
            <w:vMerge w:val="restart"/>
          </w:tcPr>
          <w:p>
            <w:pPr>
              <w:ind w:left="160"/>
              <w:spacing w:after="0"/>
              <w:rPr>
                <w:sz w:val="20"/>
                <w:szCs w:val="20"/>
                <w:color w:val="auto"/>
              </w:rPr>
            </w:pPr>
            <w:r>
              <w:rPr>
                <w:rFonts w:ascii="Arial" w:cs="Arial" w:eastAsia="Arial" w:hAnsi="Arial"/>
                <w:sz w:val="14"/>
                <w:szCs w:val="14"/>
                <w:color w:val="auto"/>
              </w:rPr>
              <w:t>Other income (expense),</w:t>
            </w:r>
          </w:p>
        </w:tc>
        <w:tc>
          <w:tcPr>
            <w:tcW w:w="1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31"/>
        </w:trPr>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80" w:type="dxa"/>
            <w:vAlign w:val="bottom"/>
            <w:gridSpan w:val="3"/>
            <w:vMerge w:val="continue"/>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80" w:type="dxa"/>
            <w:vAlign w:val="bottom"/>
            <w:gridSpan w:val="3"/>
          </w:tcPr>
          <w:p>
            <w:pPr>
              <w:ind w:left="320"/>
              <w:spacing w:after="0"/>
              <w:rPr>
                <w:sz w:val="20"/>
                <w:szCs w:val="20"/>
                <w:color w:val="auto"/>
              </w:rPr>
            </w:pPr>
            <w:r>
              <w:rPr>
                <w:rFonts w:ascii="Arial" w:cs="Arial" w:eastAsia="Arial" w:hAnsi="Arial"/>
                <w:sz w:val="14"/>
                <w:szCs w:val="14"/>
                <w:color w:val="auto"/>
              </w:rPr>
              <w:t>net</w:t>
            </w:r>
          </w:p>
        </w:tc>
        <w:tc>
          <w:tcPr>
            <w:tcW w:w="120" w:type="dxa"/>
            <w:vAlign w:val="bottom"/>
          </w:tcPr>
          <w:p>
            <w:pPr>
              <w:spacing w:after="0"/>
              <w:rPr>
                <w:sz w:val="14"/>
                <w:szCs w:val="14"/>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4"/>
                <w:szCs w:val="14"/>
                <w:color w:val="auto"/>
              </w:rPr>
              <w:t>(23,131)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(2,741)</w:t>
            </w:r>
          </w:p>
        </w:tc>
        <w:tc>
          <w:tcPr>
            <w:tcW w:w="14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(1,807)</w:t>
            </w:r>
          </w:p>
        </w:tc>
        <w:tc>
          <w:tcPr>
            <w:tcW w:w="100" w:type="dxa"/>
            <w:vAlign w:val="bottom"/>
          </w:tcPr>
          <w:p>
            <w:pPr>
              <w:spacing w:after="0"/>
              <w:rPr>
                <w:sz w:val="14"/>
                <w:szCs w:val="14"/>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(83)</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(468)</w:t>
            </w: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8,009</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4"/>
                <w:szCs w:val="14"/>
                <w:color w:val="auto"/>
              </w:rPr>
              <w:t>(12,064)</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526</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4"/>
                <w:szCs w:val="14"/>
                <w:color w:val="auto"/>
              </w:rPr>
              <w:t>(31,759)</w:t>
            </w:r>
          </w:p>
        </w:tc>
        <w:tc>
          <w:tcPr>
            <w:tcW w:w="0" w:type="dxa"/>
            <w:vAlign w:val="bottom"/>
          </w:tcPr>
          <w:p>
            <w:pPr>
              <w:spacing w:after="0"/>
              <w:rPr>
                <w:sz w:val="1"/>
                <w:szCs w:val="1"/>
                <w:color w:val="auto"/>
              </w:rPr>
            </w:pPr>
          </w:p>
        </w:tc>
      </w:tr>
      <w:tr>
        <w:trPr>
          <w:trHeight w:val="230"/>
        </w:trPr>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1"/>
        </w:trPr>
        <w:tc>
          <w:tcPr>
            <w:tcW w:w="160" w:type="dxa"/>
            <w:vAlign w:val="bottom"/>
            <w:shd w:val="clear" w:color="auto" w:fill="EAF9E8"/>
          </w:tcPr>
          <w:p>
            <w:pPr>
              <w:spacing w:after="0"/>
              <w:rPr>
                <w:sz w:val="11"/>
                <w:szCs w:val="11"/>
                <w:color w:val="auto"/>
              </w:rPr>
            </w:pPr>
          </w:p>
        </w:tc>
        <w:tc>
          <w:tcPr>
            <w:tcW w:w="2040" w:type="dxa"/>
            <w:vAlign w:val="bottom"/>
            <w:gridSpan w:val="4"/>
            <w:shd w:val="clear" w:color="auto" w:fill="EAF9E8"/>
          </w:tcPr>
          <w:p>
            <w:pPr>
              <w:spacing w:after="0" w:line="131" w:lineRule="exact"/>
              <w:rPr>
                <w:sz w:val="20"/>
                <w:szCs w:val="20"/>
                <w:color w:val="auto"/>
              </w:rPr>
            </w:pPr>
            <w:r>
              <w:rPr>
                <w:rFonts w:ascii="Arial" w:cs="Arial" w:eastAsia="Arial" w:hAnsi="Arial"/>
                <w:sz w:val="14"/>
                <w:szCs w:val="14"/>
                <w:color w:val="auto"/>
              </w:rPr>
              <w:t>Income (loss) from continuing</w:t>
            </w:r>
          </w:p>
        </w:tc>
        <w:tc>
          <w:tcPr>
            <w:tcW w:w="120" w:type="dxa"/>
            <w:vAlign w:val="bottom"/>
            <w:shd w:val="clear" w:color="auto" w:fill="EAF9E8"/>
          </w:tcPr>
          <w:p>
            <w:pPr>
              <w:spacing w:after="0"/>
              <w:rPr>
                <w:sz w:val="11"/>
                <w:szCs w:val="11"/>
                <w:color w:val="auto"/>
              </w:rPr>
            </w:pPr>
          </w:p>
        </w:tc>
        <w:tc>
          <w:tcPr>
            <w:tcW w:w="680" w:type="dxa"/>
            <w:vAlign w:val="bottom"/>
            <w:shd w:val="clear" w:color="auto" w:fill="EAF9E8"/>
          </w:tcPr>
          <w:p>
            <w:pPr>
              <w:spacing w:after="0"/>
              <w:rPr>
                <w:sz w:val="11"/>
                <w:szCs w:val="11"/>
                <w:color w:val="auto"/>
              </w:rPr>
            </w:pPr>
          </w:p>
        </w:tc>
        <w:tc>
          <w:tcPr>
            <w:tcW w:w="140" w:type="dxa"/>
            <w:vAlign w:val="bottom"/>
            <w:shd w:val="clear" w:color="auto" w:fill="EAF9E8"/>
          </w:tcPr>
          <w:p>
            <w:pPr>
              <w:spacing w:after="0"/>
              <w:rPr>
                <w:sz w:val="11"/>
                <w:szCs w:val="11"/>
                <w:color w:val="auto"/>
              </w:rPr>
            </w:pPr>
          </w:p>
        </w:tc>
        <w:tc>
          <w:tcPr>
            <w:tcW w:w="80" w:type="dxa"/>
            <w:vAlign w:val="bottom"/>
            <w:shd w:val="clear" w:color="auto" w:fill="EAF9E8"/>
          </w:tcPr>
          <w:p>
            <w:pPr>
              <w:spacing w:after="0"/>
              <w:rPr>
                <w:sz w:val="11"/>
                <w:szCs w:val="11"/>
                <w:color w:val="auto"/>
              </w:rPr>
            </w:pPr>
          </w:p>
        </w:tc>
        <w:tc>
          <w:tcPr>
            <w:tcW w:w="100" w:type="dxa"/>
            <w:vAlign w:val="bottom"/>
            <w:shd w:val="clear" w:color="auto" w:fill="EAF9E8"/>
          </w:tcPr>
          <w:p>
            <w:pPr>
              <w:spacing w:after="0"/>
              <w:rPr>
                <w:sz w:val="11"/>
                <w:szCs w:val="11"/>
                <w:color w:val="auto"/>
              </w:rPr>
            </w:pPr>
          </w:p>
        </w:tc>
        <w:tc>
          <w:tcPr>
            <w:tcW w:w="700" w:type="dxa"/>
            <w:vAlign w:val="bottom"/>
            <w:shd w:val="clear" w:color="auto" w:fill="EAF9E8"/>
          </w:tcPr>
          <w:p>
            <w:pPr>
              <w:spacing w:after="0"/>
              <w:rPr>
                <w:sz w:val="11"/>
                <w:szCs w:val="11"/>
                <w:color w:val="auto"/>
              </w:rPr>
            </w:pPr>
          </w:p>
        </w:tc>
        <w:tc>
          <w:tcPr>
            <w:tcW w:w="220" w:type="dxa"/>
            <w:vAlign w:val="bottom"/>
            <w:shd w:val="clear" w:color="auto" w:fill="EAF9E8"/>
          </w:tcPr>
          <w:p>
            <w:pPr>
              <w:spacing w:after="0"/>
              <w:rPr>
                <w:sz w:val="11"/>
                <w:szCs w:val="11"/>
                <w:color w:val="auto"/>
              </w:rPr>
            </w:pPr>
          </w:p>
        </w:tc>
        <w:tc>
          <w:tcPr>
            <w:tcW w:w="140" w:type="dxa"/>
            <w:vAlign w:val="bottom"/>
            <w:shd w:val="clear" w:color="auto" w:fill="EAF9E8"/>
          </w:tcPr>
          <w:p>
            <w:pPr>
              <w:spacing w:after="0"/>
              <w:rPr>
                <w:sz w:val="11"/>
                <w:szCs w:val="11"/>
                <w:color w:val="auto"/>
              </w:rPr>
            </w:pPr>
          </w:p>
        </w:tc>
        <w:tc>
          <w:tcPr>
            <w:tcW w:w="660" w:type="dxa"/>
            <w:vAlign w:val="bottom"/>
            <w:shd w:val="clear" w:color="auto" w:fill="EAF9E8"/>
          </w:tcPr>
          <w:p>
            <w:pPr>
              <w:spacing w:after="0"/>
              <w:rPr>
                <w:sz w:val="11"/>
                <w:szCs w:val="11"/>
                <w:color w:val="auto"/>
              </w:rPr>
            </w:pPr>
          </w:p>
        </w:tc>
        <w:tc>
          <w:tcPr>
            <w:tcW w:w="220" w:type="dxa"/>
            <w:vAlign w:val="bottom"/>
            <w:shd w:val="clear" w:color="auto" w:fill="EAF9E8"/>
          </w:tcPr>
          <w:p>
            <w:pPr>
              <w:spacing w:after="0"/>
              <w:rPr>
                <w:sz w:val="11"/>
                <w:szCs w:val="11"/>
                <w:color w:val="auto"/>
              </w:rPr>
            </w:pPr>
          </w:p>
        </w:tc>
        <w:tc>
          <w:tcPr>
            <w:tcW w:w="100" w:type="dxa"/>
            <w:vAlign w:val="bottom"/>
            <w:shd w:val="clear" w:color="auto" w:fill="EAF9E8"/>
          </w:tcPr>
          <w:p>
            <w:pPr>
              <w:spacing w:after="0"/>
              <w:rPr>
                <w:sz w:val="11"/>
                <w:szCs w:val="11"/>
                <w:color w:val="auto"/>
              </w:rPr>
            </w:pPr>
          </w:p>
        </w:tc>
        <w:tc>
          <w:tcPr>
            <w:tcW w:w="720" w:type="dxa"/>
            <w:vAlign w:val="bottom"/>
            <w:shd w:val="clear" w:color="auto" w:fill="EAF9E8"/>
          </w:tcPr>
          <w:p>
            <w:pPr>
              <w:spacing w:after="0"/>
              <w:rPr>
                <w:sz w:val="11"/>
                <w:szCs w:val="11"/>
                <w:color w:val="auto"/>
              </w:rPr>
            </w:pPr>
          </w:p>
        </w:tc>
        <w:tc>
          <w:tcPr>
            <w:tcW w:w="100" w:type="dxa"/>
            <w:vAlign w:val="bottom"/>
            <w:shd w:val="clear" w:color="auto" w:fill="EAF9E8"/>
          </w:tcPr>
          <w:p>
            <w:pPr>
              <w:spacing w:after="0"/>
              <w:rPr>
                <w:sz w:val="11"/>
                <w:szCs w:val="11"/>
                <w:color w:val="auto"/>
              </w:rPr>
            </w:pPr>
          </w:p>
        </w:tc>
        <w:tc>
          <w:tcPr>
            <w:tcW w:w="100" w:type="dxa"/>
            <w:vAlign w:val="bottom"/>
            <w:shd w:val="clear" w:color="auto" w:fill="EAF9E8"/>
          </w:tcPr>
          <w:p>
            <w:pPr>
              <w:spacing w:after="0"/>
              <w:rPr>
                <w:sz w:val="11"/>
                <w:szCs w:val="11"/>
                <w:color w:val="auto"/>
              </w:rPr>
            </w:pPr>
          </w:p>
        </w:tc>
        <w:tc>
          <w:tcPr>
            <w:tcW w:w="120" w:type="dxa"/>
            <w:vAlign w:val="bottom"/>
            <w:shd w:val="clear" w:color="auto" w:fill="EAF9E8"/>
          </w:tcPr>
          <w:p>
            <w:pPr>
              <w:spacing w:after="0"/>
              <w:rPr>
                <w:sz w:val="11"/>
                <w:szCs w:val="11"/>
                <w:color w:val="auto"/>
              </w:rPr>
            </w:pPr>
          </w:p>
        </w:tc>
        <w:tc>
          <w:tcPr>
            <w:tcW w:w="700" w:type="dxa"/>
            <w:vAlign w:val="bottom"/>
            <w:shd w:val="clear" w:color="auto" w:fill="EAF9E8"/>
          </w:tcPr>
          <w:p>
            <w:pPr>
              <w:spacing w:after="0"/>
              <w:rPr>
                <w:sz w:val="11"/>
                <w:szCs w:val="11"/>
                <w:color w:val="auto"/>
              </w:rPr>
            </w:pPr>
          </w:p>
        </w:tc>
        <w:tc>
          <w:tcPr>
            <w:tcW w:w="220" w:type="dxa"/>
            <w:vAlign w:val="bottom"/>
            <w:shd w:val="clear" w:color="auto" w:fill="EAF9E8"/>
          </w:tcPr>
          <w:p>
            <w:pPr>
              <w:spacing w:after="0"/>
              <w:rPr>
                <w:sz w:val="11"/>
                <w:szCs w:val="11"/>
                <w:color w:val="auto"/>
              </w:rPr>
            </w:pPr>
          </w:p>
        </w:tc>
        <w:tc>
          <w:tcPr>
            <w:tcW w:w="80" w:type="dxa"/>
            <w:vAlign w:val="bottom"/>
            <w:shd w:val="clear" w:color="auto" w:fill="EAF9E8"/>
          </w:tcPr>
          <w:p>
            <w:pPr>
              <w:spacing w:after="0"/>
              <w:rPr>
                <w:sz w:val="11"/>
                <w:szCs w:val="11"/>
                <w:color w:val="auto"/>
              </w:rPr>
            </w:pPr>
          </w:p>
        </w:tc>
        <w:tc>
          <w:tcPr>
            <w:tcW w:w="720" w:type="dxa"/>
            <w:vAlign w:val="bottom"/>
            <w:shd w:val="clear" w:color="auto" w:fill="EAF9E8"/>
          </w:tcPr>
          <w:p>
            <w:pPr>
              <w:spacing w:after="0"/>
              <w:rPr>
                <w:sz w:val="11"/>
                <w:szCs w:val="11"/>
                <w:color w:val="auto"/>
              </w:rPr>
            </w:pPr>
          </w:p>
        </w:tc>
        <w:tc>
          <w:tcPr>
            <w:tcW w:w="140" w:type="dxa"/>
            <w:vAlign w:val="bottom"/>
            <w:shd w:val="clear" w:color="auto" w:fill="EAF9E8"/>
          </w:tcPr>
          <w:p>
            <w:pPr>
              <w:spacing w:after="0"/>
              <w:rPr>
                <w:sz w:val="11"/>
                <w:szCs w:val="11"/>
                <w:color w:val="auto"/>
              </w:rPr>
            </w:pPr>
          </w:p>
        </w:tc>
        <w:tc>
          <w:tcPr>
            <w:tcW w:w="100" w:type="dxa"/>
            <w:vAlign w:val="bottom"/>
            <w:shd w:val="clear" w:color="auto" w:fill="EAF9E8"/>
          </w:tcPr>
          <w:p>
            <w:pPr>
              <w:spacing w:after="0"/>
              <w:rPr>
                <w:sz w:val="11"/>
                <w:szCs w:val="11"/>
                <w:color w:val="auto"/>
              </w:rPr>
            </w:pPr>
          </w:p>
        </w:tc>
        <w:tc>
          <w:tcPr>
            <w:tcW w:w="100" w:type="dxa"/>
            <w:vAlign w:val="bottom"/>
            <w:shd w:val="clear" w:color="auto" w:fill="EAF9E8"/>
          </w:tcPr>
          <w:p>
            <w:pPr>
              <w:spacing w:after="0"/>
              <w:rPr>
                <w:sz w:val="11"/>
                <w:szCs w:val="11"/>
                <w:color w:val="auto"/>
              </w:rPr>
            </w:pPr>
          </w:p>
        </w:tc>
        <w:tc>
          <w:tcPr>
            <w:tcW w:w="720" w:type="dxa"/>
            <w:vAlign w:val="bottom"/>
            <w:shd w:val="clear" w:color="auto" w:fill="EAF9E8"/>
          </w:tcPr>
          <w:p>
            <w:pPr>
              <w:spacing w:after="0"/>
              <w:rPr>
                <w:sz w:val="11"/>
                <w:szCs w:val="11"/>
                <w:color w:val="auto"/>
              </w:rPr>
            </w:pPr>
          </w:p>
        </w:tc>
        <w:tc>
          <w:tcPr>
            <w:tcW w:w="140" w:type="dxa"/>
            <w:vAlign w:val="bottom"/>
            <w:shd w:val="clear" w:color="auto" w:fill="EAF9E8"/>
          </w:tcPr>
          <w:p>
            <w:pPr>
              <w:spacing w:after="0"/>
              <w:rPr>
                <w:sz w:val="11"/>
                <w:szCs w:val="11"/>
                <w:color w:val="auto"/>
              </w:rPr>
            </w:pPr>
          </w:p>
        </w:tc>
        <w:tc>
          <w:tcPr>
            <w:tcW w:w="80" w:type="dxa"/>
            <w:vAlign w:val="bottom"/>
            <w:shd w:val="clear" w:color="auto" w:fill="EAF9E8"/>
          </w:tcPr>
          <w:p>
            <w:pPr>
              <w:spacing w:after="0"/>
              <w:rPr>
                <w:sz w:val="11"/>
                <w:szCs w:val="11"/>
                <w:color w:val="auto"/>
              </w:rPr>
            </w:pPr>
          </w:p>
        </w:tc>
        <w:tc>
          <w:tcPr>
            <w:tcW w:w="80" w:type="dxa"/>
            <w:vAlign w:val="bottom"/>
            <w:shd w:val="clear" w:color="auto" w:fill="EAF9E8"/>
          </w:tcPr>
          <w:p>
            <w:pPr>
              <w:spacing w:after="0"/>
              <w:rPr>
                <w:sz w:val="11"/>
                <w:szCs w:val="11"/>
                <w:color w:val="auto"/>
              </w:rPr>
            </w:pPr>
          </w:p>
        </w:tc>
        <w:tc>
          <w:tcPr>
            <w:tcW w:w="760" w:type="dxa"/>
            <w:vAlign w:val="bottom"/>
            <w:shd w:val="clear" w:color="auto" w:fill="EAF9E8"/>
          </w:tcPr>
          <w:p>
            <w:pPr>
              <w:spacing w:after="0"/>
              <w:rPr>
                <w:sz w:val="11"/>
                <w:szCs w:val="11"/>
                <w:color w:val="auto"/>
              </w:rPr>
            </w:pPr>
          </w:p>
        </w:tc>
        <w:tc>
          <w:tcPr>
            <w:tcW w:w="120" w:type="dxa"/>
            <w:vAlign w:val="bottom"/>
            <w:shd w:val="clear" w:color="auto" w:fill="EAF9E8"/>
          </w:tcPr>
          <w:p>
            <w:pPr>
              <w:spacing w:after="0"/>
              <w:rPr>
                <w:sz w:val="11"/>
                <w:szCs w:val="11"/>
                <w:color w:val="auto"/>
              </w:rPr>
            </w:pPr>
          </w:p>
        </w:tc>
        <w:tc>
          <w:tcPr>
            <w:tcW w:w="100" w:type="dxa"/>
            <w:vAlign w:val="bottom"/>
            <w:shd w:val="clear" w:color="auto" w:fill="EAF9E8"/>
          </w:tcPr>
          <w:p>
            <w:pPr>
              <w:spacing w:after="0"/>
              <w:rPr>
                <w:sz w:val="11"/>
                <w:szCs w:val="11"/>
                <w:color w:val="auto"/>
              </w:rPr>
            </w:pPr>
          </w:p>
        </w:tc>
        <w:tc>
          <w:tcPr>
            <w:tcW w:w="120" w:type="dxa"/>
            <w:vAlign w:val="bottom"/>
            <w:shd w:val="clear" w:color="auto" w:fill="EAF9E8"/>
          </w:tcPr>
          <w:p>
            <w:pPr>
              <w:spacing w:after="0"/>
              <w:rPr>
                <w:sz w:val="11"/>
                <w:szCs w:val="11"/>
                <w:color w:val="auto"/>
              </w:rPr>
            </w:pPr>
          </w:p>
        </w:tc>
        <w:tc>
          <w:tcPr>
            <w:tcW w:w="720" w:type="dxa"/>
            <w:vAlign w:val="bottom"/>
            <w:shd w:val="clear" w:color="auto" w:fill="EAF9E8"/>
          </w:tcPr>
          <w:p>
            <w:pPr>
              <w:spacing w:after="0"/>
              <w:rPr>
                <w:sz w:val="11"/>
                <w:szCs w:val="11"/>
                <w:color w:val="auto"/>
              </w:rPr>
            </w:pPr>
          </w:p>
        </w:tc>
        <w:tc>
          <w:tcPr>
            <w:tcW w:w="120" w:type="dxa"/>
            <w:vAlign w:val="bottom"/>
            <w:shd w:val="clear" w:color="auto" w:fill="EAF9E8"/>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60" w:type="dxa"/>
            <w:vAlign w:val="bottom"/>
            <w:shd w:val="clear" w:color="auto" w:fill="EAF9E8"/>
          </w:tcPr>
          <w:p>
            <w:pPr>
              <w:spacing w:after="0"/>
              <w:rPr>
                <w:sz w:val="12"/>
                <w:szCs w:val="12"/>
                <w:color w:val="auto"/>
              </w:rPr>
            </w:pPr>
          </w:p>
        </w:tc>
        <w:tc>
          <w:tcPr>
            <w:tcW w:w="160" w:type="dxa"/>
            <w:vAlign w:val="bottom"/>
            <w:shd w:val="clear" w:color="auto" w:fill="EAF9E8"/>
          </w:tcPr>
          <w:p>
            <w:pPr>
              <w:spacing w:after="0"/>
              <w:rPr>
                <w:sz w:val="12"/>
                <w:szCs w:val="12"/>
                <w:color w:val="auto"/>
              </w:rPr>
            </w:pPr>
          </w:p>
        </w:tc>
        <w:tc>
          <w:tcPr>
            <w:tcW w:w="1880" w:type="dxa"/>
            <w:vAlign w:val="bottom"/>
            <w:gridSpan w:val="3"/>
            <w:shd w:val="clear" w:color="auto" w:fill="EAF9E8"/>
          </w:tcPr>
          <w:p>
            <w:pPr>
              <w:spacing w:after="0" w:line="149" w:lineRule="exact"/>
              <w:rPr>
                <w:sz w:val="20"/>
                <w:szCs w:val="20"/>
                <w:color w:val="auto"/>
              </w:rPr>
            </w:pPr>
            <w:r>
              <w:rPr>
                <w:rFonts w:ascii="Arial" w:cs="Arial" w:eastAsia="Arial" w:hAnsi="Arial"/>
                <w:sz w:val="14"/>
                <w:szCs w:val="14"/>
                <w:color w:val="auto"/>
              </w:rPr>
              <w:t>operations before income</w:t>
            </w:r>
          </w:p>
        </w:tc>
        <w:tc>
          <w:tcPr>
            <w:tcW w:w="120" w:type="dxa"/>
            <w:vAlign w:val="bottom"/>
            <w:shd w:val="clear" w:color="auto" w:fill="EAF9E8"/>
          </w:tcPr>
          <w:p>
            <w:pPr>
              <w:spacing w:after="0"/>
              <w:rPr>
                <w:sz w:val="12"/>
                <w:szCs w:val="12"/>
                <w:color w:val="auto"/>
              </w:rPr>
            </w:pPr>
          </w:p>
        </w:tc>
        <w:tc>
          <w:tcPr>
            <w:tcW w:w="680" w:type="dxa"/>
            <w:vAlign w:val="bottom"/>
            <w:shd w:val="clear" w:color="auto" w:fill="EAF9E8"/>
          </w:tcPr>
          <w:p>
            <w:pPr>
              <w:spacing w:after="0"/>
              <w:rPr>
                <w:sz w:val="12"/>
                <w:szCs w:val="12"/>
                <w:color w:val="auto"/>
              </w:rPr>
            </w:pPr>
          </w:p>
        </w:tc>
        <w:tc>
          <w:tcPr>
            <w:tcW w:w="140" w:type="dxa"/>
            <w:vAlign w:val="bottom"/>
            <w:shd w:val="clear" w:color="auto" w:fill="EAF9E8"/>
          </w:tcPr>
          <w:p>
            <w:pPr>
              <w:spacing w:after="0"/>
              <w:rPr>
                <w:sz w:val="12"/>
                <w:szCs w:val="12"/>
                <w:color w:val="auto"/>
              </w:rPr>
            </w:pPr>
          </w:p>
        </w:tc>
        <w:tc>
          <w:tcPr>
            <w:tcW w:w="8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700" w:type="dxa"/>
            <w:vAlign w:val="bottom"/>
            <w:shd w:val="clear" w:color="auto" w:fill="EAF9E8"/>
          </w:tcPr>
          <w:p>
            <w:pPr>
              <w:spacing w:after="0"/>
              <w:rPr>
                <w:sz w:val="12"/>
                <w:szCs w:val="12"/>
                <w:color w:val="auto"/>
              </w:rPr>
            </w:pPr>
          </w:p>
        </w:tc>
        <w:tc>
          <w:tcPr>
            <w:tcW w:w="220" w:type="dxa"/>
            <w:vAlign w:val="bottom"/>
            <w:shd w:val="clear" w:color="auto" w:fill="EAF9E8"/>
          </w:tcPr>
          <w:p>
            <w:pPr>
              <w:spacing w:after="0"/>
              <w:rPr>
                <w:sz w:val="12"/>
                <w:szCs w:val="12"/>
                <w:color w:val="auto"/>
              </w:rPr>
            </w:pPr>
          </w:p>
        </w:tc>
        <w:tc>
          <w:tcPr>
            <w:tcW w:w="140" w:type="dxa"/>
            <w:vAlign w:val="bottom"/>
            <w:shd w:val="clear" w:color="auto" w:fill="EAF9E8"/>
          </w:tcPr>
          <w:p>
            <w:pPr>
              <w:spacing w:after="0"/>
              <w:rPr>
                <w:sz w:val="12"/>
                <w:szCs w:val="12"/>
                <w:color w:val="auto"/>
              </w:rPr>
            </w:pPr>
          </w:p>
        </w:tc>
        <w:tc>
          <w:tcPr>
            <w:tcW w:w="660" w:type="dxa"/>
            <w:vAlign w:val="bottom"/>
            <w:shd w:val="clear" w:color="auto" w:fill="EAF9E8"/>
          </w:tcPr>
          <w:p>
            <w:pPr>
              <w:spacing w:after="0"/>
              <w:rPr>
                <w:sz w:val="12"/>
                <w:szCs w:val="12"/>
                <w:color w:val="auto"/>
              </w:rPr>
            </w:pPr>
          </w:p>
        </w:tc>
        <w:tc>
          <w:tcPr>
            <w:tcW w:w="22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72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120" w:type="dxa"/>
            <w:vAlign w:val="bottom"/>
            <w:shd w:val="clear" w:color="auto" w:fill="EAF9E8"/>
          </w:tcPr>
          <w:p>
            <w:pPr>
              <w:spacing w:after="0"/>
              <w:rPr>
                <w:sz w:val="12"/>
                <w:szCs w:val="12"/>
                <w:color w:val="auto"/>
              </w:rPr>
            </w:pPr>
          </w:p>
        </w:tc>
        <w:tc>
          <w:tcPr>
            <w:tcW w:w="700" w:type="dxa"/>
            <w:vAlign w:val="bottom"/>
            <w:shd w:val="clear" w:color="auto" w:fill="EAF9E8"/>
          </w:tcPr>
          <w:p>
            <w:pPr>
              <w:spacing w:after="0"/>
              <w:rPr>
                <w:sz w:val="12"/>
                <w:szCs w:val="12"/>
                <w:color w:val="auto"/>
              </w:rPr>
            </w:pPr>
          </w:p>
        </w:tc>
        <w:tc>
          <w:tcPr>
            <w:tcW w:w="220" w:type="dxa"/>
            <w:vAlign w:val="bottom"/>
            <w:shd w:val="clear" w:color="auto" w:fill="EAF9E8"/>
          </w:tcPr>
          <w:p>
            <w:pPr>
              <w:spacing w:after="0"/>
              <w:rPr>
                <w:sz w:val="12"/>
                <w:szCs w:val="12"/>
                <w:color w:val="auto"/>
              </w:rPr>
            </w:pPr>
          </w:p>
        </w:tc>
        <w:tc>
          <w:tcPr>
            <w:tcW w:w="80" w:type="dxa"/>
            <w:vAlign w:val="bottom"/>
            <w:shd w:val="clear" w:color="auto" w:fill="EAF9E8"/>
          </w:tcPr>
          <w:p>
            <w:pPr>
              <w:spacing w:after="0"/>
              <w:rPr>
                <w:sz w:val="12"/>
                <w:szCs w:val="12"/>
                <w:color w:val="auto"/>
              </w:rPr>
            </w:pPr>
          </w:p>
        </w:tc>
        <w:tc>
          <w:tcPr>
            <w:tcW w:w="720" w:type="dxa"/>
            <w:vAlign w:val="bottom"/>
            <w:shd w:val="clear" w:color="auto" w:fill="EAF9E8"/>
          </w:tcPr>
          <w:p>
            <w:pPr>
              <w:spacing w:after="0"/>
              <w:rPr>
                <w:sz w:val="12"/>
                <w:szCs w:val="12"/>
                <w:color w:val="auto"/>
              </w:rPr>
            </w:pPr>
          </w:p>
        </w:tc>
        <w:tc>
          <w:tcPr>
            <w:tcW w:w="14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720" w:type="dxa"/>
            <w:vAlign w:val="bottom"/>
            <w:shd w:val="clear" w:color="auto" w:fill="EAF9E8"/>
          </w:tcPr>
          <w:p>
            <w:pPr>
              <w:spacing w:after="0"/>
              <w:rPr>
                <w:sz w:val="12"/>
                <w:szCs w:val="12"/>
                <w:color w:val="auto"/>
              </w:rPr>
            </w:pPr>
          </w:p>
        </w:tc>
        <w:tc>
          <w:tcPr>
            <w:tcW w:w="140" w:type="dxa"/>
            <w:vAlign w:val="bottom"/>
            <w:shd w:val="clear" w:color="auto" w:fill="EAF9E8"/>
          </w:tcPr>
          <w:p>
            <w:pPr>
              <w:spacing w:after="0"/>
              <w:rPr>
                <w:sz w:val="12"/>
                <w:szCs w:val="12"/>
                <w:color w:val="auto"/>
              </w:rPr>
            </w:pPr>
          </w:p>
        </w:tc>
        <w:tc>
          <w:tcPr>
            <w:tcW w:w="80" w:type="dxa"/>
            <w:vAlign w:val="bottom"/>
            <w:shd w:val="clear" w:color="auto" w:fill="EAF9E8"/>
          </w:tcPr>
          <w:p>
            <w:pPr>
              <w:spacing w:after="0"/>
              <w:rPr>
                <w:sz w:val="12"/>
                <w:szCs w:val="12"/>
                <w:color w:val="auto"/>
              </w:rPr>
            </w:pPr>
          </w:p>
        </w:tc>
        <w:tc>
          <w:tcPr>
            <w:tcW w:w="80" w:type="dxa"/>
            <w:vAlign w:val="bottom"/>
            <w:shd w:val="clear" w:color="auto" w:fill="EAF9E8"/>
          </w:tcPr>
          <w:p>
            <w:pPr>
              <w:spacing w:after="0"/>
              <w:rPr>
                <w:sz w:val="12"/>
                <w:szCs w:val="12"/>
                <w:color w:val="auto"/>
              </w:rPr>
            </w:pPr>
          </w:p>
        </w:tc>
        <w:tc>
          <w:tcPr>
            <w:tcW w:w="760" w:type="dxa"/>
            <w:vAlign w:val="bottom"/>
            <w:shd w:val="clear" w:color="auto" w:fill="EAF9E8"/>
          </w:tcPr>
          <w:p>
            <w:pPr>
              <w:spacing w:after="0"/>
              <w:rPr>
                <w:sz w:val="12"/>
                <w:szCs w:val="12"/>
                <w:color w:val="auto"/>
              </w:rPr>
            </w:pPr>
          </w:p>
        </w:tc>
        <w:tc>
          <w:tcPr>
            <w:tcW w:w="12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120" w:type="dxa"/>
            <w:vAlign w:val="bottom"/>
            <w:shd w:val="clear" w:color="auto" w:fill="EAF9E8"/>
          </w:tcPr>
          <w:p>
            <w:pPr>
              <w:spacing w:after="0"/>
              <w:rPr>
                <w:sz w:val="12"/>
                <w:szCs w:val="12"/>
                <w:color w:val="auto"/>
              </w:rPr>
            </w:pPr>
          </w:p>
        </w:tc>
        <w:tc>
          <w:tcPr>
            <w:tcW w:w="720" w:type="dxa"/>
            <w:vAlign w:val="bottom"/>
            <w:shd w:val="clear" w:color="auto" w:fill="EAF9E8"/>
          </w:tcPr>
          <w:p>
            <w:pPr>
              <w:spacing w:after="0"/>
              <w:rPr>
                <w:sz w:val="12"/>
                <w:szCs w:val="12"/>
                <w:color w:val="auto"/>
              </w:rPr>
            </w:pPr>
          </w:p>
        </w:tc>
        <w:tc>
          <w:tcPr>
            <w:tcW w:w="120" w:type="dxa"/>
            <w:vAlign w:val="bottom"/>
            <w:shd w:val="clear" w:color="auto" w:fill="EAF9E8"/>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160" w:type="dxa"/>
            <w:vAlign w:val="bottom"/>
            <w:shd w:val="clear" w:color="auto" w:fill="EAF9E8"/>
          </w:tcPr>
          <w:p>
            <w:pPr>
              <w:spacing w:after="0"/>
              <w:rPr>
                <w:sz w:val="13"/>
                <w:szCs w:val="13"/>
                <w:color w:val="auto"/>
              </w:rPr>
            </w:pPr>
          </w:p>
        </w:tc>
        <w:tc>
          <w:tcPr>
            <w:tcW w:w="160" w:type="dxa"/>
            <w:vAlign w:val="bottom"/>
            <w:shd w:val="clear" w:color="auto" w:fill="EAF9E8"/>
          </w:tcPr>
          <w:p>
            <w:pPr>
              <w:spacing w:after="0"/>
              <w:rPr>
                <w:sz w:val="13"/>
                <w:szCs w:val="13"/>
                <w:color w:val="auto"/>
              </w:rPr>
            </w:pPr>
          </w:p>
        </w:tc>
        <w:tc>
          <w:tcPr>
            <w:tcW w:w="1880" w:type="dxa"/>
            <w:vAlign w:val="bottom"/>
            <w:gridSpan w:val="3"/>
            <w:shd w:val="clear" w:color="auto" w:fill="EAF9E8"/>
          </w:tcPr>
          <w:p>
            <w:pPr>
              <w:spacing w:after="0" w:line="159" w:lineRule="exact"/>
              <w:rPr>
                <w:sz w:val="20"/>
                <w:szCs w:val="20"/>
                <w:color w:val="auto"/>
              </w:rPr>
            </w:pPr>
            <w:r>
              <w:rPr>
                <w:rFonts w:ascii="Arial" w:cs="Arial" w:eastAsia="Arial" w:hAnsi="Arial"/>
                <w:sz w:val="14"/>
                <w:szCs w:val="14"/>
                <w:color w:val="auto"/>
              </w:rPr>
              <w:t>taxes</w:t>
            </w:r>
          </w:p>
        </w:tc>
        <w:tc>
          <w:tcPr>
            <w:tcW w:w="120" w:type="dxa"/>
            <w:vAlign w:val="bottom"/>
            <w:shd w:val="clear" w:color="auto" w:fill="EAF9E8"/>
          </w:tcPr>
          <w:p>
            <w:pPr>
              <w:jc w:val="right"/>
              <w:spacing w:after="0" w:line="159" w:lineRule="exact"/>
              <w:rPr>
                <w:sz w:val="20"/>
                <w:szCs w:val="20"/>
                <w:color w:val="auto"/>
              </w:rPr>
            </w:pPr>
            <w:r>
              <w:rPr>
                <w:rFonts w:ascii="Arial" w:cs="Arial" w:eastAsia="Arial" w:hAnsi="Arial"/>
                <w:sz w:val="14"/>
                <w:szCs w:val="14"/>
                <w:color w:val="auto"/>
                <w:w w:val="76"/>
              </w:rPr>
              <w:t>$</w:t>
            </w:r>
          </w:p>
        </w:tc>
        <w:tc>
          <w:tcPr>
            <w:tcW w:w="680" w:type="dxa"/>
            <w:vAlign w:val="bottom"/>
            <w:shd w:val="clear" w:color="auto" w:fill="EAF9E8"/>
          </w:tcPr>
          <w:p>
            <w:pPr>
              <w:jc w:val="right"/>
              <w:spacing w:after="0" w:line="159" w:lineRule="exact"/>
              <w:rPr>
                <w:sz w:val="20"/>
                <w:szCs w:val="20"/>
                <w:color w:val="auto"/>
              </w:rPr>
            </w:pPr>
            <w:r>
              <w:rPr>
                <w:rFonts w:ascii="Arial" w:cs="Arial" w:eastAsia="Arial" w:hAnsi="Arial"/>
                <w:sz w:val="14"/>
                <w:szCs w:val="14"/>
                <w:color w:val="auto"/>
              </w:rPr>
              <w:t>21,429</w:t>
            </w:r>
          </w:p>
        </w:tc>
        <w:tc>
          <w:tcPr>
            <w:tcW w:w="140" w:type="dxa"/>
            <w:vAlign w:val="bottom"/>
            <w:shd w:val="clear" w:color="auto" w:fill="EAF9E8"/>
          </w:tcPr>
          <w:p>
            <w:pPr>
              <w:spacing w:after="0"/>
              <w:rPr>
                <w:sz w:val="13"/>
                <w:szCs w:val="13"/>
                <w:color w:val="auto"/>
              </w:rPr>
            </w:pPr>
          </w:p>
        </w:tc>
        <w:tc>
          <w:tcPr>
            <w:tcW w:w="180" w:type="dxa"/>
            <w:vAlign w:val="bottom"/>
            <w:gridSpan w:val="2"/>
            <w:shd w:val="clear" w:color="auto" w:fill="EAF9E8"/>
          </w:tcPr>
          <w:p>
            <w:pPr>
              <w:jc w:val="right"/>
              <w:ind w:right="40"/>
              <w:spacing w:after="0" w:line="15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EAF9E8"/>
          </w:tcPr>
          <w:p>
            <w:pPr>
              <w:jc w:val="right"/>
              <w:ind w:right="180"/>
              <w:spacing w:after="0" w:line="159" w:lineRule="exact"/>
              <w:rPr>
                <w:sz w:val="20"/>
                <w:szCs w:val="20"/>
                <w:color w:val="auto"/>
              </w:rPr>
            </w:pPr>
            <w:r>
              <w:rPr>
                <w:rFonts w:ascii="Arial" w:cs="Arial" w:eastAsia="Arial" w:hAnsi="Arial"/>
                <w:sz w:val="14"/>
                <w:szCs w:val="14"/>
                <w:color w:val="auto"/>
              </w:rPr>
              <w:t>(3,658)</w:t>
            </w:r>
          </w:p>
        </w:tc>
        <w:tc>
          <w:tcPr>
            <w:tcW w:w="140" w:type="dxa"/>
            <w:vAlign w:val="bottom"/>
            <w:shd w:val="clear" w:color="auto" w:fill="EAF9E8"/>
          </w:tcPr>
          <w:p>
            <w:pPr>
              <w:jc w:val="right"/>
              <w:ind w:right="27"/>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EAF9E8"/>
          </w:tcPr>
          <w:p>
            <w:pPr>
              <w:jc w:val="right"/>
              <w:ind w:right="160"/>
              <w:spacing w:after="0" w:line="159" w:lineRule="exact"/>
              <w:rPr>
                <w:sz w:val="20"/>
                <w:szCs w:val="20"/>
                <w:color w:val="auto"/>
              </w:rPr>
            </w:pPr>
            <w:r>
              <w:rPr>
                <w:rFonts w:ascii="Arial" w:cs="Arial" w:eastAsia="Arial" w:hAnsi="Arial"/>
                <w:sz w:val="14"/>
                <w:szCs w:val="14"/>
                <w:color w:val="auto"/>
              </w:rPr>
              <w:t>(1,446)</w:t>
            </w:r>
          </w:p>
        </w:tc>
        <w:tc>
          <w:tcPr>
            <w:tcW w:w="100" w:type="dxa"/>
            <w:vAlign w:val="bottom"/>
            <w:shd w:val="clear" w:color="auto" w:fill="EAF9E8"/>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EAF9E8"/>
          </w:tcPr>
          <w:p>
            <w:pPr>
              <w:jc w:val="right"/>
              <w:spacing w:after="0" w:line="159" w:lineRule="exact"/>
              <w:rPr>
                <w:sz w:val="20"/>
                <w:szCs w:val="20"/>
                <w:color w:val="auto"/>
              </w:rPr>
            </w:pPr>
            <w:r>
              <w:rPr>
                <w:rFonts w:ascii="Arial" w:cs="Arial" w:eastAsia="Arial" w:hAnsi="Arial"/>
                <w:sz w:val="14"/>
                <w:szCs w:val="14"/>
                <w:color w:val="auto"/>
              </w:rPr>
              <w:t>3,153</w:t>
            </w:r>
          </w:p>
        </w:tc>
        <w:tc>
          <w:tcPr>
            <w:tcW w:w="100" w:type="dxa"/>
            <w:vAlign w:val="bottom"/>
            <w:shd w:val="clear" w:color="auto" w:fill="EAF9E8"/>
          </w:tcPr>
          <w:p>
            <w:pPr>
              <w:spacing w:after="0"/>
              <w:rPr>
                <w:sz w:val="13"/>
                <w:szCs w:val="13"/>
                <w:color w:val="auto"/>
              </w:rPr>
            </w:pPr>
          </w:p>
        </w:tc>
        <w:tc>
          <w:tcPr>
            <w:tcW w:w="220" w:type="dxa"/>
            <w:vAlign w:val="bottom"/>
            <w:gridSpan w:val="2"/>
            <w:shd w:val="clear" w:color="auto" w:fill="EAF9E8"/>
          </w:tcPr>
          <w:p>
            <w:pPr>
              <w:jc w:val="right"/>
              <w:ind w:right="40"/>
              <w:spacing w:after="0" w:line="159" w:lineRule="exact"/>
              <w:rPr>
                <w:sz w:val="20"/>
                <w:szCs w:val="20"/>
                <w:color w:val="auto"/>
              </w:rPr>
            </w:pPr>
            <w:r>
              <w:rPr>
                <w:rFonts w:ascii="Arial" w:cs="Arial" w:eastAsia="Arial" w:hAnsi="Arial"/>
                <w:sz w:val="14"/>
                <w:szCs w:val="14"/>
                <w:color w:val="auto"/>
              </w:rPr>
              <w:t>$</w:t>
            </w:r>
          </w:p>
        </w:tc>
        <w:tc>
          <w:tcPr>
            <w:tcW w:w="700" w:type="dxa"/>
            <w:vAlign w:val="bottom"/>
            <w:shd w:val="clear" w:color="auto" w:fill="EAF9E8"/>
          </w:tcPr>
          <w:p>
            <w:pPr>
              <w:jc w:val="right"/>
              <w:spacing w:after="0" w:line="159" w:lineRule="exact"/>
              <w:rPr>
                <w:sz w:val="20"/>
                <w:szCs w:val="20"/>
                <w:color w:val="auto"/>
              </w:rPr>
            </w:pPr>
            <w:r>
              <w:rPr>
                <w:rFonts w:ascii="Arial" w:cs="Arial" w:eastAsia="Arial" w:hAnsi="Arial"/>
                <w:sz w:val="14"/>
                <w:szCs w:val="14"/>
                <w:color w:val="auto"/>
              </w:rPr>
              <w:t>23</w:t>
            </w:r>
          </w:p>
        </w:tc>
        <w:tc>
          <w:tcPr>
            <w:tcW w:w="220" w:type="dxa"/>
            <w:vAlign w:val="bottom"/>
            <w:shd w:val="clear" w:color="auto" w:fill="EAF9E8"/>
          </w:tcPr>
          <w:p>
            <w:pPr>
              <w:spacing w:after="0"/>
              <w:rPr>
                <w:sz w:val="13"/>
                <w:szCs w:val="13"/>
                <w:color w:val="auto"/>
              </w:rPr>
            </w:pPr>
          </w:p>
        </w:tc>
        <w:tc>
          <w:tcPr>
            <w:tcW w:w="80" w:type="dxa"/>
            <w:vAlign w:val="bottom"/>
            <w:shd w:val="clear" w:color="auto" w:fill="EAF9E8"/>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EAF9E8"/>
          </w:tcPr>
          <w:p>
            <w:pPr>
              <w:jc w:val="right"/>
              <w:ind w:right="140"/>
              <w:spacing w:after="0" w:line="159" w:lineRule="exact"/>
              <w:rPr>
                <w:sz w:val="20"/>
                <w:szCs w:val="20"/>
                <w:color w:val="auto"/>
              </w:rPr>
            </w:pPr>
            <w:r>
              <w:rPr>
                <w:rFonts w:ascii="Arial" w:cs="Arial" w:eastAsia="Arial" w:hAnsi="Arial"/>
                <w:sz w:val="14"/>
                <w:szCs w:val="14"/>
                <w:color w:val="auto"/>
              </w:rPr>
              <w:t>9,611</w:t>
            </w:r>
          </w:p>
        </w:tc>
        <w:tc>
          <w:tcPr>
            <w:tcW w:w="200" w:type="dxa"/>
            <w:vAlign w:val="bottom"/>
            <w:gridSpan w:val="2"/>
            <w:shd w:val="clear" w:color="auto" w:fill="EAF9E8"/>
          </w:tcPr>
          <w:p>
            <w:pPr>
              <w:jc w:val="right"/>
              <w:ind w:right="40"/>
              <w:spacing w:after="0" w:line="15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EAF9E8"/>
          </w:tcPr>
          <w:p>
            <w:pPr>
              <w:jc w:val="right"/>
              <w:ind w:right="100"/>
              <w:spacing w:after="0" w:line="159" w:lineRule="exact"/>
              <w:rPr>
                <w:sz w:val="20"/>
                <w:szCs w:val="20"/>
                <w:color w:val="auto"/>
              </w:rPr>
            </w:pPr>
            <w:r>
              <w:rPr>
                <w:rFonts w:ascii="Arial" w:cs="Arial" w:eastAsia="Arial" w:hAnsi="Arial"/>
                <w:sz w:val="14"/>
                <w:szCs w:val="14"/>
                <w:color w:val="auto"/>
              </w:rPr>
              <w:t>(20,695)</w:t>
            </w:r>
          </w:p>
        </w:tc>
        <w:tc>
          <w:tcPr>
            <w:tcW w:w="160" w:type="dxa"/>
            <w:vAlign w:val="bottom"/>
            <w:gridSpan w:val="2"/>
            <w:shd w:val="clear" w:color="auto" w:fill="EAF9E8"/>
          </w:tcPr>
          <w:p>
            <w:pPr>
              <w:jc w:val="right"/>
              <w:spacing w:after="0" w:line="15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EAF9E8"/>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220" w:type="dxa"/>
            <w:vAlign w:val="bottom"/>
            <w:gridSpan w:val="2"/>
            <w:shd w:val="clear" w:color="auto" w:fill="EAF9E8"/>
          </w:tcPr>
          <w:p>
            <w:pPr>
              <w:jc w:val="right"/>
              <w:spacing w:after="0" w:line="159" w:lineRule="exact"/>
              <w:rPr>
                <w:sz w:val="20"/>
                <w:szCs w:val="20"/>
                <w:color w:val="auto"/>
              </w:rPr>
            </w:pPr>
            <w:r>
              <w:rPr>
                <w:rFonts w:ascii="Arial" w:cs="Arial" w:eastAsia="Arial" w:hAnsi="Arial"/>
                <w:sz w:val="14"/>
                <w:szCs w:val="14"/>
                <w:color w:val="auto"/>
              </w:rPr>
              <w:t>$</w:t>
            </w:r>
          </w:p>
        </w:tc>
        <w:tc>
          <w:tcPr>
            <w:tcW w:w="720" w:type="dxa"/>
            <w:vAlign w:val="bottom"/>
            <w:shd w:val="clear" w:color="auto" w:fill="EAF9E8"/>
          </w:tcPr>
          <w:p>
            <w:pPr>
              <w:jc w:val="right"/>
              <w:spacing w:after="0" w:line="159" w:lineRule="exact"/>
              <w:rPr>
                <w:sz w:val="20"/>
                <w:szCs w:val="20"/>
                <w:color w:val="auto"/>
              </w:rPr>
            </w:pPr>
            <w:r>
              <w:rPr>
                <w:rFonts w:ascii="Arial" w:cs="Arial" w:eastAsia="Arial" w:hAnsi="Arial"/>
                <w:sz w:val="14"/>
                <w:szCs w:val="14"/>
                <w:color w:val="auto"/>
              </w:rPr>
              <w:t>8,417</w:t>
            </w:r>
          </w:p>
        </w:tc>
        <w:tc>
          <w:tcPr>
            <w:tcW w:w="120" w:type="dxa"/>
            <w:vAlign w:val="bottom"/>
            <w:shd w:val="clear" w:color="auto" w:fill="EAF9E8"/>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2200" w:type="dxa"/>
            <w:vAlign w:val="bottom"/>
            <w:gridSpan w:val="5"/>
            <w:vMerge w:val="restart"/>
          </w:tcPr>
          <w:p>
            <w:pPr>
              <w:spacing w:after="0"/>
              <w:rPr>
                <w:sz w:val="20"/>
                <w:szCs w:val="20"/>
                <w:color w:val="auto"/>
              </w:rPr>
            </w:pPr>
            <w:r>
              <w:rPr>
                <w:rFonts w:ascii="Arial" w:cs="Arial" w:eastAsia="Arial" w:hAnsi="Arial"/>
                <w:sz w:val="14"/>
                <w:szCs w:val="14"/>
                <w:b w:val="1"/>
                <w:bCs w:val="1"/>
                <w:color w:val="auto"/>
              </w:rPr>
              <w:t>Total Assets</w:t>
            </w:r>
          </w:p>
        </w:tc>
        <w:tc>
          <w:tcPr>
            <w:tcW w:w="1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200" w:type="dxa"/>
            <w:vAlign w:val="bottom"/>
            <w:gridSpan w:val="5"/>
            <w:vMerge w:val="continue"/>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2200" w:type="dxa"/>
            <w:vAlign w:val="bottom"/>
            <w:gridSpan w:val="5"/>
            <w:vMerge w:val="continue"/>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160" w:type="dxa"/>
            <w:vAlign w:val="bottom"/>
            <w:shd w:val="clear" w:color="auto" w:fill="EAF9E8"/>
          </w:tcPr>
          <w:p>
            <w:pPr>
              <w:spacing w:after="0"/>
              <w:rPr>
                <w:sz w:val="12"/>
                <w:szCs w:val="12"/>
                <w:color w:val="auto"/>
              </w:rPr>
            </w:pPr>
          </w:p>
        </w:tc>
        <w:tc>
          <w:tcPr>
            <w:tcW w:w="2040" w:type="dxa"/>
            <w:vAlign w:val="bottom"/>
            <w:gridSpan w:val="4"/>
            <w:shd w:val="clear" w:color="auto" w:fill="EAF9E8"/>
          </w:tcPr>
          <w:p>
            <w:pPr>
              <w:spacing w:after="0" w:line="149" w:lineRule="exact"/>
              <w:rPr>
                <w:sz w:val="20"/>
                <w:szCs w:val="20"/>
                <w:color w:val="auto"/>
              </w:rPr>
            </w:pPr>
            <w:r>
              <w:rPr>
                <w:rFonts w:ascii="Arial" w:cs="Arial" w:eastAsia="Arial" w:hAnsi="Arial"/>
                <w:sz w:val="14"/>
                <w:szCs w:val="14"/>
                <w:color w:val="auto"/>
              </w:rPr>
              <w:t>March 31, 2009</w:t>
            </w:r>
          </w:p>
        </w:tc>
        <w:tc>
          <w:tcPr>
            <w:tcW w:w="12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w w:val="76"/>
              </w:rPr>
              <w:t>$</w:t>
            </w:r>
          </w:p>
        </w:tc>
        <w:tc>
          <w:tcPr>
            <w:tcW w:w="68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rPr>
              <w:t>1,279,134</w:t>
            </w:r>
          </w:p>
        </w:tc>
        <w:tc>
          <w:tcPr>
            <w:tcW w:w="140" w:type="dxa"/>
            <w:vAlign w:val="bottom"/>
            <w:shd w:val="clear" w:color="auto" w:fill="EAF9E8"/>
          </w:tcPr>
          <w:p>
            <w:pPr>
              <w:spacing w:after="0"/>
              <w:rPr>
                <w:sz w:val="12"/>
                <w:szCs w:val="12"/>
                <w:color w:val="auto"/>
              </w:rPr>
            </w:pPr>
          </w:p>
        </w:tc>
        <w:tc>
          <w:tcPr>
            <w:tcW w:w="180" w:type="dxa"/>
            <w:vAlign w:val="bottom"/>
            <w:gridSpan w:val="2"/>
            <w:shd w:val="clear" w:color="auto" w:fill="EAF9E8"/>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rPr>
              <w:t>60,025</w:t>
            </w:r>
          </w:p>
        </w:tc>
        <w:tc>
          <w:tcPr>
            <w:tcW w:w="220" w:type="dxa"/>
            <w:vAlign w:val="bottom"/>
            <w:shd w:val="clear" w:color="auto" w:fill="EAF9E8"/>
          </w:tcPr>
          <w:p>
            <w:pPr>
              <w:spacing w:after="0"/>
              <w:rPr>
                <w:sz w:val="12"/>
                <w:szCs w:val="12"/>
                <w:color w:val="auto"/>
              </w:rPr>
            </w:pPr>
          </w:p>
        </w:tc>
        <w:tc>
          <w:tcPr>
            <w:tcW w:w="140" w:type="dxa"/>
            <w:vAlign w:val="bottom"/>
            <w:shd w:val="clear" w:color="auto" w:fill="EAF9E8"/>
          </w:tcPr>
          <w:p>
            <w:pPr>
              <w:jc w:val="right"/>
              <w:ind w:right="27"/>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rPr>
              <w:t>22,790</w:t>
            </w:r>
          </w:p>
        </w:tc>
        <w:tc>
          <w:tcPr>
            <w:tcW w:w="220" w:type="dxa"/>
            <w:vAlign w:val="bottom"/>
            <w:shd w:val="clear" w:color="auto" w:fill="EAF9E8"/>
          </w:tcPr>
          <w:p>
            <w:pPr>
              <w:spacing w:after="0"/>
              <w:rPr>
                <w:sz w:val="12"/>
                <w:szCs w:val="12"/>
                <w:color w:val="auto"/>
              </w:rPr>
            </w:pPr>
          </w:p>
        </w:tc>
        <w:tc>
          <w:tcPr>
            <w:tcW w:w="100" w:type="dxa"/>
            <w:vAlign w:val="bottom"/>
            <w:shd w:val="clear" w:color="auto" w:fill="EAF9E8"/>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rPr>
              <w:t>4,002</w:t>
            </w:r>
          </w:p>
        </w:tc>
        <w:tc>
          <w:tcPr>
            <w:tcW w:w="100" w:type="dxa"/>
            <w:vAlign w:val="bottom"/>
            <w:shd w:val="clear" w:color="auto" w:fill="EAF9E8"/>
          </w:tcPr>
          <w:p>
            <w:pPr>
              <w:spacing w:after="0"/>
              <w:rPr>
                <w:sz w:val="12"/>
                <w:szCs w:val="12"/>
                <w:color w:val="auto"/>
              </w:rPr>
            </w:pPr>
          </w:p>
        </w:tc>
        <w:tc>
          <w:tcPr>
            <w:tcW w:w="220" w:type="dxa"/>
            <w:vAlign w:val="bottom"/>
            <w:gridSpan w:val="2"/>
            <w:shd w:val="clear" w:color="auto" w:fill="EAF9E8"/>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rPr>
              <w:t>59,886</w:t>
            </w:r>
          </w:p>
        </w:tc>
        <w:tc>
          <w:tcPr>
            <w:tcW w:w="220" w:type="dxa"/>
            <w:vAlign w:val="bottom"/>
            <w:shd w:val="clear" w:color="auto" w:fill="EAF9E8"/>
          </w:tcPr>
          <w:p>
            <w:pPr>
              <w:spacing w:after="0"/>
              <w:rPr>
                <w:sz w:val="12"/>
                <w:szCs w:val="12"/>
                <w:color w:val="auto"/>
              </w:rPr>
            </w:pPr>
          </w:p>
        </w:tc>
        <w:tc>
          <w:tcPr>
            <w:tcW w:w="80" w:type="dxa"/>
            <w:vAlign w:val="bottom"/>
            <w:shd w:val="clear" w:color="auto" w:fill="EAF9E8"/>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rPr>
              <w:t>8,489</w:t>
            </w:r>
          </w:p>
        </w:tc>
        <w:tc>
          <w:tcPr>
            <w:tcW w:w="140" w:type="dxa"/>
            <w:vAlign w:val="bottom"/>
            <w:shd w:val="clear" w:color="auto" w:fill="EAF9E8"/>
          </w:tcPr>
          <w:p>
            <w:pPr>
              <w:spacing w:after="0"/>
              <w:rPr>
                <w:sz w:val="12"/>
                <w:szCs w:val="12"/>
                <w:color w:val="auto"/>
              </w:rPr>
            </w:pPr>
          </w:p>
        </w:tc>
        <w:tc>
          <w:tcPr>
            <w:tcW w:w="200" w:type="dxa"/>
            <w:vAlign w:val="bottom"/>
            <w:gridSpan w:val="2"/>
            <w:shd w:val="clear" w:color="auto" w:fill="EAF9E8"/>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rPr>
              <w:t>595,435</w:t>
            </w:r>
          </w:p>
        </w:tc>
        <w:tc>
          <w:tcPr>
            <w:tcW w:w="140" w:type="dxa"/>
            <w:vAlign w:val="bottom"/>
            <w:shd w:val="clear" w:color="auto" w:fill="EAF9E8"/>
          </w:tcPr>
          <w:p>
            <w:pPr>
              <w:spacing w:after="0"/>
              <w:rPr>
                <w:sz w:val="12"/>
                <w:szCs w:val="12"/>
                <w:color w:val="auto"/>
              </w:rPr>
            </w:pPr>
          </w:p>
        </w:tc>
        <w:tc>
          <w:tcPr>
            <w:tcW w:w="160" w:type="dxa"/>
            <w:vAlign w:val="bottom"/>
            <w:gridSpan w:val="2"/>
            <w:shd w:val="clear" w:color="auto" w:fill="EAF9E8"/>
          </w:tcPr>
          <w:p>
            <w:pPr>
              <w:jc w:val="right"/>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EAF9E8"/>
          </w:tcPr>
          <w:p>
            <w:pPr>
              <w:jc w:val="right"/>
              <w:ind w:right="80"/>
              <w:spacing w:after="0" w:line="149" w:lineRule="exact"/>
              <w:rPr>
                <w:sz w:val="20"/>
                <w:szCs w:val="20"/>
                <w:color w:val="auto"/>
              </w:rPr>
            </w:pPr>
            <w:r>
              <w:rPr>
                <w:rFonts w:ascii="Arial" w:cs="Arial" w:eastAsia="Arial" w:hAnsi="Arial"/>
                <w:sz w:val="14"/>
                <w:szCs w:val="14"/>
                <w:color w:val="auto"/>
              </w:rPr>
              <w:t>(245)</w:t>
            </w:r>
          </w:p>
        </w:tc>
        <w:tc>
          <w:tcPr>
            <w:tcW w:w="220" w:type="dxa"/>
            <w:vAlign w:val="bottom"/>
            <w:gridSpan w:val="2"/>
            <w:shd w:val="clear" w:color="auto" w:fill="EAF9E8"/>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rPr>
              <w:t>2,029,516</w:t>
            </w:r>
          </w:p>
        </w:tc>
        <w:tc>
          <w:tcPr>
            <w:tcW w:w="120" w:type="dxa"/>
            <w:vAlign w:val="bottom"/>
            <w:shd w:val="clear" w:color="auto" w:fill="EAF9E8"/>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160" w:type="dxa"/>
            <w:vAlign w:val="bottom"/>
          </w:tcPr>
          <w:p>
            <w:pPr>
              <w:spacing w:after="0"/>
              <w:rPr>
                <w:sz w:val="24"/>
                <w:szCs w:val="24"/>
                <w:color w:val="auto"/>
              </w:rPr>
            </w:pPr>
          </w:p>
        </w:tc>
        <w:tc>
          <w:tcPr>
            <w:tcW w:w="2040" w:type="dxa"/>
            <w:vAlign w:val="bottom"/>
            <w:gridSpan w:val="4"/>
          </w:tcPr>
          <w:p>
            <w:pPr>
              <w:spacing w:after="0"/>
              <w:rPr>
                <w:sz w:val="20"/>
                <w:szCs w:val="20"/>
                <w:color w:val="auto"/>
              </w:rPr>
            </w:pPr>
            <w:r>
              <w:rPr>
                <w:rFonts w:ascii="Arial" w:cs="Arial" w:eastAsia="Arial" w:hAnsi="Arial"/>
                <w:sz w:val="14"/>
                <w:szCs w:val="14"/>
                <w:color w:val="auto"/>
              </w:rPr>
              <w:t>December 31, 2008</w:t>
            </w:r>
          </w:p>
        </w:tc>
        <w:tc>
          <w:tcPr>
            <w:tcW w:w="1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1,416,615</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67,317</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26,755</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3,558</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58,707</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8,906</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655,471</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4"/>
                <w:szCs w:val="14"/>
                <w:color w:val="auto"/>
              </w:rPr>
              <w:t>(229)</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2,237,100</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6"/>
        </w:trPr>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60" w:type="dxa"/>
            <w:vAlign w:val="bottom"/>
            <w:shd w:val="clear" w:color="auto" w:fill="EAF9E8"/>
          </w:tcPr>
          <w:p>
            <w:pPr>
              <w:spacing w:after="0"/>
              <w:rPr>
                <w:sz w:val="12"/>
                <w:szCs w:val="12"/>
                <w:color w:val="auto"/>
              </w:rPr>
            </w:pPr>
          </w:p>
        </w:tc>
        <w:tc>
          <w:tcPr>
            <w:tcW w:w="2040" w:type="dxa"/>
            <w:vAlign w:val="bottom"/>
            <w:gridSpan w:val="4"/>
            <w:shd w:val="clear" w:color="auto" w:fill="EAF9E8"/>
          </w:tcPr>
          <w:p>
            <w:pPr>
              <w:spacing w:after="0" w:line="149" w:lineRule="exact"/>
              <w:rPr>
                <w:sz w:val="20"/>
                <w:szCs w:val="20"/>
                <w:color w:val="auto"/>
              </w:rPr>
            </w:pPr>
            <w:r>
              <w:rPr>
                <w:rFonts w:ascii="Arial" w:cs="Arial" w:eastAsia="Arial" w:hAnsi="Arial"/>
                <w:sz w:val="14"/>
                <w:szCs w:val="14"/>
                <w:color w:val="auto"/>
              </w:rPr>
              <w:t>March 31, 2008</w:t>
            </w:r>
          </w:p>
        </w:tc>
        <w:tc>
          <w:tcPr>
            <w:tcW w:w="120" w:type="dxa"/>
            <w:vAlign w:val="bottom"/>
            <w:shd w:val="clear" w:color="auto" w:fill="EAF9E8"/>
          </w:tcPr>
          <w:p>
            <w:pPr>
              <w:spacing w:after="0"/>
              <w:rPr>
                <w:sz w:val="12"/>
                <w:szCs w:val="12"/>
                <w:color w:val="auto"/>
              </w:rPr>
            </w:pPr>
          </w:p>
        </w:tc>
        <w:tc>
          <w:tcPr>
            <w:tcW w:w="68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rPr>
              <w:t>1,746,667</w:t>
            </w:r>
          </w:p>
        </w:tc>
        <w:tc>
          <w:tcPr>
            <w:tcW w:w="140" w:type="dxa"/>
            <w:vAlign w:val="bottom"/>
            <w:shd w:val="clear" w:color="auto" w:fill="EAF9E8"/>
          </w:tcPr>
          <w:p>
            <w:pPr>
              <w:spacing w:after="0"/>
              <w:rPr>
                <w:sz w:val="12"/>
                <w:szCs w:val="12"/>
                <w:color w:val="auto"/>
              </w:rPr>
            </w:pPr>
          </w:p>
        </w:tc>
        <w:tc>
          <w:tcPr>
            <w:tcW w:w="8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70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rPr>
              <w:t>92,885</w:t>
            </w:r>
          </w:p>
        </w:tc>
        <w:tc>
          <w:tcPr>
            <w:tcW w:w="220" w:type="dxa"/>
            <w:vAlign w:val="bottom"/>
            <w:shd w:val="clear" w:color="auto" w:fill="EAF9E8"/>
          </w:tcPr>
          <w:p>
            <w:pPr>
              <w:spacing w:after="0"/>
              <w:rPr>
                <w:sz w:val="12"/>
                <w:szCs w:val="12"/>
                <w:color w:val="auto"/>
              </w:rPr>
            </w:pPr>
          </w:p>
        </w:tc>
        <w:tc>
          <w:tcPr>
            <w:tcW w:w="140" w:type="dxa"/>
            <w:vAlign w:val="bottom"/>
            <w:shd w:val="clear" w:color="auto" w:fill="EAF9E8"/>
          </w:tcPr>
          <w:p>
            <w:pPr>
              <w:spacing w:after="0"/>
              <w:rPr>
                <w:sz w:val="12"/>
                <w:szCs w:val="12"/>
                <w:color w:val="auto"/>
              </w:rPr>
            </w:pPr>
          </w:p>
        </w:tc>
        <w:tc>
          <w:tcPr>
            <w:tcW w:w="66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rPr>
              <w:t>67,350</w:t>
            </w:r>
          </w:p>
        </w:tc>
        <w:tc>
          <w:tcPr>
            <w:tcW w:w="22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72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rPr>
              <w:t>16,128</w:t>
            </w:r>
          </w:p>
        </w:tc>
        <w:tc>
          <w:tcPr>
            <w:tcW w:w="10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120" w:type="dxa"/>
            <w:vAlign w:val="bottom"/>
            <w:shd w:val="clear" w:color="auto" w:fill="EAF9E8"/>
          </w:tcPr>
          <w:p>
            <w:pPr>
              <w:spacing w:after="0"/>
              <w:rPr>
                <w:sz w:val="12"/>
                <w:szCs w:val="12"/>
                <w:color w:val="auto"/>
              </w:rPr>
            </w:pPr>
          </w:p>
        </w:tc>
        <w:tc>
          <w:tcPr>
            <w:tcW w:w="70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rPr>
              <w:t>64,822</w:t>
            </w:r>
          </w:p>
        </w:tc>
        <w:tc>
          <w:tcPr>
            <w:tcW w:w="220" w:type="dxa"/>
            <w:vAlign w:val="bottom"/>
            <w:shd w:val="clear" w:color="auto" w:fill="EAF9E8"/>
          </w:tcPr>
          <w:p>
            <w:pPr>
              <w:spacing w:after="0"/>
              <w:rPr>
                <w:sz w:val="12"/>
                <w:szCs w:val="12"/>
                <w:color w:val="auto"/>
              </w:rPr>
            </w:pPr>
          </w:p>
        </w:tc>
        <w:tc>
          <w:tcPr>
            <w:tcW w:w="80" w:type="dxa"/>
            <w:vAlign w:val="bottom"/>
            <w:shd w:val="clear" w:color="auto" w:fill="EAF9E8"/>
          </w:tcPr>
          <w:p>
            <w:pPr>
              <w:spacing w:after="0"/>
              <w:rPr>
                <w:sz w:val="12"/>
                <w:szCs w:val="12"/>
                <w:color w:val="auto"/>
              </w:rPr>
            </w:pPr>
          </w:p>
        </w:tc>
        <w:tc>
          <w:tcPr>
            <w:tcW w:w="72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rPr>
              <w:t>24,660</w:t>
            </w:r>
          </w:p>
        </w:tc>
        <w:tc>
          <w:tcPr>
            <w:tcW w:w="14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72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rPr>
              <w:t>739,165</w:t>
            </w:r>
          </w:p>
        </w:tc>
        <w:tc>
          <w:tcPr>
            <w:tcW w:w="140" w:type="dxa"/>
            <w:vAlign w:val="bottom"/>
            <w:shd w:val="clear" w:color="auto" w:fill="EAF9E8"/>
          </w:tcPr>
          <w:p>
            <w:pPr>
              <w:spacing w:after="0"/>
              <w:rPr>
                <w:sz w:val="12"/>
                <w:szCs w:val="12"/>
                <w:color w:val="auto"/>
              </w:rPr>
            </w:pPr>
          </w:p>
        </w:tc>
        <w:tc>
          <w:tcPr>
            <w:tcW w:w="80" w:type="dxa"/>
            <w:vAlign w:val="bottom"/>
            <w:shd w:val="clear" w:color="auto" w:fill="EAF9E8"/>
          </w:tcPr>
          <w:p>
            <w:pPr>
              <w:spacing w:after="0"/>
              <w:rPr>
                <w:sz w:val="12"/>
                <w:szCs w:val="12"/>
                <w:color w:val="auto"/>
              </w:rPr>
            </w:pPr>
          </w:p>
        </w:tc>
        <w:tc>
          <w:tcPr>
            <w:tcW w:w="80" w:type="dxa"/>
            <w:vAlign w:val="bottom"/>
            <w:shd w:val="clear" w:color="auto" w:fill="EAF9E8"/>
          </w:tcPr>
          <w:p>
            <w:pPr>
              <w:spacing w:after="0"/>
              <w:rPr>
                <w:sz w:val="12"/>
                <w:szCs w:val="12"/>
                <w:color w:val="auto"/>
              </w:rPr>
            </w:pPr>
          </w:p>
        </w:tc>
        <w:tc>
          <w:tcPr>
            <w:tcW w:w="880" w:type="dxa"/>
            <w:vAlign w:val="bottom"/>
            <w:gridSpan w:val="2"/>
            <w:shd w:val="clear" w:color="auto" w:fill="EAF9E8"/>
          </w:tcPr>
          <w:p>
            <w:pPr>
              <w:jc w:val="right"/>
              <w:ind w:right="80"/>
              <w:spacing w:after="0" w:line="149" w:lineRule="exact"/>
              <w:rPr>
                <w:sz w:val="20"/>
                <w:szCs w:val="20"/>
                <w:color w:val="auto"/>
              </w:rPr>
            </w:pPr>
            <w:r>
              <w:rPr>
                <w:rFonts w:ascii="Arial" w:cs="Arial" w:eastAsia="Arial" w:hAnsi="Arial"/>
                <w:sz w:val="14"/>
                <w:szCs w:val="14"/>
                <w:color w:val="auto"/>
              </w:rPr>
              <w:t>(276)</w:t>
            </w:r>
          </w:p>
        </w:tc>
        <w:tc>
          <w:tcPr>
            <w:tcW w:w="100" w:type="dxa"/>
            <w:vAlign w:val="bottom"/>
            <w:shd w:val="clear" w:color="auto" w:fill="EAF9E8"/>
          </w:tcPr>
          <w:p>
            <w:pPr>
              <w:spacing w:after="0"/>
              <w:rPr>
                <w:sz w:val="12"/>
                <w:szCs w:val="12"/>
                <w:color w:val="auto"/>
              </w:rPr>
            </w:pPr>
          </w:p>
        </w:tc>
        <w:tc>
          <w:tcPr>
            <w:tcW w:w="120" w:type="dxa"/>
            <w:vAlign w:val="bottom"/>
            <w:shd w:val="clear" w:color="auto" w:fill="EAF9E8"/>
          </w:tcPr>
          <w:p>
            <w:pPr>
              <w:spacing w:after="0"/>
              <w:rPr>
                <w:sz w:val="12"/>
                <w:szCs w:val="12"/>
                <w:color w:val="auto"/>
              </w:rPr>
            </w:pPr>
          </w:p>
        </w:tc>
        <w:tc>
          <w:tcPr>
            <w:tcW w:w="72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rPr>
              <w:t>2,751,401</w:t>
            </w:r>
          </w:p>
        </w:tc>
        <w:tc>
          <w:tcPr>
            <w:tcW w:w="120" w:type="dxa"/>
            <w:vAlign w:val="bottom"/>
            <w:shd w:val="clear" w:color="auto" w:fill="EAF9E8"/>
          </w:tcPr>
          <w:p>
            <w:pPr>
              <w:spacing w:after="0"/>
              <w:rPr>
                <w:sz w:val="12"/>
                <w:szCs w:val="12"/>
                <w:color w:val="auto"/>
              </w:rPr>
            </w:pPr>
          </w:p>
        </w:tc>
        <w:tc>
          <w:tcPr>
            <w:tcW w:w="0" w:type="dxa"/>
            <w:vAlign w:val="bottom"/>
          </w:tcPr>
          <w:p>
            <w:pPr>
              <w:spacing w:after="0"/>
              <w:rPr>
                <w:sz w:val="1"/>
                <w:szCs w:val="1"/>
                <w:color w:val="auto"/>
              </w:rPr>
            </w:pPr>
          </w:p>
        </w:tc>
      </w:tr>
    </w:tbl>
    <w:p>
      <w:pPr>
        <w:spacing w:after="0" w:line="248" w:lineRule="exact"/>
        <w:rPr>
          <w:sz w:val="20"/>
          <w:szCs w:val="20"/>
          <w:color w:val="auto"/>
        </w:rPr>
      </w:pPr>
    </w:p>
    <w:p>
      <w:pPr>
        <w:ind w:left="580" w:right="20" w:hanging="572"/>
        <w:spacing w:after="0" w:line="268" w:lineRule="auto"/>
        <w:tabs>
          <w:tab w:leader="none" w:pos="5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Intersegment billings for services rendered to other segments are recorded as revenues, as contra-expense or as other income depending on the type of service that is rendered. Intersegment billings are as follows: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center"/>
              <w:ind w:right="52"/>
              <w:spacing w:after="0"/>
              <w:rPr>
                <w:sz w:val="20"/>
                <w:szCs w:val="20"/>
                <w:color w:val="auto"/>
              </w:rPr>
            </w:pPr>
            <w:r>
              <w:rPr>
                <w:rFonts w:ascii="Arial" w:cs="Arial" w:eastAsia="Arial" w:hAnsi="Arial"/>
                <w:sz w:val="18"/>
                <w:szCs w:val="18"/>
                <w:color w:val="auto"/>
                <w:w w:val="84"/>
              </w:rPr>
              <w:t>Asset</w:t>
            </w: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center"/>
              <w:ind w:right="52"/>
              <w:spacing w:after="0"/>
              <w:rPr>
                <w:sz w:val="20"/>
                <w:szCs w:val="20"/>
                <w:color w:val="auto"/>
              </w:rPr>
            </w:pPr>
            <w:r>
              <w:rPr>
                <w:rFonts w:ascii="Arial" w:cs="Arial" w:eastAsia="Arial" w:hAnsi="Arial"/>
                <w:sz w:val="18"/>
                <w:szCs w:val="18"/>
                <w:color w:val="auto"/>
                <w:w w:val="84"/>
              </w:rPr>
              <w:t>Business</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center"/>
              <w:spacing w:after="0"/>
              <w:rPr>
                <w:sz w:val="20"/>
                <w:szCs w:val="20"/>
                <w:color w:val="auto"/>
              </w:rPr>
            </w:pPr>
            <w:r>
              <w:rPr>
                <w:rFonts w:ascii="Arial" w:cs="Arial" w:eastAsia="Arial" w:hAnsi="Arial"/>
                <w:sz w:val="18"/>
                <w:szCs w:val="18"/>
                <w:color w:val="auto"/>
                <w:w w:val="85"/>
              </w:rPr>
              <w:t>Management</w:t>
            </w:r>
          </w:p>
        </w:tc>
        <w:tc>
          <w:tcPr>
            <w:tcW w:w="220" w:type="dxa"/>
            <w:vAlign w:val="bottom"/>
          </w:tcPr>
          <w:p>
            <w:pPr>
              <w:spacing w:after="0"/>
              <w:rPr>
                <w:sz w:val="18"/>
                <w:szCs w:val="18"/>
                <w:color w:val="auto"/>
              </w:rPr>
            </w:pPr>
          </w:p>
        </w:tc>
        <w:tc>
          <w:tcPr>
            <w:tcW w:w="860" w:type="dxa"/>
            <w:vAlign w:val="bottom"/>
          </w:tcPr>
          <w:p>
            <w:pPr>
              <w:jc w:val="center"/>
              <w:ind w:left="92"/>
              <w:spacing w:after="0"/>
              <w:rPr>
                <w:sz w:val="20"/>
                <w:szCs w:val="20"/>
                <w:color w:val="auto"/>
              </w:rPr>
            </w:pPr>
            <w:r>
              <w:rPr>
                <w:rFonts w:ascii="Arial" w:cs="Arial" w:eastAsia="Arial" w:hAnsi="Arial"/>
                <w:sz w:val="18"/>
                <w:szCs w:val="18"/>
                <w:color w:val="auto"/>
                <w:w w:val="89"/>
              </w:rPr>
              <w:t>Mortgage</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w w:val="85"/>
              </w:rPr>
              <w:t>Technology</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center"/>
              <w:ind w:right="72"/>
              <w:spacing w:after="0"/>
              <w:rPr>
                <w:sz w:val="20"/>
                <w:szCs w:val="20"/>
                <w:color w:val="auto"/>
              </w:rPr>
            </w:pPr>
            <w:r>
              <w:rPr>
                <w:rFonts w:ascii="Arial" w:cs="Arial" w:eastAsia="Arial" w:hAnsi="Arial"/>
                <w:sz w:val="18"/>
                <w:szCs w:val="18"/>
                <w:color w:val="auto"/>
                <w:w w:val="83"/>
              </w:rPr>
              <w:t>Segments</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w w:val="94"/>
              </w:rPr>
              <w:t>Servicing</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center"/>
              <w:ind w:right="52"/>
              <w:spacing w:after="0"/>
              <w:rPr>
                <w:sz w:val="20"/>
                <w:szCs w:val="20"/>
                <w:color w:val="auto"/>
              </w:rPr>
            </w:pPr>
            <w:r>
              <w:rPr>
                <w:rFonts w:ascii="Arial" w:cs="Arial" w:eastAsia="Arial" w:hAnsi="Arial"/>
                <w:sz w:val="18"/>
                <w:szCs w:val="18"/>
                <w:color w:val="auto"/>
                <w:w w:val="85"/>
              </w:rPr>
              <w:t>Vehicles</w:t>
            </w:r>
          </w:p>
        </w:tc>
        <w:tc>
          <w:tcPr>
            <w:tcW w:w="220" w:type="dxa"/>
            <w:vAlign w:val="bottom"/>
          </w:tcPr>
          <w:p>
            <w:pPr>
              <w:spacing w:after="0"/>
              <w:rPr>
                <w:sz w:val="19"/>
                <w:szCs w:val="19"/>
                <w:color w:val="auto"/>
              </w:rPr>
            </w:pPr>
          </w:p>
        </w:tc>
        <w:tc>
          <w:tcPr>
            <w:tcW w:w="860" w:type="dxa"/>
            <w:vAlign w:val="bottom"/>
          </w:tcPr>
          <w:p>
            <w:pPr>
              <w:jc w:val="center"/>
              <w:ind w:left="92"/>
              <w:spacing w:after="0"/>
              <w:rPr>
                <w:sz w:val="20"/>
                <w:szCs w:val="20"/>
                <w:color w:val="auto"/>
              </w:rPr>
            </w:pPr>
            <w:r>
              <w:rPr>
                <w:rFonts w:ascii="Arial" w:cs="Arial" w:eastAsia="Arial" w:hAnsi="Arial"/>
                <w:sz w:val="18"/>
                <w:szCs w:val="18"/>
                <w:color w:val="auto"/>
                <w:w w:val="86"/>
              </w:rPr>
              <w:t>Services</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ind w:right="132"/>
              <w:spacing w:after="0"/>
              <w:rPr>
                <w:sz w:val="20"/>
                <w:szCs w:val="20"/>
                <w:color w:val="auto"/>
              </w:rPr>
            </w:pPr>
            <w:r>
              <w:rPr>
                <w:rFonts w:ascii="Arial" w:cs="Arial" w:eastAsia="Arial" w:hAnsi="Arial"/>
                <w:sz w:val="18"/>
                <w:szCs w:val="18"/>
                <w:color w:val="auto"/>
                <w:w w:val="98"/>
              </w:rPr>
              <w:t>Products</w:t>
            </w:r>
          </w:p>
        </w:tc>
        <w:tc>
          <w:tcPr>
            <w:tcW w:w="220" w:type="dxa"/>
            <w:vAlign w:val="bottom"/>
          </w:tcPr>
          <w:p>
            <w:pPr>
              <w:spacing w:after="0"/>
              <w:rPr>
                <w:sz w:val="19"/>
                <w:szCs w:val="19"/>
                <w:color w:val="auto"/>
              </w:rPr>
            </w:pPr>
          </w:p>
        </w:tc>
        <w:tc>
          <w:tcPr>
            <w:tcW w:w="1060" w:type="dxa"/>
            <w:vAlign w:val="bottom"/>
            <w:gridSpan w:val="2"/>
          </w:tcPr>
          <w:p>
            <w:pPr>
              <w:jc w:val="center"/>
              <w:spacing w:after="0"/>
              <w:rPr>
                <w:sz w:val="20"/>
                <w:szCs w:val="20"/>
                <w:color w:val="auto"/>
              </w:rPr>
            </w:pPr>
            <w:r>
              <w:rPr>
                <w:rFonts w:ascii="Arial" w:cs="Arial" w:eastAsia="Arial" w:hAnsi="Arial"/>
                <w:sz w:val="18"/>
                <w:szCs w:val="18"/>
                <w:color w:val="auto"/>
                <w:w w:val="87"/>
              </w:rPr>
              <w:t>Consolidated</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52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5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spacing w:after="0"/>
              <w:rPr>
                <w:sz w:val="12"/>
                <w:szCs w:val="12"/>
                <w:color w:val="auto"/>
              </w:rPr>
            </w:pPr>
          </w:p>
        </w:tc>
        <w:tc>
          <w:tcPr>
            <w:tcW w:w="260" w:type="dxa"/>
            <w:vAlign w:val="bottom"/>
            <w:gridSpan w:val="2"/>
          </w:tcPr>
          <w:p>
            <w:pPr>
              <w:spacing w:after="0"/>
              <w:rPr>
                <w:sz w:val="12"/>
                <w:szCs w:val="12"/>
                <w:color w:val="auto"/>
              </w:rPr>
            </w:pPr>
          </w:p>
        </w:tc>
        <w:tc>
          <w:tcPr>
            <w:tcW w:w="880" w:type="dxa"/>
            <w:vAlign w:val="bottom"/>
          </w:tcPr>
          <w:p>
            <w:pPr>
              <w:spacing w:after="0"/>
              <w:rPr>
                <w:sz w:val="12"/>
                <w:szCs w:val="12"/>
                <w:color w:val="auto"/>
              </w:rPr>
            </w:pPr>
          </w:p>
        </w:tc>
        <w:tc>
          <w:tcPr>
            <w:tcW w:w="1080" w:type="dxa"/>
            <w:vAlign w:val="bottom"/>
            <w:gridSpan w:val="2"/>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gridSpan w:val="2"/>
          </w:tcPr>
          <w:p>
            <w:pPr>
              <w:spacing w:after="0"/>
              <w:rPr>
                <w:sz w:val="12"/>
                <w:szCs w:val="12"/>
                <w:color w:val="auto"/>
              </w:rPr>
            </w:pPr>
          </w:p>
        </w:tc>
        <w:tc>
          <w:tcPr>
            <w:tcW w:w="940" w:type="dxa"/>
            <w:vAlign w:val="bottom"/>
          </w:tcPr>
          <w:p>
            <w:pPr>
              <w:spacing w:after="0"/>
              <w:rPr>
                <w:sz w:val="12"/>
                <w:szCs w:val="12"/>
                <w:color w:val="auto"/>
              </w:rPr>
            </w:pPr>
          </w:p>
        </w:tc>
        <w:tc>
          <w:tcPr>
            <w:tcW w:w="360" w:type="dxa"/>
            <w:vAlign w:val="bottom"/>
            <w:gridSpan w:val="2"/>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20" w:type="dxa"/>
            <w:vAlign w:val="bottom"/>
            <w:shd w:val="clear" w:color="auto" w:fill="EAF9E8"/>
          </w:tcPr>
          <w:p>
            <w:pPr>
              <w:spacing w:after="0"/>
              <w:rPr>
                <w:sz w:val="20"/>
                <w:szCs w:val="20"/>
                <w:color w:val="auto"/>
              </w:rPr>
            </w:pPr>
            <w:r>
              <w:rPr>
                <w:rFonts w:ascii="Arial" w:cs="Arial" w:eastAsia="Arial" w:hAnsi="Arial"/>
                <w:sz w:val="18"/>
                <w:szCs w:val="18"/>
                <w:color w:val="auto"/>
              </w:rPr>
              <w:t>For the three months ended March 31, 2009</w:t>
            </w:r>
          </w:p>
        </w:tc>
        <w:tc>
          <w:tcPr>
            <w:tcW w:w="120" w:type="dxa"/>
            <w:vAlign w:val="bottom"/>
            <w:shd w:val="clear" w:color="auto" w:fill="EAF9E8"/>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2,383</w:t>
            </w:r>
          </w:p>
        </w:tc>
        <w:tc>
          <w:tcPr>
            <w:tcW w:w="26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141</w:t>
            </w:r>
          </w:p>
        </w:tc>
        <w:tc>
          <w:tcPr>
            <w:tcW w:w="1080" w:type="dxa"/>
            <w:vAlign w:val="bottom"/>
            <w:gridSpan w:val="2"/>
            <w:shd w:val="clear" w:color="auto" w:fill="EAF9E8"/>
          </w:tcPr>
          <w:p>
            <w:pPr>
              <w:jc w:val="right"/>
              <w:ind w:right="692"/>
              <w:spacing w:after="0"/>
              <w:rPr>
                <w:sz w:val="20"/>
                <w:szCs w:val="20"/>
                <w:color w:val="auto"/>
              </w:rPr>
            </w:pPr>
            <w:r>
              <w:rPr>
                <w:rFonts w:ascii="Arial" w:cs="Arial" w:eastAsia="Arial" w:hAnsi="Arial"/>
                <w:sz w:val="18"/>
                <w:szCs w:val="18"/>
                <w:color w:val="auto"/>
              </w:rPr>
              <w:t>$</w:t>
            </w:r>
          </w:p>
        </w:tc>
        <w:tc>
          <w:tcPr>
            <w:tcW w:w="180" w:type="dxa"/>
            <w:vAlign w:val="bottom"/>
            <w:shd w:val="clear" w:color="auto" w:fill="EAF9E8"/>
          </w:tcPr>
          <w:p>
            <w:pPr>
              <w:spacing w:after="0"/>
              <w:rPr>
                <w:sz w:val="20"/>
                <w:szCs w:val="20"/>
                <w:color w:val="auto"/>
              </w:rPr>
            </w:pPr>
            <w:r>
              <w:rPr>
                <w:rFonts w:ascii="Arial" w:cs="Arial" w:eastAsia="Arial" w:hAnsi="Arial"/>
                <w:sz w:val="18"/>
                <w:szCs w:val="18"/>
                <w:color w:val="auto"/>
                <w:w w:val="88"/>
              </w:rPr>
              <w:t>—</w:t>
            </w:r>
          </w:p>
        </w:tc>
        <w:tc>
          <w:tcPr>
            <w:tcW w:w="32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8,392</w:t>
            </w:r>
          </w:p>
        </w:tc>
        <w:tc>
          <w:tcPr>
            <w:tcW w:w="36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10,916</w:t>
            </w:r>
          </w:p>
        </w:tc>
        <w:tc>
          <w:tcPr>
            <w:tcW w:w="12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For the three months ended March 31, 2008</w:t>
            </w:r>
          </w:p>
        </w:tc>
        <w:tc>
          <w:tcPr>
            <w:tcW w:w="1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1,333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370</w:t>
            </w: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w w:val="79"/>
              </w:rPr>
              <w:t>21</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6,112</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7,836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jc w:val="both"/>
        <w:ind w:left="580" w:right="20" w:hanging="572"/>
        <w:spacing w:after="0" w:line="306" w:lineRule="auto"/>
        <w:tabs>
          <w:tab w:leader="none" w:pos="5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Servicing has a contractual right to receive interest income on float balances. However, Corporate controls investment decisions associated with the float balances. Accordingly, Servicing receives revenues generated by those investments that are associated with float balances but are reported in Corporate Items and Other. Gains and losses associated with Corporate investment decisions are recognized in Corporate Items and Other.</w:t>
      </w:r>
    </w:p>
    <w:p>
      <w:pPr>
        <w:sectPr>
          <w:pgSz w:w="11900" w:h="16838" w:orient="portrait"/>
          <w:cols w:equalWidth="0" w:num="1">
            <w:col w:w="11420"/>
          </w:cols>
          <w:pgMar w:left="240" w:top="131" w:right="239" w:bottom="1440" w:gutter="0" w:footer="0" w:header="0"/>
        </w:sectPr>
      </w:pP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67575"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27" w:name="page28"/>
    <w:bookmarkEnd w:id="27"/>
    <w:p>
      <w:pPr>
        <w:ind w:left="580" w:hanging="572"/>
        <w:spacing w:after="0"/>
        <w:tabs>
          <w:tab w:leader="none" w:pos="5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Depreciation and amortization expense are as follows: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8"/>
                <w:szCs w:val="18"/>
                <w:color w:val="auto"/>
                <w:w w:val="87"/>
              </w:rPr>
              <w:t>Corporate</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center"/>
              <w:ind w:right="52"/>
              <w:spacing w:after="0"/>
              <w:rPr>
                <w:sz w:val="20"/>
                <w:szCs w:val="20"/>
                <w:color w:val="auto"/>
              </w:rPr>
            </w:pPr>
            <w:r>
              <w:rPr>
                <w:rFonts w:ascii="Arial" w:cs="Arial" w:eastAsia="Arial" w:hAnsi="Arial"/>
                <w:sz w:val="18"/>
                <w:szCs w:val="18"/>
                <w:color w:val="auto"/>
                <w:w w:val="84"/>
              </w:rPr>
              <w:t>Business</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ind w:right="72"/>
              <w:spacing w:after="0"/>
              <w:rPr>
                <w:sz w:val="20"/>
                <w:szCs w:val="20"/>
                <w:color w:val="auto"/>
              </w:rPr>
            </w:pPr>
            <w:r>
              <w:rPr>
                <w:rFonts w:ascii="Arial" w:cs="Arial" w:eastAsia="Arial" w:hAnsi="Arial"/>
                <w:sz w:val="18"/>
                <w:szCs w:val="18"/>
                <w:color w:val="auto"/>
                <w:w w:val="87"/>
              </w:rPr>
              <w:t>Loans and</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ind w:right="92"/>
              <w:spacing w:after="0"/>
              <w:rPr>
                <w:sz w:val="20"/>
                <w:szCs w:val="20"/>
                <w:color w:val="auto"/>
              </w:rPr>
            </w:pPr>
            <w:r>
              <w:rPr>
                <w:rFonts w:ascii="Arial" w:cs="Arial" w:eastAsia="Arial" w:hAnsi="Arial"/>
                <w:sz w:val="18"/>
                <w:szCs w:val="18"/>
                <w:color w:val="auto"/>
                <w:w w:val="92"/>
              </w:rPr>
              <w:t>Mortgage</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ind w:right="112"/>
              <w:spacing w:after="0"/>
              <w:rPr>
                <w:sz w:val="20"/>
                <w:szCs w:val="20"/>
                <w:color w:val="auto"/>
              </w:rPr>
            </w:pPr>
            <w:r>
              <w:rPr>
                <w:rFonts w:ascii="Arial" w:cs="Arial" w:eastAsia="Arial" w:hAnsi="Arial"/>
                <w:sz w:val="18"/>
                <w:szCs w:val="18"/>
                <w:color w:val="auto"/>
                <w:w w:val="94"/>
              </w:rPr>
              <w:t>Financial</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w w:val="88"/>
              </w:rPr>
              <w:t>Technology</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8"/>
                <w:szCs w:val="18"/>
                <w:color w:val="auto"/>
                <w:w w:val="85"/>
              </w:rPr>
              <w:t>Items and</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center"/>
              <w:ind w:right="72"/>
              <w:spacing w:after="0"/>
              <w:rPr>
                <w:sz w:val="20"/>
                <w:szCs w:val="20"/>
                <w:color w:val="auto"/>
              </w:rPr>
            </w:pPr>
            <w:r>
              <w:rPr>
                <w:rFonts w:ascii="Arial" w:cs="Arial" w:eastAsia="Arial" w:hAnsi="Arial"/>
                <w:sz w:val="18"/>
                <w:szCs w:val="18"/>
                <w:color w:val="auto"/>
                <w:w w:val="83"/>
              </w:rPr>
              <w:t>Segments</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ind w:right="92"/>
              <w:spacing w:after="0"/>
              <w:rPr>
                <w:sz w:val="20"/>
                <w:szCs w:val="20"/>
                <w:color w:val="auto"/>
              </w:rPr>
            </w:pPr>
            <w:r>
              <w:rPr>
                <w:rFonts w:ascii="Arial" w:cs="Arial" w:eastAsia="Arial" w:hAnsi="Arial"/>
                <w:sz w:val="18"/>
                <w:szCs w:val="18"/>
                <w:color w:val="auto"/>
                <w:w w:val="94"/>
              </w:rPr>
              <w:t>Servicing</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ind w:right="92"/>
              <w:spacing w:after="0"/>
              <w:rPr>
                <w:sz w:val="20"/>
                <w:szCs w:val="20"/>
                <w:color w:val="auto"/>
              </w:rPr>
            </w:pPr>
            <w:r>
              <w:rPr>
                <w:rFonts w:ascii="Arial" w:cs="Arial" w:eastAsia="Arial" w:hAnsi="Arial"/>
                <w:sz w:val="18"/>
                <w:szCs w:val="18"/>
                <w:color w:val="auto"/>
                <w:w w:val="91"/>
              </w:rPr>
              <w:t>Residuals</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ind w:right="132"/>
              <w:spacing w:after="0"/>
              <w:rPr>
                <w:sz w:val="20"/>
                <w:szCs w:val="20"/>
                <w:color w:val="auto"/>
              </w:rPr>
            </w:pPr>
            <w:r>
              <w:rPr>
                <w:rFonts w:ascii="Arial" w:cs="Arial" w:eastAsia="Arial" w:hAnsi="Arial"/>
                <w:sz w:val="18"/>
                <w:szCs w:val="18"/>
                <w:color w:val="auto"/>
                <w:w w:val="95"/>
              </w:rPr>
              <w:t>Services</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ind w:right="132"/>
              <w:spacing w:after="0"/>
              <w:rPr>
                <w:sz w:val="20"/>
                <w:szCs w:val="20"/>
                <w:color w:val="auto"/>
              </w:rPr>
            </w:pPr>
            <w:r>
              <w:rPr>
                <w:rFonts w:ascii="Arial" w:cs="Arial" w:eastAsia="Arial" w:hAnsi="Arial"/>
                <w:sz w:val="18"/>
                <w:szCs w:val="18"/>
                <w:color w:val="auto"/>
                <w:w w:val="95"/>
              </w:rPr>
              <w:t>Services</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jc w:val="right"/>
              <w:ind w:right="132"/>
              <w:spacing w:after="0"/>
              <w:rPr>
                <w:sz w:val="20"/>
                <w:szCs w:val="20"/>
                <w:color w:val="auto"/>
              </w:rPr>
            </w:pPr>
            <w:r>
              <w:rPr>
                <w:rFonts w:ascii="Arial" w:cs="Arial" w:eastAsia="Arial" w:hAnsi="Arial"/>
                <w:sz w:val="18"/>
                <w:szCs w:val="18"/>
                <w:color w:val="auto"/>
              </w:rPr>
              <w:t>Products</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8"/>
                <w:szCs w:val="18"/>
                <w:color w:val="auto"/>
                <w:w w:val="88"/>
              </w:rPr>
              <w:t>Other</w:t>
            </w:r>
          </w:p>
        </w:tc>
        <w:tc>
          <w:tcPr>
            <w:tcW w:w="120" w:type="dxa"/>
            <w:vAlign w:val="bottom"/>
          </w:tcPr>
          <w:p>
            <w:pPr>
              <w:spacing w:after="0"/>
              <w:rPr>
                <w:sz w:val="19"/>
                <w:szCs w:val="19"/>
                <w:color w:val="auto"/>
              </w:rPr>
            </w:pPr>
          </w:p>
        </w:tc>
        <w:tc>
          <w:tcPr>
            <w:tcW w:w="1060" w:type="dxa"/>
            <w:vAlign w:val="bottom"/>
            <w:gridSpan w:val="2"/>
          </w:tcPr>
          <w:p>
            <w:pPr>
              <w:jc w:val="center"/>
              <w:spacing w:after="0"/>
              <w:rPr>
                <w:sz w:val="20"/>
                <w:szCs w:val="20"/>
                <w:color w:val="auto"/>
              </w:rPr>
            </w:pPr>
            <w:r>
              <w:rPr>
                <w:rFonts w:ascii="Arial" w:cs="Arial" w:eastAsia="Arial" w:hAnsi="Arial"/>
                <w:sz w:val="18"/>
                <w:szCs w:val="18"/>
                <w:color w:val="auto"/>
                <w:w w:val="87"/>
              </w:rPr>
              <w:t>Consolidated</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2640" w:type="dxa"/>
            <w:vAlign w:val="bottom"/>
            <w:gridSpan w:val="4"/>
            <w:shd w:val="clear" w:color="auto" w:fill="EAF9E8"/>
          </w:tcPr>
          <w:p>
            <w:pPr>
              <w:spacing w:after="0" w:line="176" w:lineRule="exact"/>
              <w:rPr>
                <w:sz w:val="20"/>
                <w:szCs w:val="20"/>
                <w:color w:val="auto"/>
              </w:rPr>
            </w:pPr>
            <w:r>
              <w:rPr>
                <w:rFonts w:ascii="Arial" w:cs="Arial" w:eastAsia="Arial" w:hAnsi="Arial"/>
                <w:sz w:val="18"/>
                <w:szCs w:val="18"/>
                <w:color w:val="auto"/>
                <w:w w:val="94"/>
              </w:rPr>
              <w:t>For the three months ended March</w:t>
            </w:r>
          </w:p>
        </w:tc>
        <w:tc>
          <w:tcPr>
            <w:tcW w:w="140" w:type="dxa"/>
            <w:vAlign w:val="bottom"/>
            <w:shd w:val="clear" w:color="auto" w:fill="EAF9E8"/>
          </w:tcPr>
          <w:p>
            <w:pPr>
              <w:spacing w:after="0"/>
              <w:rPr>
                <w:sz w:val="15"/>
                <w:szCs w:val="15"/>
                <w:color w:val="auto"/>
              </w:rPr>
            </w:pPr>
          </w:p>
        </w:tc>
        <w:tc>
          <w:tcPr>
            <w:tcW w:w="900" w:type="dxa"/>
            <w:vAlign w:val="bottom"/>
            <w:shd w:val="clear" w:color="auto" w:fill="EAF9E8"/>
          </w:tcPr>
          <w:p>
            <w:pPr>
              <w:spacing w:after="0"/>
              <w:rPr>
                <w:sz w:val="15"/>
                <w:szCs w:val="15"/>
                <w:color w:val="auto"/>
              </w:rPr>
            </w:pPr>
          </w:p>
        </w:tc>
        <w:tc>
          <w:tcPr>
            <w:tcW w:w="220" w:type="dxa"/>
            <w:vAlign w:val="bottom"/>
            <w:shd w:val="clear" w:color="auto" w:fill="EAF9E8"/>
          </w:tcPr>
          <w:p>
            <w:pPr>
              <w:spacing w:after="0"/>
              <w:rPr>
                <w:sz w:val="15"/>
                <w:szCs w:val="15"/>
                <w:color w:val="auto"/>
              </w:rPr>
            </w:pPr>
          </w:p>
        </w:tc>
        <w:tc>
          <w:tcPr>
            <w:tcW w:w="120" w:type="dxa"/>
            <w:vAlign w:val="bottom"/>
            <w:shd w:val="clear" w:color="auto" w:fill="EAF9E8"/>
          </w:tcPr>
          <w:p>
            <w:pPr>
              <w:spacing w:after="0"/>
              <w:rPr>
                <w:sz w:val="15"/>
                <w:szCs w:val="15"/>
                <w:color w:val="auto"/>
              </w:rPr>
            </w:pPr>
          </w:p>
        </w:tc>
        <w:tc>
          <w:tcPr>
            <w:tcW w:w="920" w:type="dxa"/>
            <w:vAlign w:val="bottom"/>
            <w:shd w:val="clear" w:color="auto" w:fill="EAF9E8"/>
          </w:tcPr>
          <w:p>
            <w:pPr>
              <w:spacing w:after="0"/>
              <w:rPr>
                <w:sz w:val="15"/>
                <w:szCs w:val="15"/>
                <w:color w:val="auto"/>
              </w:rPr>
            </w:pPr>
          </w:p>
        </w:tc>
        <w:tc>
          <w:tcPr>
            <w:tcW w:w="220" w:type="dxa"/>
            <w:vAlign w:val="bottom"/>
            <w:shd w:val="clear" w:color="auto" w:fill="EAF9E8"/>
          </w:tcPr>
          <w:p>
            <w:pPr>
              <w:spacing w:after="0"/>
              <w:rPr>
                <w:sz w:val="15"/>
                <w:szCs w:val="15"/>
                <w:color w:val="auto"/>
              </w:rPr>
            </w:pPr>
          </w:p>
        </w:tc>
        <w:tc>
          <w:tcPr>
            <w:tcW w:w="140" w:type="dxa"/>
            <w:vAlign w:val="bottom"/>
            <w:shd w:val="clear" w:color="auto" w:fill="EAF9E8"/>
          </w:tcPr>
          <w:p>
            <w:pPr>
              <w:spacing w:after="0"/>
              <w:rPr>
                <w:sz w:val="15"/>
                <w:szCs w:val="15"/>
                <w:color w:val="auto"/>
              </w:rPr>
            </w:pPr>
          </w:p>
        </w:tc>
        <w:tc>
          <w:tcPr>
            <w:tcW w:w="900" w:type="dxa"/>
            <w:vAlign w:val="bottom"/>
            <w:shd w:val="clear" w:color="auto" w:fill="EAF9E8"/>
          </w:tcPr>
          <w:p>
            <w:pPr>
              <w:spacing w:after="0"/>
              <w:rPr>
                <w:sz w:val="15"/>
                <w:szCs w:val="15"/>
                <w:color w:val="auto"/>
              </w:rPr>
            </w:pPr>
          </w:p>
        </w:tc>
        <w:tc>
          <w:tcPr>
            <w:tcW w:w="220" w:type="dxa"/>
            <w:vAlign w:val="bottom"/>
            <w:shd w:val="clear" w:color="auto" w:fill="EAF9E8"/>
          </w:tcPr>
          <w:p>
            <w:pPr>
              <w:spacing w:after="0"/>
              <w:rPr>
                <w:sz w:val="15"/>
                <w:szCs w:val="15"/>
                <w:color w:val="auto"/>
              </w:rPr>
            </w:pPr>
          </w:p>
        </w:tc>
        <w:tc>
          <w:tcPr>
            <w:tcW w:w="140" w:type="dxa"/>
            <w:vAlign w:val="bottom"/>
            <w:shd w:val="clear" w:color="auto" w:fill="EAF9E8"/>
          </w:tcPr>
          <w:p>
            <w:pPr>
              <w:spacing w:after="0"/>
              <w:rPr>
                <w:sz w:val="15"/>
                <w:szCs w:val="15"/>
                <w:color w:val="auto"/>
              </w:rPr>
            </w:pPr>
          </w:p>
        </w:tc>
        <w:tc>
          <w:tcPr>
            <w:tcW w:w="900" w:type="dxa"/>
            <w:vAlign w:val="bottom"/>
            <w:shd w:val="clear" w:color="auto" w:fill="EAF9E8"/>
          </w:tcPr>
          <w:p>
            <w:pPr>
              <w:spacing w:after="0"/>
              <w:rPr>
                <w:sz w:val="15"/>
                <w:szCs w:val="15"/>
                <w:color w:val="auto"/>
              </w:rPr>
            </w:pPr>
          </w:p>
        </w:tc>
        <w:tc>
          <w:tcPr>
            <w:tcW w:w="220" w:type="dxa"/>
            <w:vAlign w:val="bottom"/>
            <w:shd w:val="clear" w:color="auto" w:fill="EAF9E8"/>
          </w:tcPr>
          <w:p>
            <w:pPr>
              <w:spacing w:after="0"/>
              <w:rPr>
                <w:sz w:val="15"/>
                <w:szCs w:val="15"/>
                <w:color w:val="auto"/>
              </w:rPr>
            </w:pPr>
          </w:p>
        </w:tc>
        <w:tc>
          <w:tcPr>
            <w:tcW w:w="80" w:type="dxa"/>
            <w:vAlign w:val="bottom"/>
            <w:shd w:val="clear" w:color="auto" w:fill="EAF9E8"/>
          </w:tcPr>
          <w:p>
            <w:pPr>
              <w:spacing w:after="0"/>
              <w:rPr>
                <w:sz w:val="15"/>
                <w:szCs w:val="15"/>
                <w:color w:val="auto"/>
              </w:rPr>
            </w:pPr>
          </w:p>
        </w:tc>
        <w:tc>
          <w:tcPr>
            <w:tcW w:w="960" w:type="dxa"/>
            <w:vAlign w:val="bottom"/>
            <w:shd w:val="clear" w:color="auto" w:fill="EAF9E8"/>
          </w:tcPr>
          <w:p>
            <w:pPr>
              <w:spacing w:after="0"/>
              <w:rPr>
                <w:sz w:val="15"/>
                <w:szCs w:val="15"/>
                <w:color w:val="auto"/>
              </w:rPr>
            </w:pPr>
          </w:p>
        </w:tc>
        <w:tc>
          <w:tcPr>
            <w:tcW w:w="200" w:type="dxa"/>
            <w:vAlign w:val="bottom"/>
            <w:shd w:val="clear" w:color="auto" w:fill="EAF9E8"/>
          </w:tcPr>
          <w:p>
            <w:pPr>
              <w:spacing w:after="0"/>
              <w:rPr>
                <w:sz w:val="15"/>
                <w:szCs w:val="15"/>
                <w:color w:val="auto"/>
              </w:rPr>
            </w:pPr>
          </w:p>
        </w:tc>
        <w:tc>
          <w:tcPr>
            <w:tcW w:w="140" w:type="dxa"/>
            <w:vAlign w:val="bottom"/>
            <w:shd w:val="clear" w:color="auto" w:fill="EAF9E8"/>
          </w:tcPr>
          <w:p>
            <w:pPr>
              <w:spacing w:after="0"/>
              <w:rPr>
                <w:sz w:val="15"/>
                <w:szCs w:val="15"/>
                <w:color w:val="auto"/>
              </w:rPr>
            </w:pPr>
          </w:p>
        </w:tc>
        <w:tc>
          <w:tcPr>
            <w:tcW w:w="920" w:type="dxa"/>
            <w:vAlign w:val="bottom"/>
            <w:shd w:val="clear" w:color="auto" w:fill="EAF9E8"/>
          </w:tcPr>
          <w:p>
            <w:pPr>
              <w:spacing w:after="0"/>
              <w:rPr>
                <w:sz w:val="15"/>
                <w:szCs w:val="15"/>
                <w:color w:val="auto"/>
              </w:rPr>
            </w:pPr>
          </w:p>
        </w:tc>
        <w:tc>
          <w:tcPr>
            <w:tcW w:w="120" w:type="dxa"/>
            <w:vAlign w:val="bottom"/>
            <w:shd w:val="clear" w:color="auto" w:fill="EAF9E8"/>
          </w:tcPr>
          <w:p>
            <w:pPr>
              <w:spacing w:after="0"/>
              <w:rPr>
                <w:sz w:val="15"/>
                <w:szCs w:val="15"/>
                <w:color w:val="auto"/>
              </w:rPr>
            </w:pPr>
          </w:p>
        </w:tc>
        <w:tc>
          <w:tcPr>
            <w:tcW w:w="120" w:type="dxa"/>
            <w:vAlign w:val="bottom"/>
            <w:shd w:val="clear" w:color="auto" w:fill="EAF9E8"/>
          </w:tcPr>
          <w:p>
            <w:pPr>
              <w:spacing w:after="0"/>
              <w:rPr>
                <w:sz w:val="15"/>
                <w:szCs w:val="15"/>
                <w:color w:val="auto"/>
              </w:rPr>
            </w:pPr>
          </w:p>
        </w:tc>
        <w:tc>
          <w:tcPr>
            <w:tcW w:w="140" w:type="dxa"/>
            <w:vAlign w:val="bottom"/>
            <w:shd w:val="clear" w:color="auto" w:fill="EAF9E8"/>
          </w:tcPr>
          <w:p>
            <w:pPr>
              <w:spacing w:after="0"/>
              <w:rPr>
                <w:sz w:val="15"/>
                <w:szCs w:val="15"/>
                <w:color w:val="auto"/>
              </w:rPr>
            </w:pPr>
          </w:p>
        </w:tc>
        <w:tc>
          <w:tcPr>
            <w:tcW w:w="920" w:type="dxa"/>
            <w:vAlign w:val="bottom"/>
            <w:shd w:val="clear" w:color="auto" w:fill="EAF9E8"/>
          </w:tcPr>
          <w:p>
            <w:pPr>
              <w:spacing w:after="0"/>
              <w:rPr>
                <w:sz w:val="15"/>
                <w:szCs w:val="15"/>
                <w:color w:val="auto"/>
              </w:rPr>
            </w:pPr>
          </w:p>
        </w:tc>
        <w:tc>
          <w:tcPr>
            <w:tcW w:w="120" w:type="dxa"/>
            <w:vAlign w:val="bottom"/>
            <w:shd w:val="clear" w:color="auto" w:fill="EAF9E8"/>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40" w:type="dxa"/>
            <w:vAlign w:val="bottom"/>
            <w:tcBorders>
              <w:top w:val="single" w:sz="8" w:color="auto"/>
              <w:bottom w:val="single" w:sz="8" w:color="EAF9E8"/>
            </w:tcBorders>
            <w:shd w:val="clear" w:color="auto" w:fill="EAF9E8"/>
          </w:tcPr>
          <w:p>
            <w:pPr>
              <w:spacing w:after="0"/>
              <w:rPr>
                <w:sz w:val="18"/>
                <w:szCs w:val="18"/>
                <w:color w:val="auto"/>
              </w:rPr>
            </w:pPr>
          </w:p>
        </w:tc>
        <w:tc>
          <w:tcPr>
            <w:tcW w:w="660" w:type="dxa"/>
            <w:vAlign w:val="bottom"/>
            <w:tcBorders>
              <w:top w:val="single" w:sz="8" w:color="auto"/>
              <w:bottom w:val="single" w:sz="8" w:color="auto"/>
            </w:tcBorders>
            <w:shd w:val="clear" w:color="auto" w:fill="EAF9E8"/>
          </w:tcPr>
          <w:p>
            <w:pPr>
              <w:spacing w:after="0" w:line="196" w:lineRule="exact"/>
              <w:rPr>
                <w:sz w:val="20"/>
                <w:szCs w:val="20"/>
                <w:color w:val="auto"/>
              </w:rPr>
            </w:pPr>
            <w:r>
              <w:rPr>
                <w:rFonts w:ascii="Arial" w:cs="Arial" w:eastAsia="Arial" w:hAnsi="Arial"/>
                <w:sz w:val="18"/>
                <w:szCs w:val="18"/>
                <w:color w:val="auto"/>
                <w:w w:val="85"/>
              </w:rPr>
              <w:t>31, 2009:</w:t>
            </w:r>
          </w:p>
        </w:tc>
        <w:tc>
          <w:tcPr>
            <w:tcW w:w="1620" w:type="dxa"/>
            <w:vAlign w:val="bottom"/>
            <w:tcBorders>
              <w:top w:val="single" w:sz="8" w:color="auto"/>
              <w:bottom w:val="single" w:sz="8" w:color="EAF9E8"/>
            </w:tcBorders>
            <w:shd w:val="clear" w:color="auto" w:fill="EAF9E8"/>
          </w:tcPr>
          <w:p>
            <w:pPr>
              <w:spacing w:after="0"/>
              <w:rPr>
                <w:sz w:val="18"/>
                <w:szCs w:val="18"/>
                <w:color w:val="auto"/>
              </w:rPr>
            </w:pPr>
          </w:p>
        </w:tc>
        <w:tc>
          <w:tcPr>
            <w:tcW w:w="220" w:type="dxa"/>
            <w:vAlign w:val="bottom"/>
            <w:tcBorders>
              <w:top w:val="single" w:sz="8" w:color="EAF9E8"/>
              <w:bottom w:val="single" w:sz="8" w:color="EAF9E8"/>
            </w:tcBorders>
            <w:shd w:val="clear" w:color="auto" w:fill="EAF9E8"/>
          </w:tcPr>
          <w:p>
            <w:pPr>
              <w:spacing w:after="0"/>
              <w:rPr>
                <w:sz w:val="18"/>
                <w:szCs w:val="18"/>
                <w:color w:val="auto"/>
              </w:rPr>
            </w:pPr>
          </w:p>
        </w:tc>
        <w:tc>
          <w:tcPr>
            <w:tcW w:w="140" w:type="dxa"/>
            <w:vAlign w:val="bottom"/>
            <w:tcBorders>
              <w:top w:val="single" w:sz="8" w:color="EAF9E8"/>
              <w:bottom w:val="single" w:sz="8" w:color="EAF9E8"/>
            </w:tcBorders>
            <w:shd w:val="clear" w:color="auto" w:fill="EAF9E8"/>
          </w:tcPr>
          <w:p>
            <w:pPr>
              <w:spacing w:after="0"/>
              <w:rPr>
                <w:sz w:val="18"/>
                <w:szCs w:val="18"/>
                <w:color w:val="auto"/>
              </w:rPr>
            </w:pPr>
          </w:p>
        </w:tc>
        <w:tc>
          <w:tcPr>
            <w:tcW w:w="900" w:type="dxa"/>
            <w:vAlign w:val="bottom"/>
            <w:tcBorders>
              <w:top w:val="single" w:sz="8" w:color="EAF9E8"/>
              <w:bottom w:val="single" w:sz="8" w:color="EAF9E8"/>
            </w:tcBorders>
            <w:shd w:val="clear" w:color="auto" w:fill="EAF9E8"/>
          </w:tcPr>
          <w:p>
            <w:pPr>
              <w:spacing w:after="0"/>
              <w:rPr>
                <w:sz w:val="18"/>
                <w:szCs w:val="18"/>
                <w:color w:val="auto"/>
              </w:rPr>
            </w:pPr>
          </w:p>
        </w:tc>
        <w:tc>
          <w:tcPr>
            <w:tcW w:w="220" w:type="dxa"/>
            <w:vAlign w:val="bottom"/>
            <w:tcBorders>
              <w:top w:val="single" w:sz="8" w:color="EAF9E8"/>
              <w:bottom w:val="single" w:sz="8" w:color="EAF9E8"/>
            </w:tcBorders>
            <w:shd w:val="clear" w:color="auto" w:fill="EAF9E8"/>
          </w:tcPr>
          <w:p>
            <w:pPr>
              <w:spacing w:after="0"/>
              <w:rPr>
                <w:sz w:val="18"/>
                <w:szCs w:val="18"/>
                <w:color w:val="auto"/>
              </w:rPr>
            </w:pPr>
          </w:p>
        </w:tc>
        <w:tc>
          <w:tcPr>
            <w:tcW w:w="120" w:type="dxa"/>
            <w:vAlign w:val="bottom"/>
            <w:tcBorders>
              <w:top w:val="single" w:sz="8" w:color="EAF9E8"/>
              <w:bottom w:val="single" w:sz="8" w:color="EAF9E8"/>
            </w:tcBorders>
            <w:shd w:val="clear" w:color="auto" w:fill="EAF9E8"/>
          </w:tcPr>
          <w:p>
            <w:pPr>
              <w:spacing w:after="0"/>
              <w:rPr>
                <w:sz w:val="18"/>
                <w:szCs w:val="18"/>
                <w:color w:val="auto"/>
              </w:rPr>
            </w:pPr>
          </w:p>
        </w:tc>
        <w:tc>
          <w:tcPr>
            <w:tcW w:w="920" w:type="dxa"/>
            <w:vAlign w:val="bottom"/>
            <w:tcBorders>
              <w:top w:val="single" w:sz="8" w:color="EAF9E8"/>
              <w:bottom w:val="single" w:sz="8" w:color="EAF9E8"/>
            </w:tcBorders>
            <w:shd w:val="clear" w:color="auto" w:fill="EAF9E8"/>
          </w:tcPr>
          <w:p>
            <w:pPr>
              <w:spacing w:after="0"/>
              <w:rPr>
                <w:sz w:val="18"/>
                <w:szCs w:val="18"/>
                <w:color w:val="auto"/>
              </w:rPr>
            </w:pPr>
          </w:p>
        </w:tc>
        <w:tc>
          <w:tcPr>
            <w:tcW w:w="220" w:type="dxa"/>
            <w:vAlign w:val="bottom"/>
            <w:tcBorders>
              <w:top w:val="single" w:sz="8" w:color="EAF9E8"/>
              <w:bottom w:val="single" w:sz="8" w:color="EAF9E8"/>
            </w:tcBorders>
            <w:shd w:val="clear" w:color="auto" w:fill="EAF9E8"/>
          </w:tcPr>
          <w:p>
            <w:pPr>
              <w:spacing w:after="0"/>
              <w:rPr>
                <w:sz w:val="18"/>
                <w:szCs w:val="18"/>
                <w:color w:val="auto"/>
              </w:rPr>
            </w:pPr>
          </w:p>
        </w:tc>
        <w:tc>
          <w:tcPr>
            <w:tcW w:w="140" w:type="dxa"/>
            <w:vAlign w:val="bottom"/>
            <w:tcBorders>
              <w:top w:val="single" w:sz="8" w:color="EAF9E8"/>
              <w:bottom w:val="single" w:sz="8" w:color="EAF9E8"/>
            </w:tcBorders>
            <w:shd w:val="clear" w:color="auto" w:fill="EAF9E8"/>
          </w:tcPr>
          <w:p>
            <w:pPr>
              <w:spacing w:after="0"/>
              <w:rPr>
                <w:sz w:val="18"/>
                <w:szCs w:val="18"/>
                <w:color w:val="auto"/>
              </w:rPr>
            </w:pPr>
          </w:p>
        </w:tc>
        <w:tc>
          <w:tcPr>
            <w:tcW w:w="900" w:type="dxa"/>
            <w:vAlign w:val="bottom"/>
            <w:tcBorders>
              <w:top w:val="single" w:sz="8" w:color="EAF9E8"/>
              <w:bottom w:val="single" w:sz="8" w:color="EAF9E8"/>
            </w:tcBorders>
            <w:shd w:val="clear" w:color="auto" w:fill="EAF9E8"/>
          </w:tcPr>
          <w:p>
            <w:pPr>
              <w:spacing w:after="0"/>
              <w:rPr>
                <w:sz w:val="18"/>
                <w:szCs w:val="18"/>
                <w:color w:val="auto"/>
              </w:rPr>
            </w:pPr>
          </w:p>
        </w:tc>
        <w:tc>
          <w:tcPr>
            <w:tcW w:w="220" w:type="dxa"/>
            <w:vAlign w:val="bottom"/>
            <w:tcBorders>
              <w:top w:val="single" w:sz="8" w:color="EAF9E8"/>
              <w:bottom w:val="single" w:sz="8" w:color="EAF9E8"/>
            </w:tcBorders>
            <w:shd w:val="clear" w:color="auto" w:fill="EAF9E8"/>
          </w:tcPr>
          <w:p>
            <w:pPr>
              <w:spacing w:after="0"/>
              <w:rPr>
                <w:sz w:val="18"/>
                <w:szCs w:val="18"/>
                <w:color w:val="auto"/>
              </w:rPr>
            </w:pPr>
          </w:p>
        </w:tc>
        <w:tc>
          <w:tcPr>
            <w:tcW w:w="140" w:type="dxa"/>
            <w:vAlign w:val="bottom"/>
            <w:tcBorders>
              <w:top w:val="single" w:sz="8" w:color="EAF9E8"/>
              <w:bottom w:val="single" w:sz="8" w:color="EAF9E8"/>
            </w:tcBorders>
            <w:shd w:val="clear" w:color="auto" w:fill="EAF9E8"/>
          </w:tcPr>
          <w:p>
            <w:pPr>
              <w:spacing w:after="0"/>
              <w:rPr>
                <w:sz w:val="18"/>
                <w:szCs w:val="18"/>
                <w:color w:val="auto"/>
              </w:rPr>
            </w:pPr>
          </w:p>
        </w:tc>
        <w:tc>
          <w:tcPr>
            <w:tcW w:w="900" w:type="dxa"/>
            <w:vAlign w:val="bottom"/>
            <w:tcBorders>
              <w:top w:val="single" w:sz="8" w:color="EAF9E8"/>
              <w:bottom w:val="single" w:sz="8" w:color="EAF9E8"/>
            </w:tcBorders>
            <w:shd w:val="clear" w:color="auto" w:fill="EAF9E8"/>
          </w:tcPr>
          <w:p>
            <w:pPr>
              <w:spacing w:after="0"/>
              <w:rPr>
                <w:sz w:val="18"/>
                <w:szCs w:val="18"/>
                <w:color w:val="auto"/>
              </w:rPr>
            </w:pPr>
          </w:p>
        </w:tc>
        <w:tc>
          <w:tcPr>
            <w:tcW w:w="220" w:type="dxa"/>
            <w:vAlign w:val="bottom"/>
            <w:tcBorders>
              <w:top w:val="single" w:sz="8" w:color="EAF9E8"/>
              <w:bottom w:val="single" w:sz="8" w:color="EAF9E8"/>
            </w:tcBorders>
            <w:shd w:val="clear" w:color="auto" w:fill="EAF9E8"/>
          </w:tcPr>
          <w:p>
            <w:pPr>
              <w:spacing w:after="0"/>
              <w:rPr>
                <w:sz w:val="18"/>
                <w:szCs w:val="18"/>
                <w:color w:val="auto"/>
              </w:rPr>
            </w:pPr>
          </w:p>
        </w:tc>
        <w:tc>
          <w:tcPr>
            <w:tcW w:w="80" w:type="dxa"/>
            <w:vAlign w:val="bottom"/>
            <w:tcBorders>
              <w:top w:val="single" w:sz="8" w:color="EAF9E8"/>
              <w:bottom w:val="single" w:sz="8" w:color="EAF9E8"/>
            </w:tcBorders>
            <w:shd w:val="clear" w:color="auto" w:fill="EAF9E8"/>
          </w:tcPr>
          <w:p>
            <w:pPr>
              <w:spacing w:after="0"/>
              <w:rPr>
                <w:sz w:val="18"/>
                <w:szCs w:val="18"/>
                <w:color w:val="auto"/>
              </w:rPr>
            </w:pPr>
          </w:p>
        </w:tc>
        <w:tc>
          <w:tcPr>
            <w:tcW w:w="960" w:type="dxa"/>
            <w:vAlign w:val="bottom"/>
            <w:tcBorders>
              <w:top w:val="single" w:sz="8" w:color="EAF9E8"/>
              <w:bottom w:val="single" w:sz="8" w:color="EAF9E8"/>
            </w:tcBorders>
            <w:shd w:val="clear" w:color="auto" w:fill="EAF9E8"/>
          </w:tcPr>
          <w:p>
            <w:pPr>
              <w:spacing w:after="0"/>
              <w:rPr>
                <w:sz w:val="18"/>
                <w:szCs w:val="18"/>
                <w:color w:val="auto"/>
              </w:rPr>
            </w:pPr>
          </w:p>
        </w:tc>
        <w:tc>
          <w:tcPr>
            <w:tcW w:w="200" w:type="dxa"/>
            <w:vAlign w:val="bottom"/>
            <w:tcBorders>
              <w:top w:val="single" w:sz="8" w:color="EAF9E8"/>
              <w:bottom w:val="single" w:sz="8" w:color="EAF9E8"/>
            </w:tcBorders>
            <w:shd w:val="clear" w:color="auto" w:fill="EAF9E8"/>
          </w:tcPr>
          <w:p>
            <w:pPr>
              <w:spacing w:after="0"/>
              <w:rPr>
                <w:sz w:val="18"/>
                <w:szCs w:val="18"/>
                <w:color w:val="auto"/>
              </w:rPr>
            </w:pPr>
          </w:p>
        </w:tc>
        <w:tc>
          <w:tcPr>
            <w:tcW w:w="140" w:type="dxa"/>
            <w:vAlign w:val="bottom"/>
            <w:tcBorders>
              <w:top w:val="single" w:sz="8" w:color="EAF9E8"/>
              <w:bottom w:val="single" w:sz="8" w:color="EAF9E8"/>
            </w:tcBorders>
            <w:shd w:val="clear" w:color="auto" w:fill="EAF9E8"/>
          </w:tcPr>
          <w:p>
            <w:pPr>
              <w:spacing w:after="0"/>
              <w:rPr>
                <w:sz w:val="18"/>
                <w:szCs w:val="18"/>
                <w:color w:val="auto"/>
              </w:rPr>
            </w:pPr>
          </w:p>
        </w:tc>
        <w:tc>
          <w:tcPr>
            <w:tcW w:w="920" w:type="dxa"/>
            <w:vAlign w:val="bottom"/>
            <w:tcBorders>
              <w:top w:val="single" w:sz="8" w:color="EAF9E8"/>
              <w:bottom w:val="single" w:sz="8" w:color="EAF9E8"/>
            </w:tcBorders>
            <w:shd w:val="clear" w:color="auto" w:fill="EAF9E8"/>
          </w:tcPr>
          <w:p>
            <w:pPr>
              <w:spacing w:after="0"/>
              <w:rPr>
                <w:sz w:val="18"/>
                <w:szCs w:val="18"/>
                <w:color w:val="auto"/>
              </w:rPr>
            </w:pPr>
          </w:p>
        </w:tc>
        <w:tc>
          <w:tcPr>
            <w:tcW w:w="120" w:type="dxa"/>
            <w:vAlign w:val="bottom"/>
            <w:tcBorders>
              <w:top w:val="single" w:sz="8" w:color="EAF9E8"/>
              <w:bottom w:val="single" w:sz="8" w:color="EAF9E8"/>
            </w:tcBorders>
            <w:shd w:val="clear" w:color="auto" w:fill="EAF9E8"/>
          </w:tcPr>
          <w:p>
            <w:pPr>
              <w:spacing w:after="0"/>
              <w:rPr>
                <w:sz w:val="18"/>
                <w:szCs w:val="18"/>
                <w:color w:val="auto"/>
              </w:rPr>
            </w:pPr>
          </w:p>
        </w:tc>
        <w:tc>
          <w:tcPr>
            <w:tcW w:w="120" w:type="dxa"/>
            <w:vAlign w:val="bottom"/>
            <w:tcBorders>
              <w:top w:val="single" w:sz="8" w:color="EAF9E8"/>
              <w:bottom w:val="single" w:sz="8" w:color="EAF9E8"/>
            </w:tcBorders>
            <w:shd w:val="clear" w:color="auto" w:fill="EAF9E8"/>
          </w:tcPr>
          <w:p>
            <w:pPr>
              <w:spacing w:after="0"/>
              <w:rPr>
                <w:sz w:val="18"/>
                <w:szCs w:val="18"/>
                <w:color w:val="auto"/>
              </w:rPr>
            </w:pPr>
          </w:p>
        </w:tc>
        <w:tc>
          <w:tcPr>
            <w:tcW w:w="140" w:type="dxa"/>
            <w:vAlign w:val="bottom"/>
            <w:tcBorders>
              <w:top w:val="single" w:sz="8" w:color="EAF9E8"/>
              <w:bottom w:val="single" w:sz="8" w:color="EAF9E8"/>
            </w:tcBorders>
            <w:shd w:val="clear" w:color="auto" w:fill="EAF9E8"/>
          </w:tcPr>
          <w:p>
            <w:pPr>
              <w:spacing w:after="0"/>
              <w:rPr>
                <w:sz w:val="18"/>
                <w:szCs w:val="18"/>
                <w:color w:val="auto"/>
              </w:rPr>
            </w:pPr>
          </w:p>
        </w:tc>
        <w:tc>
          <w:tcPr>
            <w:tcW w:w="920" w:type="dxa"/>
            <w:vAlign w:val="bottom"/>
            <w:tcBorders>
              <w:top w:val="single" w:sz="8" w:color="EAF9E8"/>
              <w:bottom w:val="single" w:sz="8" w:color="EAF9E8"/>
            </w:tcBorders>
            <w:shd w:val="clear" w:color="auto" w:fill="EAF9E8"/>
          </w:tcPr>
          <w:p>
            <w:pPr>
              <w:spacing w:after="0"/>
              <w:rPr>
                <w:sz w:val="18"/>
                <w:szCs w:val="18"/>
                <w:color w:val="auto"/>
              </w:rPr>
            </w:pPr>
          </w:p>
        </w:tc>
        <w:tc>
          <w:tcPr>
            <w:tcW w:w="120" w:type="dxa"/>
            <w:vAlign w:val="bottom"/>
            <w:tcBorders>
              <w:top w:val="single" w:sz="8" w:color="EAF9E8"/>
              <w:bottom w:val="single" w:sz="8" w:color="EAF9E8"/>
            </w:tcBorders>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500" w:type="dxa"/>
            <w:vAlign w:val="bottom"/>
            <w:gridSpan w:val="3"/>
          </w:tcPr>
          <w:p>
            <w:pPr>
              <w:spacing w:after="0"/>
              <w:rPr>
                <w:sz w:val="20"/>
                <w:szCs w:val="20"/>
                <w:color w:val="auto"/>
              </w:rPr>
            </w:pPr>
            <w:r>
              <w:rPr>
                <w:rFonts w:ascii="Arial" w:cs="Arial" w:eastAsia="Arial" w:hAnsi="Arial"/>
                <w:sz w:val="18"/>
                <w:szCs w:val="18"/>
                <w:color w:val="auto"/>
              </w:rPr>
              <w:t>Depreciation expense</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15</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9</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117</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1,331</w:t>
            </w: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335</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1,807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2500" w:type="dxa"/>
            <w:vAlign w:val="bottom"/>
            <w:gridSpan w:val="3"/>
            <w:shd w:val="clear" w:color="auto" w:fill="EAF9E8"/>
          </w:tcPr>
          <w:p>
            <w:pPr>
              <w:spacing w:after="0"/>
              <w:rPr>
                <w:sz w:val="20"/>
                <w:szCs w:val="20"/>
                <w:color w:val="auto"/>
              </w:rPr>
            </w:pPr>
            <w:r>
              <w:rPr>
                <w:rFonts w:ascii="Arial" w:cs="Arial" w:eastAsia="Arial" w:hAnsi="Arial"/>
                <w:sz w:val="18"/>
                <w:szCs w:val="18"/>
                <w:color w:val="auto"/>
              </w:rPr>
              <w:t>Amortization of MSRs</w:t>
            </w:r>
          </w:p>
        </w:tc>
        <w:tc>
          <w:tcPr>
            <w:tcW w:w="140" w:type="dxa"/>
            <w:vAlign w:val="bottom"/>
            <w:shd w:val="clear" w:color="auto" w:fill="EAF9E8"/>
          </w:tcPr>
          <w:p>
            <w:pPr>
              <w:spacing w:after="0"/>
              <w:rPr>
                <w:sz w:val="18"/>
                <w:szCs w:val="18"/>
                <w:color w:val="auto"/>
              </w:rPr>
            </w:pPr>
          </w:p>
        </w:tc>
        <w:tc>
          <w:tcPr>
            <w:tcW w:w="9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10,041</w:t>
            </w:r>
          </w:p>
        </w:tc>
        <w:tc>
          <w:tcPr>
            <w:tcW w:w="22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9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9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9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9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04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9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10,041</w:t>
            </w:r>
          </w:p>
        </w:tc>
        <w:tc>
          <w:tcPr>
            <w:tcW w:w="12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500" w:type="dxa"/>
            <w:vAlign w:val="bottom"/>
            <w:gridSpan w:val="3"/>
          </w:tcPr>
          <w:p>
            <w:pPr>
              <w:spacing w:after="0"/>
              <w:rPr>
                <w:sz w:val="20"/>
                <w:szCs w:val="20"/>
                <w:color w:val="auto"/>
              </w:rPr>
            </w:pPr>
            <w:r>
              <w:rPr>
                <w:rFonts w:ascii="Arial" w:cs="Arial" w:eastAsia="Arial" w:hAnsi="Arial"/>
                <w:sz w:val="18"/>
                <w:szCs w:val="18"/>
                <w:color w:val="auto"/>
              </w:rPr>
              <w:t>Amortization of intangibles</w:t>
            </w: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637</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637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2640" w:type="dxa"/>
            <w:vAlign w:val="bottom"/>
            <w:gridSpan w:val="4"/>
            <w:shd w:val="clear" w:color="auto" w:fill="EAF9E8"/>
          </w:tcPr>
          <w:p>
            <w:pPr>
              <w:spacing w:after="0" w:line="176" w:lineRule="exact"/>
              <w:rPr>
                <w:sz w:val="20"/>
                <w:szCs w:val="20"/>
                <w:color w:val="auto"/>
              </w:rPr>
            </w:pPr>
            <w:r>
              <w:rPr>
                <w:rFonts w:ascii="Arial" w:cs="Arial" w:eastAsia="Arial" w:hAnsi="Arial"/>
                <w:sz w:val="18"/>
                <w:szCs w:val="18"/>
                <w:color w:val="auto"/>
                <w:w w:val="94"/>
              </w:rPr>
              <w:t>For the three months ended March</w:t>
            </w:r>
          </w:p>
        </w:tc>
        <w:tc>
          <w:tcPr>
            <w:tcW w:w="140" w:type="dxa"/>
            <w:vAlign w:val="bottom"/>
            <w:shd w:val="clear" w:color="auto" w:fill="EAF9E8"/>
          </w:tcPr>
          <w:p>
            <w:pPr>
              <w:spacing w:after="0"/>
              <w:rPr>
                <w:sz w:val="15"/>
                <w:szCs w:val="15"/>
                <w:color w:val="auto"/>
              </w:rPr>
            </w:pPr>
          </w:p>
        </w:tc>
        <w:tc>
          <w:tcPr>
            <w:tcW w:w="900" w:type="dxa"/>
            <w:vAlign w:val="bottom"/>
            <w:shd w:val="clear" w:color="auto" w:fill="EAF9E8"/>
          </w:tcPr>
          <w:p>
            <w:pPr>
              <w:spacing w:after="0"/>
              <w:rPr>
                <w:sz w:val="15"/>
                <w:szCs w:val="15"/>
                <w:color w:val="auto"/>
              </w:rPr>
            </w:pPr>
          </w:p>
        </w:tc>
        <w:tc>
          <w:tcPr>
            <w:tcW w:w="220" w:type="dxa"/>
            <w:vAlign w:val="bottom"/>
            <w:shd w:val="clear" w:color="auto" w:fill="EAF9E8"/>
          </w:tcPr>
          <w:p>
            <w:pPr>
              <w:spacing w:after="0"/>
              <w:rPr>
                <w:sz w:val="15"/>
                <w:szCs w:val="15"/>
                <w:color w:val="auto"/>
              </w:rPr>
            </w:pPr>
          </w:p>
        </w:tc>
        <w:tc>
          <w:tcPr>
            <w:tcW w:w="120" w:type="dxa"/>
            <w:vAlign w:val="bottom"/>
            <w:shd w:val="clear" w:color="auto" w:fill="EAF9E8"/>
          </w:tcPr>
          <w:p>
            <w:pPr>
              <w:spacing w:after="0"/>
              <w:rPr>
                <w:sz w:val="15"/>
                <w:szCs w:val="15"/>
                <w:color w:val="auto"/>
              </w:rPr>
            </w:pPr>
          </w:p>
        </w:tc>
        <w:tc>
          <w:tcPr>
            <w:tcW w:w="920" w:type="dxa"/>
            <w:vAlign w:val="bottom"/>
            <w:shd w:val="clear" w:color="auto" w:fill="EAF9E8"/>
          </w:tcPr>
          <w:p>
            <w:pPr>
              <w:spacing w:after="0"/>
              <w:rPr>
                <w:sz w:val="15"/>
                <w:szCs w:val="15"/>
                <w:color w:val="auto"/>
              </w:rPr>
            </w:pPr>
          </w:p>
        </w:tc>
        <w:tc>
          <w:tcPr>
            <w:tcW w:w="220" w:type="dxa"/>
            <w:vAlign w:val="bottom"/>
            <w:shd w:val="clear" w:color="auto" w:fill="EAF9E8"/>
          </w:tcPr>
          <w:p>
            <w:pPr>
              <w:spacing w:after="0"/>
              <w:rPr>
                <w:sz w:val="15"/>
                <w:szCs w:val="15"/>
                <w:color w:val="auto"/>
              </w:rPr>
            </w:pPr>
          </w:p>
        </w:tc>
        <w:tc>
          <w:tcPr>
            <w:tcW w:w="140" w:type="dxa"/>
            <w:vAlign w:val="bottom"/>
            <w:shd w:val="clear" w:color="auto" w:fill="EAF9E8"/>
          </w:tcPr>
          <w:p>
            <w:pPr>
              <w:spacing w:after="0"/>
              <w:rPr>
                <w:sz w:val="15"/>
                <w:szCs w:val="15"/>
                <w:color w:val="auto"/>
              </w:rPr>
            </w:pPr>
          </w:p>
        </w:tc>
        <w:tc>
          <w:tcPr>
            <w:tcW w:w="900" w:type="dxa"/>
            <w:vAlign w:val="bottom"/>
            <w:shd w:val="clear" w:color="auto" w:fill="EAF9E8"/>
          </w:tcPr>
          <w:p>
            <w:pPr>
              <w:spacing w:after="0"/>
              <w:rPr>
                <w:sz w:val="15"/>
                <w:szCs w:val="15"/>
                <w:color w:val="auto"/>
              </w:rPr>
            </w:pPr>
          </w:p>
        </w:tc>
        <w:tc>
          <w:tcPr>
            <w:tcW w:w="220" w:type="dxa"/>
            <w:vAlign w:val="bottom"/>
            <w:shd w:val="clear" w:color="auto" w:fill="EAF9E8"/>
          </w:tcPr>
          <w:p>
            <w:pPr>
              <w:spacing w:after="0"/>
              <w:rPr>
                <w:sz w:val="15"/>
                <w:szCs w:val="15"/>
                <w:color w:val="auto"/>
              </w:rPr>
            </w:pPr>
          </w:p>
        </w:tc>
        <w:tc>
          <w:tcPr>
            <w:tcW w:w="140" w:type="dxa"/>
            <w:vAlign w:val="bottom"/>
            <w:shd w:val="clear" w:color="auto" w:fill="EAF9E8"/>
          </w:tcPr>
          <w:p>
            <w:pPr>
              <w:spacing w:after="0"/>
              <w:rPr>
                <w:sz w:val="15"/>
                <w:szCs w:val="15"/>
                <w:color w:val="auto"/>
              </w:rPr>
            </w:pPr>
          </w:p>
        </w:tc>
        <w:tc>
          <w:tcPr>
            <w:tcW w:w="900" w:type="dxa"/>
            <w:vAlign w:val="bottom"/>
            <w:shd w:val="clear" w:color="auto" w:fill="EAF9E8"/>
          </w:tcPr>
          <w:p>
            <w:pPr>
              <w:spacing w:after="0"/>
              <w:rPr>
                <w:sz w:val="15"/>
                <w:szCs w:val="15"/>
                <w:color w:val="auto"/>
              </w:rPr>
            </w:pPr>
          </w:p>
        </w:tc>
        <w:tc>
          <w:tcPr>
            <w:tcW w:w="220" w:type="dxa"/>
            <w:vAlign w:val="bottom"/>
            <w:shd w:val="clear" w:color="auto" w:fill="EAF9E8"/>
          </w:tcPr>
          <w:p>
            <w:pPr>
              <w:spacing w:after="0"/>
              <w:rPr>
                <w:sz w:val="15"/>
                <w:szCs w:val="15"/>
                <w:color w:val="auto"/>
              </w:rPr>
            </w:pPr>
          </w:p>
        </w:tc>
        <w:tc>
          <w:tcPr>
            <w:tcW w:w="80" w:type="dxa"/>
            <w:vAlign w:val="bottom"/>
            <w:shd w:val="clear" w:color="auto" w:fill="EAF9E8"/>
          </w:tcPr>
          <w:p>
            <w:pPr>
              <w:spacing w:after="0"/>
              <w:rPr>
                <w:sz w:val="15"/>
                <w:szCs w:val="15"/>
                <w:color w:val="auto"/>
              </w:rPr>
            </w:pPr>
          </w:p>
        </w:tc>
        <w:tc>
          <w:tcPr>
            <w:tcW w:w="960" w:type="dxa"/>
            <w:vAlign w:val="bottom"/>
            <w:shd w:val="clear" w:color="auto" w:fill="EAF9E8"/>
          </w:tcPr>
          <w:p>
            <w:pPr>
              <w:spacing w:after="0"/>
              <w:rPr>
                <w:sz w:val="15"/>
                <w:szCs w:val="15"/>
                <w:color w:val="auto"/>
              </w:rPr>
            </w:pPr>
          </w:p>
        </w:tc>
        <w:tc>
          <w:tcPr>
            <w:tcW w:w="200" w:type="dxa"/>
            <w:vAlign w:val="bottom"/>
            <w:shd w:val="clear" w:color="auto" w:fill="EAF9E8"/>
          </w:tcPr>
          <w:p>
            <w:pPr>
              <w:spacing w:after="0"/>
              <w:rPr>
                <w:sz w:val="15"/>
                <w:szCs w:val="15"/>
                <w:color w:val="auto"/>
              </w:rPr>
            </w:pPr>
          </w:p>
        </w:tc>
        <w:tc>
          <w:tcPr>
            <w:tcW w:w="140" w:type="dxa"/>
            <w:vAlign w:val="bottom"/>
            <w:shd w:val="clear" w:color="auto" w:fill="EAF9E8"/>
          </w:tcPr>
          <w:p>
            <w:pPr>
              <w:spacing w:after="0"/>
              <w:rPr>
                <w:sz w:val="15"/>
                <w:szCs w:val="15"/>
                <w:color w:val="auto"/>
              </w:rPr>
            </w:pPr>
          </w:p>
        </w:tc>
        <w:tc>
          <w:tcPr>
            <w:tcW w:w="920" w:type="dxa"/>
            <w:vAlign w:val="bottom"/>
            <w:shd w:val="clear" w:color="auto" w:fill="EAF9E8"/>
          </w:tcPr>
          <w:p>
            <w:pPr>
              <w:spacing w:after="0"/>
              <w:rPr>
                <w:sz w:val="15"/>
                <w:szCs w:val="15"/>
                <w:color w:val="auto"/>
              </w:rPr>
            </w:pPr>
          </w:p>
        </w:tc>
        <w:tc>
          <w:tcPr>
            <w:tcW w:w="120" w:type="dxa"/>
            <w:vAlign w:val="bottom"/>
            <w:shd w:val="clear" w:color="auto" w:fill="EAF9E8"/>
          </w:tcPr>
          <w:p>
            <w:pPr>
              <w:spacing w:after="0"/>
              <w:rPr>
                <w:sz w:val="15"/>
                <w:szCs w:val="15"/>
                <w:color w:val="auto"/>
              </w:rPr>
            </w:pPr>
          </w:p>
        </w:tc>
        <w:tc>
          <w:tcPr>
            <w:tcW w:w="120" w:type="dxa"/>
            <w:vAlign w:val="bottom"/>
            <w:shd w:val="clear" w:color="auto" w:fill="EAF9E8"/>
          </w:tcPr>
          <w:p>
            <w:pPr>
              <w:spacing w:after="0"/>
              <w:rPr>
                <w:sz w:val="15"/>
                <w:szCs w:val="15"/>
                <w:color w:val="auto"/>
              </w:rPr>
            </w:pPr>
          </w:p>
        </w:tc>
        <w:tc>
          <w:tcPr>
            <w:tcW w:w="140" w:type="dxa"/>
            <w:vAlign w:val="bottom"/>
            <w:shd w:val="clear" w:color="auto" w:fill="EAF9E8"/>
          </w:tcPr>
          <w:p>
            <w:pPr>
              <w:spacing w:after="0"/>
              <w:rPr>
                <w:sz w:val="15"/>
                <w:szCs w:val="15"/>
                <w:color w:val="auto"/>
              </w:rPr>
            </w:pPr>
          </w:p>
        </w:tc>
        <w:tc>
          <w:tcPr>
            <w:tcW w:w="920" w:type="dxa"/>
            <w:vAlign w:val="bottom"/>
            <w:shd w:val="clear" w:color="auto" w:fill="EAF9E8"/>
          </w:tcPr>
          <w:p>
            <w:pPr>
              <w:spacing w:after="0"/>
              <w:rPr>
                <w:sz w:val="15"/>
                <w:szCs w:val="15"/>
                <w:color w:val="auto"/>
              </w:rPr>
            </w:pPr>
          </w:p>
        </w:tc>
        <w:tc>
          <w:tcPr>
            <w:tcW w:w="120" w:type="dxa"/>
            <w:vAlign w:val="bottom"/>
            <w:shd w:val="clear" w:color="auto" w:fill="EAF9E8"/>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40" w:type="dxa"/>
            <w:vAlign w:val="bottom"/>
            <w:tcBorders>
              <w:top w:val="single" w:sz="8" w:color="auto"/>
              <w:bottom w:val="single" w:sz="8" w:color="EAF9E8"/>
            </w:tcBorders>
            <w:shd w:val="clear" w:color="auto" w:fill="EAF9E8"/>
          </w:tcPr>
          <w:p>
            <w:pPr>
              <w:spacing w:after="0"/>
              <w:rPr>
                <w:sz w:val="18"/>
                <w:szCs w:val="18"/>
                <w:color w:val="auto"/>
              </w:rPr>
            </w:pPr>
          </w:p>
        </w:tc>
        <w:tc>
          <w:tcPr>
            <w:tcW w:w="660" w:type="dxa"/>
            <w:vAlign w:val="bottom"/>
            <w:tcBorders>
              <w:top w:val="single" w:sz="8" w:color="auto"/>
              <w:bottom w:val="single" w:sz="8" w:color="auto"/>
            </w:tcBorders>
            <w:shd w:val="clear" w:color="auto" w:fill="EAF9E8"/>
          </w:tcPr>
          <w:p>
            <w:pPr>
              <w:spacing w:after="0" w:line="196" w:lineRule="exact"/>
              <w:rPr>
                <w:sz w:val="20"/>
                <w:szCs w:val="20"/>
                <w:color w:val="auto"/>
              </w:rPr>
            </w:pPr>
            <w:r>
              <w:rPr>
                <w:rFonts w:ascii="Arial" w:cs="Arial" w:eastAsia="Arial" w:hAnsi="Arial"/>
                <w:sz w:val="18"/>
                <w:szCs w:val="18"/>
                <w:color w:val="auto"/>
                <w:w w:val="85"/>
              </w:rPr>
              <w:t>31, 2008:</w:t>
            </w:r>
          </w:p>
        </w:tc>
        <w:tc>
          <w:tcPr>
            <w:tcW w:w="1620" w:type="dxa"/>
            <w:vAlign w:val="bottom"/>
            <w:tcBorders>
              <w:top w:val="single" w:sz="8" w:color="auto"/>
              <w:bottom w:val="single" w:sz="8" w:color="EAF9E8"/>
            </w:tcBorders>
            <w:shd w:val="clear" w:color="auto" w:fill="EAF9E8"/>
          </w:tcPr>
          <w:p>
            <w:pPr>
              <w:spacing w:after="0"/>
              <w:rPr>
                <w:sz w:val="18"/>
                <w:szCs w:val="18"/>
                <w:color w:val="auto"/>
              </w:rPr>
            </w:pPr>
          </w:p>
        </w:tc>
        <w:tc>
          <w:tcPr>
            <w:tcW w:w="220" w:type="dxa"/>
            <w:vAlign w:val="bottom"/>
            <w:tcBorders>
              <w:top w:val="single" w:sz="8" w:color="EAF9E8"/>
              <w:bottom w:val="single" w:sz="8" w:color="EAF9E8"/>
            </w:tcBorders>
            <w:shd w:val="clear" w:color="auto" w:fill="EAF9E8"/>
          </w:tcPr>
          <w:p>
            <w:pPr>
              <w:spacing w:after="0"/>
              <w:rPr>
                <w:sz w:val="18"/>
                <w:szCs w:val="18"/>
                <w:color w:val="auto"/>
              </w:rPr>
            </w:pPr>
          </w:p>
        </w:tc>
        <w:tc>
          <w:tcPr>
            <w:tcW w:w="140" w:type="dxa"/>
            <w:vAlign w:val="bottom"/>
            <w:tcBorders>
              <w:top w:val="single" w:sz="8" w:color="EAF9E8"/>
              <w:bottom w:val="single" w:sz="8" w:color="EAF9E8"/>
            </w:tcBorders>
            <w:shd w:val="clear" w:color="auto" w:fill="EAF9E8"/>
          </w:tcPr>
          <w:p>
            <w:pPr>
              <w:spacing w:after="0"/>
              <w:rPr>
                <w:sz w:val="18"/>
                <w:szCs w:val="18"/>
                <w:color w:val="auto"/>
              </w:rPr>
            </w:pPr>
          </w:p>
        </w:tc>
        <w:tc>
          <w:tcPr>
            <w:tcW w:w="900" w:type="dxa"/>
            <w:vAlign w:val="bottom"/>
            <w:tcBorders>
              <w:top w:val="single" w:sz="8" w:color="EAF9E8"/>
              <w:bottom w:val="single" w:sz="8" w:color="EAF9E8"/>
            </w:tcBorders>
            <w:shd w:val="clear" w:color="auto" w:fill="EAF9E8"/>
          </w:tcPr>
          <w:p>
            <w:pPr>
              <w:spacing w:after="0"/>
              <w:rPr>
                <w:sz w:val="18"/>
                <w:szCs w:val="18"/>
                <w:color w:val="auto"/>
              </w:rPr>
            </w:pPr>
          </w:p>
        </w:tc>
        <w:tc>
          <w:tcPr>
            <w:tcW w:w="220" w:type="dxa"/>
            <w:vAlign w:val="bottom"/>
            <w:tcBorders>
              <w:top w:val="single" w:sz="8" w:color="EAF9E8"/>
              <w:bottom w:val="single" w:sz="8" w:color="EAF9E8"/>
            </w:tcBorders>
            <w:shd w:val="clear" w:color="auto" w:fill="EAF9E8"/>
          </w:tcPr>
          <w:p>
            <w:pPr>
              <w:spacing w:after="0"/>
              <w:rPr>
                <w:sz w:val="18"/>
                <w:szCs w:val="18"/>
                <w:color w:val="auto"/>
              </w:rPr>
            </w:pPr>
          </w:p>
        </w:tc>
        <w:tc>
          <w:tcPr>
            <w:tcW w:w="120" w:type="dxa"/>
            <w:vAlign w:val="bottom"/>
            <w:tcBorders>
              <w:top w:val="single" w:sz="8" w:color="EAF9E8"/>
              <w:bottom w:val="single" w:sz="8" w:color="EAF9E8"/>
            </w:tcBorders>
            <w:shd w:val="clear" w:color="auto" w:fill="EAF9E8"/>
          </w:tcPr>
          <w:p>
            <w:pPr>
              <w:spacing w:after="0"/>
              <w:rPr>
                <w:sz w:val="18"/>
                <w:szCs w:val="18"/>
                <w:color w:val="auto"/>
              </w:rPr>
            </w:pPr>
          </w:p>
        </w:tc>
        <w:tc>
          <w:tcPr>
            <w:tcW w:w="920" w:type="dxa"/>
            <w:vAlign w:val="bottom"/>
            <w:tcBorders>
              <w:top w:val="single" w:sz="8" w:color="EAF9E8"/>
              <w:bottom w:val="single" w:sz="8" w:color="EAF9E8"/>
            </w:tcBorders>
            <w:shd w:val="clear" w:color="auto" w:fill="EAF9E8"/>
          </w:tcPr>
          <w:p>
            <w:pPr>
              <w:spacing w:after="0"/>
              <w:rPr>
                <w:sz w:val="18"/>
                <w:szCs w:val="18"/>
                <w:color w:val="auto"/>
              </w:rPr>
            </w:pPr>
          </w:p>
        </w:tc>
        <w:tc>
          <w:tcPr>
            <w:tcW w:w="220" w:type="dxa"/>
            <w:vAlign w:val="bottom"/>
            <w:tcBorders>
              <w:top w:val="single" w:sz="8" w:color="EAF9E8"/>
              <w:bottom w:val="single" w:sz="8" w:color="EAF9E8"/>
            </w:tcBorders>
            <w:shd w:val="clear" w:color="auto" w:fill="EAF9E8"/>
          </w:tcPr>
          <w:p>
            <w:pPr>
              <w:spacing w:after="0"/>
              <w:rPr>
                <w:sz w:val="18"/>
                <w:szCs w:val="18"/>
                <w:color w:val="auto"/>
              </w:rPr>
            </w:pPr>
          </w:p>
        </w:tc>
        <w:tc>
          <w:tcPr>
            <w:tcW w:w="140" w:type="dxa"/>
            <w:vAlign w:val="bottom"/>
            <w:tcBorders>
              <w:top w:val="single" w:sz="8" w:color="EAF9E8"/>
              <w:bottom w:val="single" w:sz="8" w:color="EAF9E8"/>
            </w:tcBorders>
            <w:shd w:val="clear" w:color="auto" w:fill="EAF9E8"/>
          </w:tcPr>
          <w:p>
            <w:pPr>
              <w:spacing w:after="0"/>
              <w:rPr>
                <w:sz w:val="18"/>
                <w:szCs w:val="18"/>
                <w:color w:val="auto"/>
              </w:rPr>
            </w:pPr>
          </w:p>
        </w:tc>
        <w:tc>
          <w:tcPr>
            <w:tcW w:w="900" w:type="dxa"/>
            <w:vAlign w:val="bottom"/>
            <w:tcBorders>
              <w:top w:val="single" w:sz="8" w:color="EAF9E8"/>
              <w:bottom w:val="single" w:sz="8" w:color="EAF9E8"/>
            </w:tcBorders>
            <w:shd w:val="clear" w:color="auto" w:fill="EAF9E8"/>
          </w:tcPr>
          <w:p>
            <w:pPr>
              <w:spacing w:after="0"/>
              <w:rPr>
                <w:sz w:val="18"/>
                <w:szCs w:val="18"/>
                <w:color w:val="auto"/>
              </w:rPr>
            </w:pPr>
          </w:p>
        </w:tc>
        <w:tc>
          <w:tcPr>
            <w:tcW w:w="220" w:type="dxa"/>
            <w:vAlign w:val="bottom"/>
            <w:tcBorders>
              <w:top w:val="single" w:sz="8" w:color="EAF9E8"/>
              <w:bottom w:val="single" w:sz="8" w:color="EAF9E8"/>
            </w:tcBorders>
            <w:shd w:val="clear" w:color="auto" w:fill="EAF9E8"/>
          </w:tcPr>
          <w:p>
            <w:pPr>
              <w:spacing w:after="0"/>
              <w:rPr>
                <w:sz w:val="18"/>
                <w:szCs w:val="18"/>
                <w:color w:val="auto"/>
              </w:rPr>
            </w:pPr>
          </w:p>
        </w:tc>
        <w:tc>
          <w:tcPr>
            <w:tcW w:w="140" w:type="dxa"/>
            <w:vAlign w:val="bottom"/>
            <w:tcBorders>
              <w:top w:val="single" w:sz="8" w:color="EAF9E8"/>
              <w:bottom w:val="single" w:sz="8" w:color="EAF9E8"/>
            </w:tcBorders>
            <w:shd w:val="clear" w:color="auto" w:fill="EAF9E8"/>
          </w:tcPr>
          <w:p>
            <w:pPr>
              <w:spacing w:after="0"/>
              <w:rPr>
                <w:sz w:val="18"/>
                <w:szCs w:val="18"/>
                <w:color w:val="auto"/>
              </w:rPr>
            </w:pPr>
          </w:p>
        </w:tc>
        <w:tc>
          <w:tcPr>
            <w:tcW w:w="900" w:type="dxa"/>
            <w:vAlign w:val="bottom"/>
            <w:tcBorders>
              <w:top w:val="single" w:sz="8" w:color="EAF9E8"/>
              <w:bottom w:val="single" w:sz="8" w:color="EAF9E8"/>
            </w:tcBorders>
            <w:shd w:val="clear" w:color="auto" w:fill="EAF9E8"/>
          </w:tcPr>
          <w:p>
            <w:pPr>
              <w:spacing w:after="0"/>
              <w:rPr>
                <w:sz w:val="18"/>
                <w:szCs w:val="18"/>
                <w:color w:val="auto"/>
              </w:rPr>
            </w:pPr>
          </w:p>
        </w:tc>
        <w:tc>
          <w:tcPr>
            <w:tcW w:w="220" w:type="dxa"/>
            <w:vAlign w:val="bottom"/>
            <w:tcBorders>
              <w:top w:val="single" w:sz="8" w:color="EAF9E8"/>
              <w:bottom w:val="single" w:sz="8" w:color="EAF9E8"/>
            </w:tcBorders>
            <w:shd w:val="clear" w:color="auto" w:fill="EAF9E8"/>
          </w:tcPr>
          <w:p>
            <w:pPr>
              <w:spacing w:after="0"/>
              <w:rPr>
                <w:sz w:val="18"/>
                <w:szCs w:val="18"/>
                <w:color w:val="auto"/>
              </w:rPr>
            </w:pPr>
          </w:p>
        </w:tc>
        <w:tc>
          <w:tcPr>
            <w:tcW w:w="80" w:type="dxa"/>
            <w:vAlign w:val="bottom"/>
            <w:tcBorders>
              <w:top w:val="single" w:sz="8" w:color="EAF9E8"/>
              <w:bottom w:val="single" w:sz="8" w:color="EAF9E8"/>
            </w:tcBorders>
            <w:shd w:val="clear" w:color="auto" w:fill="EAF9E8"/>
          </w:tcPr>
          <w:p>
            <w:pPr>
              <w:spacing w:after="0"/>
              <w:rPr>
                <w:sz w:val="18"/>
                <w:szCs w:val="18"/>
                <w:color w:val="auto"/>
              </w:rPr>
            </w:pPr>
          </w:p>
        </w:tc>
        <w:tc>
          <w:tcPr>
            <w:tcW w:w="960" w:type="dxa"/>
            <w:vAlign w:val="bottom"/>
            <w:tcBorders>
              <w:top w:val="single" w:sz="8" w:color="EAF9E8"/>
              <w:bottom w:val="single" w:sz="8" w:color="EAF9E8"/>
            </w:tcBorders>
            <w:shd w:val="clear" w:color="auto" w:fill="EAF9E8"/>
          </w:tcPr>
          <w:p>
            <w:pPr>
              <w:spacing w:after="0"/>
              <w:rPr>
                <w:sz w:val="18"/>
                <w:szCs w:val="18"/>
                <w:color w:val="auto"/>
              </w:rPr>
            </w:pPr>
          </w:p>
        </w:tc>
        <w:tc>
          <w:tcPr>
            <w:tcW w:w="200" w:type="dxa"/>
            <w:vAlign w:val="bottom"/>
            <w:tcBorders>
              <w:top w:val="single" w:sz="8" w:color="EAF9E8"/>
              <w:bottom w:val="single" w:sz="8" w:color="EAF9E8"/>
            </w:tcBorders>
            <w:shd w:val="clear" w:color="auto" w:fill="EAF9E8"/>
          </w:tcPr>
          <w:p>
            <w:pPr>
              <w:spacing w:after="0"/>
              <w:rPr>
                <w:sz w:val="18"/>
                <w:szCs w:val="18"/>
                <w:color w:val="auto"/>
              </w:rPr>
            </w:pPr>
          </w:p>
        </w:tc>
        <w:tc>
          <w:tcPr>
            <w:tcW w:w="140" w:type="dxa"/>
            <w:vAlign w:val="bottom"/>
            <w:tcBorders>
              <w:top w:val="single" w:sz="8" w:color="EAF9E8"/>
              <w:bottom w:val="single" w:sz="8" w:color="EAF9E8"/>
            </w:tcBorders>
            <w:shd w:val="clear" w:color="auto" w:fill="EAF9E8"/>
          </w:tcPr>
          <w:p>
            <w:pPr>
              <w:spacing w:after="0"/>
              <w:rPr>
                <w:sz w:val="18"/>
                <w:szCs w:val="18"/>
                <w:color w:val="auto"/>
              </w:rPr>
            </w:pPr>
          </w:p>
        </w:tc>
        <w:tc>
          <w:tcPr>
            <w:tcW w:w="920" w:type="dxa"/>
            <w:vAlign w:val="bottom"/>
            <w:tcBorders>
              <w:top w:val="single" w:sz="8" w:color="EAF9E8"/>
              <w:bottom w:val="single" w:sz="8" w:color="EAF9E8"/>
            </w:tcBorders>
            <w:shd w:val="clear" w:color="auto" w:fill="EAF9E8"/>
          </w:tcPr>
          <w:p>
            <w:pPr>
              <w:spacing w:after="0"/>
              <w:rPr>
                <w:sz w:val="18"/>
                <w:szCs w:val="18"/>
                <w:color w:val="auto"/>
              </w:rPr>
            </w:pPr>
          </w:p>
        </w:tc>
        <w:tc>
          <w:tcPr>
            <w:tcW w:w="120" w:type="dxa"/>
            <w:vAlign w:val="bottom"/>
            <w:tcBorders>
              <w:top w:val="single" w:sz="8" w:color="EAF9E8"/>
              <w:bottom w:val="single" w:sz="8" w:color="EAF9E8"/>
            </w:tcBorders>
            <w:shd w:val="clear" w:color="auto" w:fill="EAF9E8"/>
          </w:tcPr>
          <w:p>
            <w:pPr>
              <w:spacing w:after="0"/>
              <w:rPr>
                <w:sz w:val="18"/>
                <w:szCs w:val="18"/>
                <w:color w:val="auto"/>
              </w:rPr>
            </w:pPr>
          </w:p>
        </w:tc>
        <w:tc>
          <w:tcPr>
            <w:tcW w:w="120" w:type="dxa"/>
            <w:vAlign w:val="bottom"/>
            <w:tcBorders>
              <w:top w:val="single" w:sz="8" w:color="EAF9E8"/>
              <w:bottom w:val="single" w:sz="8" w:color="EAF9E8"/>
            </w:tcBorders>
            <w:shd w:val="clear" w:color="auto" w:fill="EAF9E8"/>
          </w:tcPr>
          <w:p>
            <w:pPr>
              <w:spacing w:after="0"/>
              <w:rPr>
                <w:sz w:val="18"/>
                <w:szCs w:val="18"/>
                <w:color w:val="auto"/>
              </w:rPr>
            </w:pPr>
          </w:p>
        </w:tc>
        <w:tc>
          <w:tcPr>
            <w:tcW w:w="140" w:type="dxa"/>
            <w:vAlign w:val="bottom"/>
            <w:tcBorders>
              <w:top w:val="single" w:sz="8" w:color="EAF9E8"/>
              <w:bottom w:val="single" w:sz="8" w:color="EAF9E8"/>
            </w:tcBorders>
            <w:shd w:val="clear" w:color="auto" w:fill="EAF9E8"/>
          </w:tcPr>
          <w:p>
            <w:pPr>
              <w:spacing w:after="0"/>
              <w:rPr>
                <w:sz w:val="18"/>
                <w:szCs w:val="18"/>
                <w:color w:val="auto"/>
              </w:rPr>
            </w:pPr>
          </w:p>
        </w:tc>
        <w:tc>
          <w:tcPr>
            <w:tcW w:w="920" w:type="dxa"/>
            <w:vAlign w:val="bottom"/>
            <w:tcBorders>
              <w:top w:val="single" w:sz="8" w:color="EAF9E8"/>
              <w:bottom w:val="single" w:sz="8" w:color="EAF9E8"/>
            </w:tcBorders>
            <w:shd w:val="clear" w:color="auto" w:fill="EAF9E8"/>
          </w:tcPr>
          <w:p>
            <w:pPr>
              <w:spacing w:after="0"/>
              <w:rPr>
                <w:sz w:val="18"/>
                <w:szCs w:val="18"/>
                <w:color w:val="auto"/>
              </w:rPr>
            </w:pPr>
          </w:p>
        </w:tc>
        <w:tc>
          <w:tcPr>
            <w:tcW w:w="120" w:type="dxa"/>
            <w:vAlign w:val="bottom"/>
            <w:tcBorders>
              <w:top w:val="single" w:sz="8" w:color="EAF9E8"/>
              <w:bottom w:val="single" w:sz="8" w:color="EAF9E8"/>
            </w:tcBorders>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500" w:type="dxa"/>
            <w:vAlign w:val="bottom"/>
            <w:gridSpan w:val="3"/>
          </w:tcPr>
          <w:p>
            <w:pPr>
              <w:spacing w:after="0"/>
              <w:rPr>
                <w:sz w:val="20"/>
                <w:szCs w:val="20"/>
                <w:color w:val="auto"/>
              </w:rPr>
            </w:pPr>
            <w:r>
              <w:rPr>
                <w:rFonts w:ascii="Arial" w:cs="Arial" w:eastAsia="Arial" w:hAnsi="Arial"/>
                <w:sz w:val="18"/>
                <w:szCs w:val="18"/>
                <w:color w:val="auto"/>
              </w:rPr>
              <w:t>Depreciation expense</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13</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37</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245</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1,507</w:t>
            </w: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676</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2,480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2500" w:type="dxa"/>
            <w:vAlign w:val="bottom"/>
            <w:gridSpan w:val="3"/>
            <w:shd w:val="clear" w:color="auto" w:fill="EAF9E8"/>
          </w:tcPr>
          <w:p>
            <w:pPr>
              <w:spacing w:after="0"/>
              <w:rPr>
                <w:sz w:val="20"/>
                <w:szCs w:val="20"/>
                <w:color w:val="auto"/>
              </w:rPr>
            </w:pPr>
            <w:r>
              <w:rPr>
                <w:rFonts w:ascii="Arial" w:cs="Arial" w:eastAsia="Arial" w:hAnsi="Arial"/>
                <w:sz w:val="18"/>
                <w:szCs w:val="18"/>
                <w:color w:val="auto"/>
              </w:rPr>
              <w:t>Amortization of MSRs</w:t>
            </w:r>
          </w:p>
        </w:tc>
        <w:tc>
          <w:tcPr>
            <w:tcW w:w="140" w:type="dxa"/>
            <w:vAlign w:val="bottom"/>
            <w:shd w:val="clear" w:color="auto" w:fill="EAF9E8"/>
          </w:tcPr>
          <w:p>
            <w:pPr>
              <w:spacing w:after="0"/>
              <w:rPr>
                <w:sz w:val="18"/>
                <w:szCs w:val="18"/>
                <w:color w:val="auto"/>
              </w:rPr>
            </w:pPr>
          </w:p>
        </w:tc>
        <w:tc>
          <w:tcPr>
            <w:tcW w:w="9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13,804</w:t>
            </w:r>
          </w:p>
        </w:tc>
        <w:tc>
          <w:tcPr>
            <w:tcW w:w="22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9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9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210</w:t>
            </w:r>
          </w:p>
        </w:tc>
        <w:tc>
          <w:tcPr>
            <w:tcW w:w="22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9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9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04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9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14,014</w:t>
            </w:r>
          </w:p>
        </w:tc>
        <w:tc>
          <w:tcPr>
            <w:tcW w:w="12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500" w:type="dxa"/>
            <w:vAlign w:val="bottom"/>
            <w:gridSpan w:val="3"/>
          </w:tcPr>
          <w:p>
            <w:pPr>
              <w:spacing w:after="0"/>
              <w:rPr>
                <w:sz w:val="20"/>
                <w:szCs w:val="20"/>
                <w:color w:val="auto"/>
              </w:rPr>
            </w:pPr>
            <w:r>
              <w:rPr>
                <w:rFonts w:ascii="Arial" w:cs="Arial" w:eastAsia="Arial" w:hAnsi="Arial"/>
                <w:sz w:val="18"/>
                <w:szCs w:val="18"/>
                <w:color w:val="auto"/>
              </w:rPr>
              <w:t>Amortization of intangibles</w:t>
            </w: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666</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666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ind w:left="580" w:right="160" w:hanging="572"/>
        <w:spacing w:after="0" w:line="268" w:lineRule="auto"/>
        <w:tabs>
          <w:tab w:leader="none" w:pos="5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Corporate Items and Other operating expenses for the first quarter of 2008 include $9,532 of due diligence and other costs related to the “going private” proposal terminated in March 2008 by mutual agreement of the parties.</w:t>
      </w:r>
    </w:p>
    <w:p>
      <w:pPr>
        <w:spacing w:after="0" w:line="221"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NOTE 20</w:t>
      </w:r>
      <w:r>
        <w:rPr>
          <w:sz w:val="20"/>
          <w:szCs w:val="20"/>
          <w:color w:val="auto"/>
        </w:rPr>
        <w:tab/>
      </w:r>
      <w:r>
        <w:rPr>
          <w:rFonts w:ascii="Arial" w:cs="Arial" w:eastAsia="Arial" w:hAnsi="Arial"/>
          <w:sz w:val="18"/>
          <w:szCs w:val="18"/>
          <w:b w:val="1"/>
          <w:bCs w:val="1"/>
          <w:color w:val="auto"/>
        </w:rPr>
        <w:t>COMMITMENTS AND CONTINGENCIES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w:t>
      </w:r>
    </w:p>
    <w:p>
      <w:pPr>
        <w:spacing w:after="0" w:line="231" w:lineRule="exact"/>
        <w:rPr>
          <w:sz w:val="20"/>
          <w:szCs w:val="20"/>
          <w:color w:val="auto"/>
        </w:rPr>
      </w:pPr>
    </w:p>
    <w:p>
      <w:pPr>
        <w:jc w:val="both"/>
        <w:ind w:firstLine="466"/>
        <w:spacing w:after="0" w:line="259" w:lineRule="auto"/>
        <w:rPr>
          <w:sz w:val="20"/>
          <w:szCs w:val="20"/>
          <w:color w:val="auto"/>
        </w:rPr>
      </w:pPr>
      <w:r>
        <w:rPr>
          <w:rFonts w:ascii="Arial" w:cs="Arial" w:eastAsia="Arial" w:hAnsi="Arial"/>
          <w:sz w:val="18"/>
          <w:szCs w:val="18"/>
          <w:color w:val="auto"/>
        </w:rPr>
        <w:t>The liability, if any, for the claims noted below against Ocwen Federal Bank FSB (the “Bank”) has been assumed by OLS as successor in interest under an Assignment and Assumption Agreement, dated June 28, 2005, whereby OLS assumed all of the Bank’s remaining assets and liabilities, including contingent liabilities, in connection with its voluntary termination of its status as a federal savings bank.</w:t>
      </w:r>
    </w:p>
    <w:p>
      <w:pPr>
        <w:spacing w:after="0" w:line="194" w:lineRule="exact"/>
        <w:rPr>
          <w:sz w:val="20"/>
          <w:szCs w:val="20"/>
          <w:color w:val="auto"/>
        </w:rPr>
      </w:pPr>
    </w:p>
    <w:p>
      <w:pPr>
        <w:jc w:val="both"/>
        <w:ind w:firstLine="436"/>
        <w:spacing w:after="0" w:line="306" w:lineRule="auto"/>
        <w:rPr>
          <w:sz w:val="20"/>
          <w:szCs w:val="20"/>
          <w:color w:val="auto"/>
        </w:rPr>
      </w:pPr>
      <w:r>
        <w:rPr>
          <w:rFonts w:ascii="Arial" w:cs="Arial" w:eastAsia="Arial" w:hAnsi="Arial"/>
          <w:sz w:val="15"/>
          <w:szCs w:val="15"/>
          <w:color w:val="auto"/>
        </w:rPr>
        <w:t>We are named as a defendant in lawsuits brought in various federal and state courts challenging the Bank’s mortgage servicing practices, including charging improper or unnecessary fees, misapplying borrower payments, etc. In April 2004, our petition was granted to transfer and consolidate a number of lawsuits filed against the Bank, OCN and various third parties into a single proceeding pending in the United States District Court for the Northern District of Illinois (the MDL Proceeding). Additional lawsuits similar to the MDL proceeding have been brought in other courts, some of which may be transferred to and consolidated in the MDL Proceeding. The borrowers in many of these lawsuits seek class action certification. Others have brought individual actions. No class has been certified in the MDL Proceeding or any related lawsuits. In April 2005, the trial court entered a partial summary judgment in favor of defendants holding that plaintiffs’ signed loan contracts authorized the collection of certain fees by Ocwen as servicer for the related mortgages. In May 2006, plaintiffs filed an amended complaint containing various claims under several federal statutes, state deceptive trade practices statutes and common law. No specific amounts of damages are asserted, however, plaintiffs may amend the complaint to seek damages should the matter proceed to trial. In June 2007, the United States Court of Appeals for the Seventh Circuit issued an opinion holding that many of the claims were preempted or failed to satisfy the pleading requirements of the applicable rules of procedure and directing the trial judge to seek clarification from the plaintiffs so as to properly determine which particular claims are to be dismissed. In March 2009, the Court struck the amended complaint in its entirety on the grounds of vagueness. Plaintiffs filed a third amended complaint on April 20, 2009. Our deadline to answer the latest complaint is May 20, 2009. We believe the allegations in the MDL Proceeding are without merit and will continue to vigorously defend against them.</w:t>
      </w:r>
    </w:p>
    <w:p>
      <w:pPr>
        <w:spacing w:after="0" w:line="166" w:lineRule="exact"/>
        <w:rPr>
          <w:sz w:val="20"/>
          <w:szCs w:val="20"/>
          <w:color w:val="auto"/>
        </w:rPr>
      </w:pPr>
    </w:p>
    <w:p>
      <w:pPr>
        <w:jc w:val="both"/>
        <w:ind w:firstLine="608"/>
        <w:spacing w:after="0" w:line="287" w:lineRule="auto"/>
        <w:rPr>
          <w:sz w:val="20"/>
          <w:szCs w:val="20"/>
          <w:color w:val="auto"/>
        </w:rPr>
      </w:pPr>
      <w:r>
        <w:rPr>
          <w:rFonts w:ascii="Arial" w:cs="Arial" w:eastAsia="Arial" w:hAnsi="Arial"/>
          <w:sz w:val="16"/>
          <w:szCs w:val="16"/>
          <w:color w:val="auto"/>
        </w:rPr>
        <w:t>In November 2004, a final judgment was entered in litigation brought by Cartel Asset Management, Inc. (Cartel) against OCN, the Bank and Ocwen Technology Xchange, Inc. (OTX), a subsidiary that has been dissolved. This matter involved allegations of misappropriation of trade secrets and contract-related claims brought by a former vendor. Initially, a jury verdict awarded damages of $9,320. However, the November 2004 judgment awarded $520 against OTX and nominal damages of two dollars against the Bank. Additionally, the Bank was assessed a statutory award to Cartel for attorneys’ fees in an additional amount of $170. The Bank and OTX were further assessed costs in the amount of $9. In September 2007, the United States Court of Appeals for the Tenth Circuit upheld the damage award against OTX and remanded the case for a new trial on damages against the Bank. In December 2007, we paid the full amount of the judgment against OTX, including accrued interest. In March 2008, the trial court entered an order joining OLS, as the Bank’s successor-in-interest, and OCN, as guarantor of the Bank’s obligations, as additional defendants. The trial court has not yet set a date for the new trial against the Bank, OLS and OCN. We do not believe that Cartel is entitled to additional damages, if any, in an amount that would be material to our financial condition, results of operations or cash flows, and we intend to continue to vigorously defend against this matter.</w:t>
      </w:r>
    </w:p>
    <w:p>
      <w:pPr>
        <w:spacing w:after="0" w:line="177" w:lineRule="exact"/>
        <w:rPr>
          <w:sz w:val="20"/>
          <w:szCs w:val="20"/>
          <w:color w:val="auto"/>
        </w:rPr>
      </w:pPr>
    </w:p>
    <w:p>
      <w:pPr>
        <w:jc w:val="both"/>
        <w:ind w:firstLine="583"/>
        <w:spacing w:after="0" w:line="286" w:lineRule="auto"/>
        <w:rPr>
          <w:sz w:val="20"/>
          <w:szCs w:val="20"/>
          <w:color w:val="auto"/>
        </w:rPr>
      </w:pPr>
      <w:r>
        <w:rPr>
          <w:rFonts w:ascii="Arial" w:cs="Arial" w:eastAsia="Arial" w:hAnsi="Arial"/>
          <w:sz w:val="16"/>
          <w:szCs w:val="16"/>
          <w:color w:val="auto"/>
        </w:rPr>
        <w:t>In September 2006, the Bankruptcy Trustee in Chapter 7 proceedings involving American Business Financial Services, Inc. (ABFS) brought an action against multiple defendants, including OLS, in Bankruptcy Court. The action arises out of Debtor-in-Possession financing to ABFS by defendant Greenwich Capital Financial Products, Inc. and the subsequent purchases by OLS of MSRs and certain residual interests in mortgage-backed securities previously held by ABFS. OLS brought a separate action against the Trustee seeking damages of approximately $2,500 arising out of the ABFS MSRs purchase transaction. OLS’ separate action against the Trustee was dismissed by agreement without prejudice with the right to replead such claims or otherwise file a separate action should the Trustee’s action be dismissed. In February 2007, the court granted OLS’ motion to dismiss some claims but refused to dismiss others. The Trustee filed an amended complaint in March 2007. This complaint sets forth claims against all of the original defendants. The claims against OLS include turnover, fraudulent transfers, accounting, breach of fiduciary duty, aiding and abetting breach of fiduciary duty, breach of contract, fraud, civil conspiracy and conversion. The Trustee seeks compensatory damages in excess of $100,000 and punitive damages jointly and severally against all defendants. In March 2008, the court denied OLS’ motion to dismiss. In April 2008, OLS denied all charges and filed a counterclaim for breach of contract, fraud, negligent misrepresentation and indemnification in connection with the MSR purchase transaction. Fact discovery is complete and expert discovery is in progress. We believe that the Trustee’s allegations against OLS are without merit and intend to continue to vigorously defend against this matter.</w:t>
      </w:r>
    </w:p>
    <w:p>
      <w:pPr>
        <w:sectPr>
          <w:pgSz w:w="11900" w:h="16838" w:orient="portrait"/>
          <w:cols w:equalWidth="0" w:num="1">
            <w:col w:w="11420"/>
          </w:cols>
          <w:pgMar w:left="240" w:top="145" w:right="239" w:bottom="1440" w:gutter="0" w:footer="0" w:header="0"/>
        </w:sectPr>
      </w:pP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67575"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45" w:right="239" w:bottom="1440" w:gutter="0" w:footer="0" w:header="0"/>
          <w:type w:val="continuous"/>
        </w:sectPr>
      </w:pPr>
    </w:p>
    <w:bookmarkStart w:id="28" w:name="page29"/>
    <w:bookmarkEnd w:id="28"/>
    <w:p>
      <w:pPr>
        <w:jc w:val="both"/>
        <w:ind w:firstLine="534"/>
        <w:spacing w:after="0" w:line="287" w:lineRule="auto"/>
        <w:rPr>
          <w:sz w:val="20"/>
          <w:szCs w:val="20"/>
          <w:color w:val="auto"/>
        </w:rPr>
      </w:pPr>
      <w:r>
        <w:rPr>
          <w:rFonts w:ascii="Arial" w:cs="Arial" w:eastAsia="Arial" w:hAnsi="Arial"/>
          <w:sz w:val="16"/>
          <w:szCs w:val="16"/>
          <w:color w:val="auto"/>
        </w:rPr>
        <w:t>Ocwen together with Bankruptcy Management Solutions, Inc. (BMSI) the wholly owned subsidiary of BMS Holdings, commenced separate arbitrations before the Financial Industry Regulatory Authority against Goldman Sachs &amp; Co., Banc of America Securities LLC, and Citigroup Global Markets, Inc. (collectively the Broker/Dealers) primarily alleging fraud, breach of duty and statutory violations arising out of the sale of AAA-rated student loan auction rate securities (SLARS) backed by the Federal Family Education Loan Program. Ocwen and BMSI subsequently voluntarily dismissed their arbitration claims against Citigroup Global Markets, Inc, and filed a complaint in federal court. Ocwen purchased the SLARS based on the Broker/Dealer representation that the SLARS were liquid securities which could be sold at regularly scheduled auctions to meet the Investment Line requirement to pay the borrowings at quarter end. The Broker/Dealers represented that the SLARS would remain liquid because if there were not sufficient buyers in the auctions, the Broker/Dealers would purchase to make the auctions succeed. Contrary to those representations, in February 2008, the Broker/Dealers stopped supporting the SLARS auctions and the market for SLARS became illiquid. Ocwen seeks to require the Broker/Dealers to repurchase the SLARS at par (aggregating $199,275), and pay consequential damages, potentially including damages related to the repayment of the Investment Line, and punitive damages.</w:t>
      </w:r>
    </w:p>
    <w:p>
      <w:pPr>
        <w:spacing w:after="0" w:line="177" w:lineRule="exact"/>
        <w:rPr>
          <w:sz w:val="20"/>
          <w:szCs w:val="20"/>
          <w:color w:val="auto"/>
        </w:rPr>
      </w:pPr>
    </w:p>
    <w:p>
      <w:pPr>
        <w:jc w:val="both"/>
        <w:ind w:firstLine="598"/>
        <w:spacing w:after="0" w:line="268" w:lineRule="auto"/>
        <w:rPr>
          <w:sz w:val="20"/>
          <w:szCs w:val="20"/>
          <w:color w:val="auto"/>
        </w:rPr>
      </w:pPr>
      <w:r>
        <w:rPr>
          <w:rFonts w:ascii="Arial" w:cs="Arial" w:eastAsia="Arial" w:hAnsi="Arial"/>
          <w:sz w:val="18"/>
          <w:szCs w:val="18"/>
          <w:color w:val="auto"/>
        </w:rPr>
        <w:t>OCN is subject to various other pending legal proceedings. In our opinion, the resolution of these proceedings and those noted above will not have a material effect on our financial condition, results of operations or cash flows.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matters</w:t>
      </w:r>
    </w:p>
    <w:p>
      <w:pPr>
        <w:spacing w:after="0" w:line="231" w:lineRule="exact"/>
        <w:rPr>
          <w:sz w:val="20"/>
          <w:szCs w:val="20"/>
          <w:color w:val="auto"/>
        </w:rPr>
      </w:pPr>
    </w:p>
    <w:p>
      <w:pPr>
        <w:jc w:val="both"/>
        <w:ind w:firstLine="464"/>
        <w:spacing w:after="0" w:line="290" w:lineRule="auto"/>
        <w:rPr>
          <w:sz w:val="20"/>
          <w:szCs w:val="20"/>
          <w:color w:val="auto"/>
        </w:rPr>
      </w:pPr>
      <w:r>
        <w:rPr>
          <w:rFonts w:ascii="Arial" w:cs="Arial" w:eastAsia="Arial" w:hAnsi="Arial"/>
          <w:sz w:val="16"/>
          <w:szCs w:val="16"/>
          <w:color w:val="auto"/>
        </w:rPr>
        <w:t>On December 28, 2006, the India tax authorities issued an income tax assessment order (the Order) with respect to IT-enabled services performed for OCN by its wholly-owned Indian subsidiary, OFSPL. The Order relates to the assessment year 2004-05 and determined that the percent mark-up on operating costs with respect to the IT-enabled and software development services that OFSPL provided to OCN was insufficient. The proposed adjustment would impose upon OFSPL additional tax of INR 45,290 ($889) and interest of INR 14,922 ($293) for the assessment year 2004-05. In December 2008, the India tax authorities issued an additional income tax assessment order (the Second Order) with respect to assessment year 2005-06. The proposed adjustment would impose upon OFSPL additional tax of INR 23,225 ($456) and interest of INR 10,200 ($200) for the assessment year 2005-06. In accordance with standard Indian procedures, penalties may also be assessed in the future in connection with the assessment.</w:t>
      </w:r>
    </w:p>
    <w:p>
      <w:pPr>
        <w:spacing w:after="0" w:line="172" w:lineRule="exact"/>
        <w:rPr>
          <w:sz w:val="20"/>
          <w:szCs w:val="20"/>
          <w:color w:val="auto"/>
        </w:rPr>
      </w:pPr>
    </w:p>
    <w:p>
      <w:pPr>
        <w:jc w:val="both"/>
        <w:ind w:firstLine="461"/>
        <w:spacing w:after="0" w:line="298" w:lineRule="auto"/>
        <w:rPr>
          <w:sz w:val="20"/>
          <w:szCs w:val="20"/>
          <w:color w:val="auto"/>
        </w:rPr>
      </w:pPr>
      <w:r>
        <w:rPr>
          <w:rFonts w:ascii="Arial" w:cs="Arial" w:eastAsia="Arial" w:hAnsi="Arial"/>
          <w:sz w:val="16"/>
          <w:szCs w:val="16"/>
          <w:color w:val="auto"/>
        </w:rPr>
        <w:t>OCN and OFSPL intend to vigorously contest the Order, the Second Order and the imposition of tax and interest and do not believe they have violated any statutory provision or rule. OFSPL has filed a domestic appeal with the India Commissioner of Income Tax (Appeals) in response to the Order and Second Order. In March 2007, OCN filed a request for Competent Authority Assistance with the Internal Revenue Service under the United States – India Income Tax Treaty. In January 2009, OCN filed a request with the Internal Revenue Service to include assessment year 2005-2006 in its Competent Authority case.</w:t>
      </w:r>
    </w:p>
    <w:p>
      <w:pPr>
        <w:spacing w:after="0" w:line="167" w:lineRule="exact"/>
        <w:rPr>
          <w:sz w:val="20"/>
          <w:szCs w:val="20"/>
          <w:color w:val="auto"/>
        </w:rPr>
      </w:pPr>
    </w:p>
    <w:p>
      <w:pPr>
        <w:jc w:val="both"/>
        <w:ind w:firstLine="520"/>
        <w:spacing w:after="0" w:line="259" w:lineRule="auto"/>
        <w:rPr>
          <w:sz w:val="20"/>
          <w:szCs w:val="20"/>
          <w:color w:val="auto"/>
        </w:rPr>
      </w:pPr>
      <w:r>
        <w:rPr>
          <w:rFonts w:ascii="Arial" w:cs="Arial" w:eastAsia="Arial" w:hAnsi="Arial"/>
          <w:sz w:val="18"/>
          <w:szCs w:val="18"/>
          <w:color w:val="auto"/>
        </w:rPr>
        <w:t>Due to the uncertainties inherent in the appeals and Competent Authority processes, OCN and OFSPL cannot currently estimate any additional exposure beyond the amount detailed in the Order. We can also not predict when these tax matters will be resolved. The Competent Authority Assistance filing should preserve OCN’s right to credit any potential India taxes against OCN’s U.S. taxes.</w:t>
      </w:r>
    </w:p>
    <w:p>
      <w:pPr>
        <w:spacing w:after="0" w:line="202"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NOTE 21</w:t>
      </w:r>
      <w:r>
        <w:rPr>
          <w:sz w:val="20"/>
          <w:szCs w:val="20"/>
          <w:color w:val="auto"/>
        </w:rPr>
        <w:tab/>
      </w:r>
      <w:r>
        <w:rPr>
          <w:rFonts w:ascii="Arial" w:cs="Arial" w:eastAsia="Arial" w:hAnsi="Arial"/>
          <w:sz w:val="16"/>
          <w:szCs w:val="16"/>
          <w:b w:val="1"/>
          <w:bCs w:val="1"/>
          <w:color w:val="auto"/>
        </w:rPr>
        <w:t>SUBSEQUENT EVENTS</w:t>
      </w:r>
    </w:p>
    <w:p>
      <w:pPr>
        <w:spacing w:after="0" w:line="231" w:lineRule="exact"/>
        <w:rPr>
          <w:sz w:val="20"/>
          <w:szCs w:val="20"/>
          <w:color w:val="auto"/>
        </w:rPr>
      </w:pPr>
    </w:p>
    <w:p>
      <w:pPr>
        <w:jc w:val="both"/>
        <w:ind w:firstLine="443"/>
        <w:spacing w:after="0" w:line="254" w:lineRule="auto"/>
        <w:rPr>
          <w:sz w:val="20"/>
          <w:szCs w:val="20"/>
          <w:color w:val="auto"/>
        </w:rPr>
      </w:pPr>
      <w:r>
        <w:rPr>
          <w:rFonts w:ascii="Arial" w:cs="Arial" w:eastAsia="Arial" w:hAnsi="Arial"/>
          <w:sz w:val="18"/>
          <w:szCs w:val="18"/>
          <w:color w:val="auto"/>
        </w:rPr>
        <w:t>In a private placement transaction that closed on April 3, 2009, OCN sold 5,471,500 shares of its common stock for a price of $11.00 per share. We realized approximately $60,000 in proceeds from this issuance. The purchasers, most of whom are existing OCN shareholders, purchased approximately 8% of OCN’s total outstanding shares pursuant to this new issuance. Accordingly, the purchasers own approximately 9.6% of OCN’s total outstanding shares as of the closing of the transaction. In addition to making customary representations, warranties and covenants, the purchasers have agreed to certain restrictions on the sale of the shares for a one-year period following the closing date. OCN is obligated to register the newly-issued shares and will apply to list such shares on the New York Stock Exchange within 270 days of the closing.</w:t>
      </w:r>
    </w:p>
    <w:p>
      <w:pPr>
        <w:spacing w:after="0" w:line="198" w:lineRule="exact"/>
        <w:rPr>
          <w:sz w:val="20"/>
          <w:szCs w:val="20"/>
          <w:color w:val="auto"/>
        </w:rPr>
      </w:pPr>
    </w:p>
    <w:p>
      <w:pPr>
        <w:jc w:val="both"/>
        <w:ind w:firstLine="439"/>
        <w:spacing w:after="0" w:line="256" w:lineRule="auto"/>
        <w:rPr>
          <w:sz w:val="20"/>
          <w:szCs w:val="20"/>
          <w:color w:val="auto"/>
        </w:rPr>
      </w:pPr>
      <w:r>
        <w:rPr>
          <w:rFonts w:ascii="Arial" w:cs="Arial" w:eastAsia="Arial" w:hAnsi="Arial"/>
          <w:sz w:val="18"/>
          <w:szCs w:val="18"/>
          <w:color w:val="auto"/>
        </w:rPr>
        <w:t>On April 3, 2009, OCN repurchased from William C. Erbey, its Chairman of the Board and Chief Executive Officer, one million shares of its common stock at a per-share price of $11.00. We used a portion of the proceeds received from the above-described private placement transaction to acquire the shares from Mr. Erbey. In addition to making customary representations and warranties, Mr. Erbey agreed to certain restrictions on the sale or transfer of the remainder of his shares for a one-year period following the closing date.</w:t>
      </w:r>
    </w:p>
    <w:p>
      <w:pPr>
        <w:spacing w:after="0" w:line="197" w:lineRule="exact"/>
        <w:rPr>
          <w:sz w:val="20"/>
          <w:szCs w:val="20"/>
          <w:color w:val="auto"/>
        </w:rPr>
      </w:pPr>
    </w:p>
    <w:p>
      <w:pPr>
        <w:jc w:val="both"/>
        <w:ind w:firstLine="447"/>
        <w:spacing w:after="0" w:line="259" w:lineRule="auto"/>
        <w:rPr>
          <w:sz w:val="20"/>
          <w:szCs w:val="20"/>
          <w:color w:val="auto"/>
        </w:rPr>
      </w:pPr>
      <w:r>
        <w:rPr>
          <w:rFonts w:ascii="Arial" w:cs="Arial" w:eastAsia="Arial" w:hAnsi="Arial"/>
          <w:sz w:val="18"/>
          <w:szCs w:val="18"/>
          <w:color w:val="auto"/>
        </w:rPr>
        <w:t>On April 30, 2009, we renewed through June 2010 our Investment Line term note used to finance auction rate securities. This agreement was renewed early under terms substantially similar to the previous agreement. Amortization payments will now be $3,000 per month in place of the previous quarterly reductions in the advance rate.</w:t>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6"/>
          <w:szCs w:val="16"/>
          <w:color w:val="auto"/>
        </w:rPr>
        <w:t>On May 5, 2009, we negotiated an increase in a $300,000 advance facility to $500,000 and extended the amortization date by one year to May 4, 2010.</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Under the terms of the new facility, we pay interest on drawn balances at 1-Month LIBOR plus 275 basis points.</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9" w:name="page30"/>
    <w:bookmarkEnd w:id="29"/>
    <w:p>
      <w:pPr>
        <w:ind w:left="700" w:right="1640" w:hanging="688"/>
        <w:spacing w:after="0" w:line="275"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(Dollars in thousands, except share data)</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w:t>
      </w:r>
    </w:p>
    <w:p>
      <w:pPr>
        <w:spacing w:after="0" w:line="231" w:lineRule="exact"/>
        <w:rPr>
          <w:sz w:val="20"/>
          <w:szCs w:val="20"/>
          <w:color w:val="auto"/>
        </w:rPr>
      </w:pPr>
    </w:p>
    <w:p>
      <w:pPr>
        <w:jc w:val="both"/>
        <w:ind w:firstLine="491"/>
        <w:spacing w:after="0" w:line="256" w:lineRule="auto"/>
        <w:rPr>
          <w:sz w:val="20"/>
          <w:szCs w:val="20"/>
          <w:color w:val="auto"/>
        </w:rPr>
      </w:pPr>
      <w:r>
        <w:rPr>
          <w:rFonts w:ascii="Arial" w:cs="Arial" w:eastAsia="Arial" w:hAnsi="Arial"/>
          <w:sz w:val="18"/>
          <w:szCs w:val="18"/>
          <w:color w:val="auto"/>
        </w:rPr>
        <w:t>Ocwen is among the leaders in our industry in realizing loan values for investors and in keeping Americans in their homes, as evidenced by our high cure rate. Our primary goal is to make our clients’ loans worth more by leveraging our superior processes and innovative technology. In a recent comparison of servicer performance in servicing non-performing residential loans, Moody’s reported that we had a “cure and cash flowing rate” that exceeded the average rate for Moody’s highest-rated servicers as a group.</w:t>
      </w:r>
    </w:p>
    <w:p>
      <w:pPr>
        <w:spacing w:after="0" w:line="197" w:lineRule="exact"/>
        <w:rPr>
          <w:sz w:val="20"/>
          <w:szCs w:val="20"/>
          <w:color w:val="auto"/>
        </w:rPr>
      </w:pPr>
    </w:p>
    <w:tbl>
      <w:tblPr>
        <w:tblLayout w:type="fixed"/>
        <w:tblInd w:w="440" w:type="dxa"/>
        <w:tblCellMar>
          <w:top w:w="0" w:type="dxa"/>
          <w:left w:w="0" w:type="dxa"/>
          <w:bottom w:w="0" w:type="dxa"/>
          <w:right w:w="0" w:type="dxa"/>
        </w:tblCellMar>
      </w:tblPr>
      <w:tr>
        <w:trPr>
          <w:trHeight w:val="222"/>
        </w:trPr>
        <w:tc>
          <w:tcPr>
            <w:tcW w:w="7640" w:type="dxa"/>
            <w:vAlign w:val="bottom"/>
            <w:gridSpan w:val="3"/>
          </w:tcPr>
          <w:p>
            <w:pPr>
              <w:spacing w:after="0"/>
              <w:rPr>
                <w:sz w:val="20"/>
                <w:szCs w:val="20"/>
                <w:color w:val="auto"/>
              </w:rPr>
            </w:pPr>
            <w:r>
              <w:rPr>
                <w:rFonts w:ascii="Arial" w:cs="Arial" w:eastAsia="Arial" w:hAnsi="Arial"/>
                <w:sz w:val="18"/>
                <w:szCs w:val="18"/>
                <w:color w:val="auto"/>
              </w:rPr>
              <w:t>Our current business segments, aligned within our two lines of business, are as follows:</w:t>
            </w:r>
          </w:p>
        </w:tc>
        <w:tc>
          <w:tcPr>
            <w:tcW w:w="2480" w:type="dxa"/>
            <w:vAlign w:val="bottom"/>
          </w:tcPr>
          <w:p>
            <w:pPr>
              <w:spacing w:after="0"/>
              <w:rPr>
                <w:sz w:val="19"/>
                <w:szCs w:val="19"/>
                <w:color w:val="auto"/>
              </w:rPr>
            </w:pPr>
          </w:p>
        </w:tc>
      </w:tr>
      <w:tr>
        <w:trPr>
          <w:trHeight w:val="446"/>
        </w:trPr>
        <w:tc>
          <w:tcPr>
            <w:tcW w:w="440" w:type="dxa"/>
            <w:vAlign w:val="bottom"/>
          </w:tcPr>
          <w:p>
            <w:pPr>
              <w:spacing w:after="0"/>
              <w:rPr>
                <w:sz w:val="24"/>
                <w:szCs w:val="24"/>
                <w:color w:val="auto"/>
              </w:rPr>
            </w:pPr>
          </w:p>
        </w:tc>
        <w:tc>
          <w:tcPr>
            <w:tcW w:w="7200" w:type="dxa"/>
            <w:vAlign w:val="bottom"/>
            <w:gridSpan w:val="2"/>
          </w:tcPr>
          <w:p>
            <w:pPr>
              <w:jc w:val="center"/>
              <w:ind w:right="3580"/>
              <w:spacing w:after="0"/>
              <w:rPr>
                <w:sz w:val="20"/>
                <w:szCs w:val="20"/>
                <w:color w:val="auto"/>
              </w:rPr>
            </w:pPr>
            <w:r>
              <w:rPr>
                <w:rFonts w:ascii="Arial" w:cs="Arial" w:eastAsia="Arial" w:hAnsi="Arial"/>
                <w:sz w:val="18"/>
                <w:szCs w:val="18"/>
                <w:color w:val="auto"/>
                <w:w w:val="87"/>
              </w:rPr>
              <w:t>Ocwen Asset Management</w:t>
            </w:r>
          </w:p>
        </w:tc>
        <w:tc>
          <w:tcPr>
            <w:tcW w:w="2480" w:type="dxa"/>
            <w:vAlign w:val="bottom"/>
          </w:tcPr>
          <w:p>
            <w:pPr>
              <w:jc w:val="center"/>
              <w:spacing w:after="0"/>
              <w:rPr>
                <w:sz w:val="20"/>
                <w:szCs w:val="20"/>
                <w:color w:val="auto"/>
              </w:rPr>
            </w:pPr>
            <w:r>
              <w:rPr>
                <w:rFonts w:ascii="Arial" w:cs="Arial" w:eastAsia="Arial" w:hAnsi="Arial"/>
                <w:sz w:val="18"/>
                <w:szCs w:val="18"/>
                <w:color w:val="auto"/>
                <w:w w:val="88"/>
              </w:rPr>
              <w:t>Ocwen Solutions</w:t>
            </w:r>
          </w:p>
        </w:tc>
      </w:tr>
      <w:tr>
        <w:trPr>
          <w:trHeight w:val="245"/>
        </w:trPr>
        <w:tc>
          <w:tcPr>
            <w:tcW w:w="440" w:type="dxa"/>
            <w:vAlign w:val="bottom"/>
          </w:tcPr>
          <w:p>
            <w:pPr>
              <w:spacing w:after="0"/>
              <w:rPr>
                <w:sz w:val="21"/>
                <w:szCs w:val="21"/>
                <w:color w:val="auto"/>
              </w:rPr>
            </w:pPr>
          </w:p>
        </w:tc>
        <w:tc>
          <w:tcPr>
            <w:tcW w:w="3660" w:type="dxa"/>
            <w:vAlign w:val="bottom"/>
            <w:tcBorders>
              <w:bottom w:val="single" w:sz="8" w:color="auto"/>
            </w:tcBorders>
          </w:tcPr>
          <w:p>
            <w:pPr>
              <w:spacing w:after="0"/>
              <w:rPr>
                <w:sz w:val="21"/>
                <w:szCs w:val="21"/>
                <w:color w:val="auto"/>
              </w:rPr>
            </w:pPr>
          </w:p>
        </w:tc>
        <w:tc>
          <w:tcPr>
            <w:tcW w:w="3540" w:type="dxa"/>
            <w:vAlign w:val="bottom"/>
          </w:tcPr>
          <w:p>
            <w:pPr>
              <w:spacing w:after="0"/>
              <w:rPr>
                <w:sz w:val="21"/>
                <w:szCs w:val="21"/>
                <w:color w:val="auto"/>
              </w:rPr>
            </w:pPr>
          </w:p>
        </w:tc>
        <w:tc>
          <w:tcPr>
            <w:tcW w:w="2480" w:type="dxa"/>
            <w:vAlign w:val="bottom"/>
            <w:tcBorders>
              <w:bottom w:val="single" w:sz="8" w:color="auto"/>
            </w:tcBorders>
          </w:tcPr>
          <w:p>
            <w:pPr>
              <w:spacing w:after="0"/>
              <w:rPr>
                <w:sz w:val="21"/>
                <w:szCs w:val="21"/>
                <w:color w:val="auto"/>
              </w:rPr>
            </w:pPr>
          </w:p>
        </w:tc>
      </w:tr>
      <w:tr>
        <w:trPr>
          <w:trHeight w:val="350"/>
        </w:trPr>
        <w:tc>
          <w:tcPr>
            <w:tcW w:w="440" w:type="dxa"/>
            <w:vAlign w:val="bottom"/>
          </w:tcPr>
          <w:p>
            <w:pPr>
              <w:spacing w:after="0"/>
              <w:rPr>
                <w:sz w:val="24"/>
                <w:szCs w:val="24"/>
                <w:color w:val="auto"/>
              </w:rPr>
            </w:pPr>
          </w:p>
        </w:tc>
        <w:tc>
          <w:tcPr>
            <w:tcW w:w="7200" w:type="dxa"/>
            <w:vAlign w:val="bottom"/>
            <w:gridSpan w:val="2"/>
          </w:tcPr>
          <w:p>
            <w:pPr>
              <w:jc w:val="center"/>
              <w:ind w:right="3560"/>
              <w:spacing w:after="0"/>
              <w:rPr>
                <w:sz w:val="20"/>
                <w:szCs w:val="20"/>
                <w:color w:val="auto"/>
              </w:rPr>
            </w:pPr>
            <w:r>
              <w:rPr>
                <w:rFonts w:ascii="Arial" w:cs="Arial" w:eastAsia="Arial" w:hAnsi="Arial"/>
                <w:sz w:val="18"/>
                <w:szCs w:val="18"/>
                <w:color w:val="auto"/>
                <w:w w:val="91"/>
              </w:rPr>
              <w:t>Servicing</w:t>
            </w:r>
          </w:p>
        </w:tc>
        <w:tc>
          <w:tcPr>
            <w:tcW w:w="2480" w:type="dxa"/>
            <w:vAlign w:val="bottom"/>
          </w:tcPr>
          <w:p>
            <w:pPr>
              <w:jc w:val="center"/>
              <w:spacing w:after="0"/>
              <w:rPr>
                <w:sz w:val="20"/>
                <w:szCs w:val="20"/>
                <w:color w:val="auto"/>
              </w:rPr>
            </w:pPr>
            <w:r>
              <w:rPr>
                <w:rFonts w:ascii="Arial" w:cs="Arial" w:eastAsia="Arial" w:hAnsi="Arial"/>
                <w:sz w:val="18"/>
                <w:szCs w:val="18"/>
                <w:color w:val="auto"/>
                <w:w w:val="87"/>
              </w:rPr>
              <w:t>Mortgage Services</w:t>
            </w:r>
          </w:p>
        </w:tc>
      </w:tr>
      <w:tr>
        <w:trPr>
          <w:trHeight w:val="216"/>
        </w:trPr>
        <w:tc>
          <w:tcPr>
            <w:tcW w:w="440" w:type="dxa"/>
            <w:vAlign w:val="bottom"/>
          </w:tcPr>
          <w:p>
            <w:pPr>
              <w:spacing w:after="0"/>
              <w:rPr>
                <w:sz w:val="18"/>
                <w:szCs w:val="18"/>
                <w:color w:val="auto"/>
              </w:rPr>
            </w:pPr>
          </w:p>
        </w:tc>
        <w:tc>
          <w:tcPr>
            <w:tcW w:w="7200" w:type="dxa"/>
            <w:vAlign w:val="bottom"/>
            <w:gridSpan w:val="2"/>
          </w:tcPr>
          <w:p>
            <w:pPr>
              <w:jc w:val="center"/>
              <w:ind w:right="3580"/>
              <w:spacing w:after="0"/>
              <w:rPr>
                <w:sz w:val="20"/>
                <w:szCs w:val="20"/>
                <w:color w:val="auto"/>
              </w:rPr>
            </w:pPr>
            <w:r>
              <w:rPr>
                <w:rFonts w:ascii="Arial" w:cs="Arial" w:eastAsia="Arial" w:hAnsi="Arial"/>
                <w:sz w:val="18"/>
                <w:szCs w:val="18"/>
                <w:color w:val="auto"/>
                <w:w w:val="86"/>
              </w:rPr>
              <w:t>Loans and Residuals</w:t>
            </w:r>
          </w:p>
        </w:tc>
        <w:tc>
          <w:tcPr>
            <w:tcW w:w="2480" w:type="dxa"/>
            <w:vAlign w:val="bottom"/>
          </w:tcPr>
          <w:p>
            <w:pPr>
              <w:jc w:val="center"/>
              <w:spacing w:after="0"/>
              <w:rPr>
                <w:sz w:val="20"/>
                <w:szCs w:val="20"/>
                <w:color w:val="auto"/>
              </w:rPr>
            </w:pPr>
            <w:r>
              <w:rPr>
                <w:rFonts w:ascii="Arial" w:cs="Arial" w:eastAsia="Arial" w:hAnsi="Arial"/>
                <w:sz w:val="18"/>
                <w:szCs w:val="18"/>
                <w:color w:val="auto"/>
                <w:w w:val="87"/>
              </w:rPr>
              <w:t>Financial Services</w:t>
            </w:r>
          </w:p>
        </w:tc>
      </w:tr>
      <w:tr>
        <w:trPr>
          <w:trHeight w:val="222"/>
        </w:trPr>
        <w:tc>
          <w:tcPr>
            <w:tcW w:w="440" w:type="dxa"/>
            <w:vAlign w:val="bottom"/>
          </w:tcPr>
          <w:p>
            <w:pPr>
              <w:spacing w:after="0"/>
              <w:rPr>
                <w:sz w:val="19"/>
                <w:szCs w:val="19"/>
                <w:color w:val="auto"/>
              </w:rPr>
            </w:pPr>
          </w:p>
        </w:tc>
        <w:tc>
          <w:tcPr>
            <w:tcW w:w="7200" w:type="dxa"/>
            <w:vAlign w:val="bottom"/>
            <w:gridSpan w:val="2"/>
          </w:tcPr>
          <w:p>
            <w:pPr>
              <w:jc w:val="center"/>
              <w:ind w:right="3560"/>
              <w:spacing w:after="0"/>
              <w:rPr>
                <w:sz w:val="20"/>
                <w:szCs w:val="20"/>
                <w:color w:val="auto"/>
              </w:rPr>
            </w:pPr>
            <w:r>
              <w:rPr>
                <w:rFonts w:ascii="Arial" w:cs="Arial" w:eastAsia="Arial" w:hAnsi="Arial"/>
                <w:sz w:val="18"/>
                <w:szCs w:val="18"/>
                <w:color w:val="auto"/>
                <w:w w:val="90"/>
              </w:rPr>
              <w:t>Asset Management Vehicles (AMV)</w:t>
            </w:r>
          </w:p>
        </w:tc>
        <w:tc>
          <w:tcPr>
            <w:tcW w:w="2480" w:type="dxa"/>
            <w:vAlign w:val="bottom"/>
          </w:tcPr>
          <w:p>
            <w:pPr>
              <w:jc w:val="center"/>
              <w:spacing w:after="0"/>
              <w:rPr>
                <w:sz w:val="20"/>
                <w:szCs w:val="20"/>
                <w:color w:val="auto"/>
              </w:rPr>
            </w:pPr>
            <w:r>
              <w:rPr>
                <w:rFonts w:ascii="Arial" w:cs="Arial" w:eastAsia="Arial" w:hAnsi="Arial"/>
                <w:sz w:val="18"/>
                <w:szCs w:val="18"/>
                <w:color w:val="auto"/>
                <w:w w:val="87"/>
              </w:rPr>
              <w:t>Technology Products</w:t>
            </w:r>
          </w:p>
        </w:tc>
      </w:tr>
    </w:tbl>
    <w:p>
      <w:pPr>
        <w:spacing w:after="0" w:line="210" w:lineRule="exact"/>
        <w:rPr>
          <w:sz w:val="20"/>
          <w:szCs w:val="20"/>
          <w:color w:val="auto"/>
        </w:rPr>
      </w:pPr>
    </w:p>
    <w:p>
      <w:pPr>
        <w:jc w:val="both"/>
        <w:ind w:firstLine="457"/>
        <w:spacing w:after="0" w:line="268" w:lineRule="auto"/>
        <w:rPr>
          <w:sz w:val="20"/>
          <w:szCs w:val="20"/>
          <w:color w:val="auto"/>
        </w:rPr>
      </w:pPr>
      <w:r>
        <w:rPr>
          <w:rFonts w:ascii="Arial" w:cs="Arial" w:eastAsia="Arial" w:hAnsi="Arial"/>
          <w:sz w:val="18"/>
          <w:szCs w:val="18"/>
          <w:color w:val="auto"/>
        </w:rPr>
        <w:t>In addition to our core residential servicing business, Ocwen Asset Management (OAM) includes our equity investments in asset management vehicles and our remaining investments in subprime loans and residual securities.</w:t>
      </w:r>
    </w:p>
    <w:p>
      <w:pPr>
        <w:spacing w:after="0" w:line="186" w:lineRule="exact"/>
        <w:rPr>
          <w:sz w:val="20"/>
          <w:szCs w:val="20"/>
          <w:color w:val="auto"/>
        </w:rPr>
      </w:pPr>
    </w:p>
    <w:p>
      <w:pPr>
        <w:jc w:val="both"/>
        <w:ind w:firstLine="718"/>
        <w:spacing w:after="0" w:line="268" w:lineRule="auto"/>
        <w:rPr>
          <w:sz w:val="20"/>
          <w:szCs w:val="20"/>
          <w:color w:val="auto"/>
        </w:rPr>
      </w:pPr>
      <w:r>
        <w:rPr>
          <w:rFonts w:ascii="Arial" w:cs="Arial" w:eastAsia="Arial" w:hAnsi="Arial"/>
          <w:sz w:val="18"/>
          <w:szCs w:val="18"/>
          <w:color w:val="auto"/>
        </w:rPr>
        <w:t>In addition to our unsecured collections business, Ocwen Solutions (OS) includes our residential fee-based loan processing businesses, all of our technology platforms and our equity interest in BMS Holdings, Inc. (BMS Holdings).</w:t>
      </w:r>
    </w:p>
    <w:p>
      <w:pPr>
        <w:spacing w:after="0" w:line="186" w:lineRule="exact"/>
        <w:rPr>
          <w:sz w:val="20"/>
          <w:szCs w:val="20"/>
          <w:color w:val="auto"/>
        </w:rPr>
      </w:pPr>
    </w:p>
    <w:p>
      <w:pPr>
        <w:jc w:val="both"/>
        <w:ind w:firstLine="713"/>
        <w:spacing w:after="0" w:line="268" w:lineRule="auto"/>
        <w:rPr>
          <w:sz w:val="20"/>
          <w:szCs w:val="20"/>
          <w:color w:val="auto"/>
        </w:rPr>
      </w:pPr>
      <w:r>
        <w:rPr>
          <w:rFonts w:ascii="Arial" w:cs="Arial" w:eastAsia="Arial" w:hAnsi="Arial"/>
          <w:sz w:val="18"/>
          <w:szCs w:val="18"/>
          <w:color w:val="auto"/>
        </w:rPr>
        <w:t>Our plans are to continue to sell our non-core assets, including BOK, or to finance them. In November 2008, our Board of Directors authorized management to investigate the possible sale of our remaining Global Servicing Solutions, LLC (GSS) partnerships.</w:t>
      </w:r>
    </w:p>
    <w:p>
      <w:pPr>
        <w:spacing w:after="0" w:line="186"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This Management’s Discussion and Analysis of Financial Condition and Results of Operations should be read in conjunction with our Interim Consolidated Financial Statements and the related notes, included in Item 1 in this Quarterly Report on Form 10-Q and with our Annual Report on Form 10-K for the year ended December 31, 2008.</w:t>
      </w:r>
    </w:p>
    <w:p>
      <w:pPr>
        <w:spacing w:after="0" w:line="194" w:lineRule="exact"/>
        <w:rPr>
          <w:sz w:val="20"/>
          <w:szCs w:val="20"/>
          <w:color w:val="auto"/>
        </w:rPr>
      </w:pPr>
    </w:p>
    <w:p>
      <w:pPr>
        <w:jc w:val="both"/>
        <w:ind w:firstLine="522"/>
        <w:spacing w:after="0" w:line="268" w:lineRule="auto"/>
        <w:rPr>
          <w:sz w:val="20"/>
          <w:szCs w:val="20"/>
          <w:color w:val="auto"/>
        </w:rPr>
      </w:pPr>
      <w:r>
        <w:rPr>
          <w:rFonts w:ascii="Arial" w:cs="Arial" w:eastAsia="Arial" w:hAnsi="Arial"/>
          <w:sz w:val="18"/>
          <w:szCs w:val="18"/>
          <w:color w:val="auto"/>
        </w:rPr>
        <w:t>Unless specifically stated otherwise, all references to March 2009, December 2008 and March 2008 refer to our fiscal periods ended, or the dates, as the context requires, March 31, 2009, December 31, 2008 and March 31, 2008, respectively.</w:t>
      </w:r>
    </w:p>
    <w:p>
      <w:pPr>
        <w:spacing w:after="0" w:line="186"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When we use the terms “Ocwen”, “we,” “us” and “our,” we refer to Ocwen Financial Corporation (Ocwen) and its consolidated subsidiaries.</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225" w:lineRule="exact"/>
        <w:rPr>
          <w:sz w:val="20"/>
          <w:szCs w:val="20"/>
          <w:color w:val="auto"/>
        </w:rPr>
      </w:pPr>
    </w:p>
    <w:p>
      <w:pPr>
        <w:jc w:val="both"/>
        <w:ind w:firstLine="520"/>
        <w:spacing w:after="0" w:line="262" w:lineRule="auto"/>
        <w:rPr>
          <w:sz w:val="20"/>
          <w:szCs w:val="20"/>
          <w:color w:val="auto"/>
        </w:rPr>
      </w:pPr>
      <w:r>
        <w:rPr>
          <w:rFonts w:ascii="Arial" w:cs="Arial" w:eastAsia="Arial" w:hAnsi="Arial"/>
          <w:sz w:val="18"/>
          <w:szCs w:val="18"/>
          <w:b w:val="1"/>
          <w:bCs w:val="1"/>
          <w:color w:val="auto"/>
        </w:rPr>
        <w:t xml:space="preserve">March 2009 versus March 2008. </w:t>
      </w:r>
      <w:r>
        <w:rPr>
          <w:rFonts w:ascii="Arial" w:cs="Arial" w:eastAsia="Arial" w:hAnsi="Arial"/>
          <w:sz w:val="18"/>
          <w:szCs w:val="18"/>
          <w:color w:val="auto"/>
        </w:rPr>
        <w:t>We generated net income of $15,109 or $0.24 per share in the first quarter of 2009 compared to $5,272 and $0.08 per</w:t>
      </w:r>
      <w:r>
        <w:rPr>
          <w:rFonts w:ascii="Arial" w:cs="Arial" w:eastAsia="Arial" w:hAnsi="Arial"/>
          <w:sz w:val="18"/>
          <w:szCs w:val="18"/>
          <w:b w:val="1"/>
          <w:bCs w:val="1"/>
          <w:color w:val="auto"/>
        </w:rPr>
        <w:t xml:space="preserve"> </w:t>
      </w:r>
      <w:r>
        <w:rPr>
          <w:rFonts w:ascii="Arial" w:cs="Arial" w:eastAsia="Arial" w:hAnsi="Arial"/>
          <w:sz w:val="18"/>
          <w:szCs w:val="18"/>
          <w:color w:val="auto"/>
        </w:rPr>
        <w:t>share for the first quarter of 2008. Income from continuing operations before taxes was $23,264 for the first quarter of 2009 as compared to $8,417 for the first quarter of 2008.</w:t>
      </w:r>
    </w:p>
    <w:p>
      <w:pPr>
        <w:spacing w:after="0" w:line="192" w:lineRule="exact"/>
        <w:rPr>
          <w:sz w:val="20"/>
          <w:szCs w:val="20"/>
          <w:color w:val="auto"/>
        </w:rPr>
      </w:pPr>
    </w:p>
    <w:p>
      <w:pPr>
        <w:jc w:val="both"/>
        <w:ind w:firstLine="557"/>
        <w:spacing w:after="0" w:line="268" w:lineRule="auto"/>
        <w:rPr>
          <w:sz w:val="20"/>
          <w:szCs w:val="20"/>
          <w:color w:val="auto"/>
        </w:rPr>
      </w:pPr>
      <w:r>
        <w:rPr>
          <w:rFonts w:ascii="Arial" w:cs="Arial" w:eastAsia="Arial" w:hAnsi="Arial"/>
          <w:sz w:val="18"/>
          <w:szCs w:val="18"/>
          <w:color w:val="auto"/>
        </w:rPr>
        <w:t>Our results benefited from cost reduction efforts announced last quarter. This was evidenced by an 18% improvement in operating expenses in the first quarter of 2009 compared to the first quarter of 2008.</w:t>
      </w:r>
    </w:p>
    <w:p>
      <w:pPr>
        <w:spacing w:after="0" w:line="186" w:lineRule="exact"/>
        <w:rPr>
          <w:sz w:val="20"/>
          <w:szCs w:val="20"/>
          <w:color w:val="auto"/>
        </w:rPr>
      </w:pPr>
    </w:p>
    <w:p>
      <w:pPr>
        <w:jc w:val="both"/>
        <w:ind w:firstLine="476"/>
        <w:spacing w:after="0" w:line="259" w:lineRule="auto"/>
        <w:rPr>
          <w:sz w:val="20"/>
          <w:szCs w:val="20"/>
          <w:color w:val="auto"/>
        </w:rPr>
      </w:pPr>
      <w:r>
        <w:rPr>
          <w:rFonts w:ascii="Arial" w:cs="Arial" w:eastAsia="Arial" w:hAnsi="Arial"/>
          <w:sz w:val="18"/>
          <w:szCs w:val="18"/>
          <w:color w:val="auto"/>
        </w:rPr>
        <w:t>No significant non-cash unrealized fair value adjustments on trading securities were recorded in the first quarter of 2009. In comparison, net income in the first quarter of 2008 included approximately $5,068 in net unrealized losses comprised of a $12,023 mark-to-market loss on trading securities and $6,955 in unrealized earnings primarily related to derivative mark-to-market gains at an unconsolidated subsidiary.</w:t>
      </w:r>
    </w:p>
    <w:p>
      <w:pPr>
        <w:spacing w:after="0" w:line="194" w:lineRule="exact"/>
        <w:rPr>
          <w:sz w:val="20"/>
          <w:szCs w:val="20"/>
          <w:color w:val="auto"/>
        </w:rPr>
      </w:pPr>
    </w:p>
    <w:p>
      <w:pPr>
        <w:jc w:val="both"/>
        <w:ind w:firstLine="533"/>
        <w:spacing w:after="0" w:line="255" w:lineRule="auto"/>
        <w:rPr>
          <w:sz w:val="20"/>
          <w:szCs w:val="20"/>
          <w:color w:val="auto"/>
        </w:rPr>
      </w:pPr>
      <w:r>
        <w:rPr>
          <w:rFonts w:ascii="Arial" w:cs="Arial" w:eastAsia="Arial" w:hAnsi="Arial"/>
          <w:sz w:val="18"/>
          <w:szCs w:val="18"/>
          <w:color w:val="auto"/>
        </w:rPr>
        <w:t>While Servicing segment revenues continued to decline as a result of lower average unpaid principal balances (UPB), this was partially offset by higher process management revenues in the first quarter of 2009 as compared to the first quarter of 2008. Servicing benefited from lower interest expense in the first quarter of 2009 compared to 2008. Loans and Residuals were adversely impacted by lower interest income primarily due to reduced loan balances. Asset Management Vehicles reported a decrease in unrealized losses due to smaller declines in the estimated market value of loans, real estate and securities at unconsolidated subsidiaries.</w:t>
      </w:r>
    </w:p>
    <w:p>
      <w:pPr>
        <w:spacing w:after="0" w:line="197" w:lineRule="exact"/>
        <w:rPr>
          <w:sz w:val="20"/>
          <w:szCs w:val="20"/>
          <w:color w:val="auto"/>
        </w:rPr>
      </w:pPr>
    </w:p>
    <w:p>
      <w:pPr>
        <w:jc w:val="both"/>
        <w:ind w:firstLine="565"/>
        <w:spacing w:after="0" w:line="294" w:lineRule="auto"/>
        <w:rPr>
          <w:sz w:val="20"/>
          <w:szCs w:val="20"/>
          <w:color w:val="auto"/>
        </w:rPr>
      </w:pPr>
      <w:r>
        <w:rPr>
          <w:rFonts w:ascii="Arial" w:cs="Arial" w:eastAsia="Arial" w:hAnsi="Arial"/>
          <w:sz w:val="16"/>
          <w:szCs w:val="16"/>
          <w:color w:val="auto"/>
        </w:rPr>
        <w:t>Mortgage Services benefited from new lines of business and from higher order volumes in existing businesses. These increases were offset by revenue declines in Financial Services as lower collection rates, due to the current economic climate and consistent with the collections industry in general, adversely impacted results in the first quarter of 2009 compared to 2008. Technology Products’ income from continuing operations declined in the first quarter of 2009, as compared to 2008, because we did not recognize any earnings of BMS Holdings, an unconsolidated subsidiary, in the first quarter of 2009. We suspended the equity method of accounting for our investment in BMS Holdings in the second quarter of 2008 because of losses that reduced our investment to zero.</w:t>
      </w:r>
    </w:p>
    <w:p>
      <w:pPr>
        <w:sectPr>
          <w:pgSz w:w="11900" w:h="16838" w:orient="portrait"/>
          <w:cols w:equalWidth="0" w:num="1">
            <w:col w:w="11420"/>
          </w:cols>
          <w:pgMar w:left="240" w:top="139" w:right="239" w:bottom="1440" w:gutter="0" w:footer="0" w:header="0"/>
        </w:sectPr>
      </w:pP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67575"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39" w:right="239" w:bottom="1440" w:gutter="0" w:footer="0" w:header="0"/>
          <w:type w:val="continuous"/>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Strategic Priorities</w:t>
      </w:r>
    </w:p>
    <w:p>
      <w:pPr>
        <w:spacing w:after="0" w:line="23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Ocwen is focused on a strategic plan centered on four essential initiatives:</w:t>
      </w:r>
    </w:p>
    <w:p>
      <w:pPr>
        <w:spacing w:after="0" w:line="239" w:lineRule="exact"/>
        <w:rPr>
          <w:sz w:val="20"/>
          <w:szCs w:val="20"/>
          <w:color w:val="auto"/>
        </w:rPr>
      </w:pPr>
    </w:p>
    <w:p>
      <w:pPr>
        <w:ind w:left="1160" w:hanging="571"/>
        <w:spacing w:after="0"/>
        <w:tabs>
          <w:tab w:leader="none" w:pos="11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Liquidity and balance sheet strength</w:t>
      </w:r>
    </w:p>
    <w:p>
      <w:pPr>
        <w:spacing w:after="0" w:line="15" w:lineRule="exact"/>
        <w:rPr>
          <w:rFonts w:ascii="Arial" w:cs="Arial" w:eastAsia="Arial" w:hAnsi="Arial"/>
          <w:sz w:val="18"/>
          <w:szCs w:val="18"/>
          <w:color w:val="auto"/>
        </w:rPr>
      </w:pPr>
    </w:p>
    <w:p>
      <w:pPr>
        <w:ind w:left="1160" w:hanging="571"/>
        <w:spacing w:after="0"/>
        <w:tabs>
          <w:tab w:leader="none" w:pos="11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Revenue opportunities</w:t>
      </w:r>
    </w:p>
    <w:p>
      <w:pPr>
        <w:spacing w:after="0" w:line="9" w:lineRule="exact"/>
        <w:rPr>
          <w:rFonts w:ascii="Arial" w:cs="Arial" w:eastAsia="Arial" w:hAnsi="Arial"/>
          <w:sz w:val="18"/>
          <w:szCs w:val="18"/>
          <w:color w:val="auto"/>
        </w:rPr>
      </w:pPr>
    </w:p>
    <w:p>
      <w:pPr>
        <w:ind w:left="1160" w:hanging="571"/>
        <w:spacing w:after="0"/>
        <w:tabs>
          <w:tab w:leader="none" w:pos="11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Quality and cost structure leadership</w:t>
      </w:r>
    </w:p>
    <w:p>
      <w:pPr>
        <w:spacing w:after="0" w:line="9" w:lineRule="exact"/>
        <w:rPr>
          <w:rFonts w:ascii="Arial" w:cs="Arial" w:eastAsia="Arial" w:hAnsi="Arial"/>
          <w:sz w:val="18"/>
          <w:szCs w:val="18"/>
          <w:color w:val="auto"/>
        </w:rPr>
      </w:pPr>
    </w:p>
    <w:p>
      <w:pPr>
        <w:ind w:left="1160" w:hanging="571"/>
        <w:spacing w:after="0"/>
        <w:tabs>
          <w:tab w:leader="none" w:pos="11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Separation of Ocwen Solutions</w:t>
      </w:r>
    </w:p>
    <w:p>
      <w:pPr>
        <w:spacing w:after="0" w:line="21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are aggressively pursuing each of these priorities as more fully discussed in the following sub-sections. We believe our efforts will significantly increase shareholder value by building on our core competitive strengths to capture existing economic opportunities.</w:t>
      </w:r>
    </w:p>
    <w:p>
      <w:pPr>
        <w:spacing w:after="0" w:line="180" w:lineRule="exact"/>
        <w:rPr>
          <w:sz w:val="20"/>
          <w:szCs w:val="20"/>
          <w:color w:val="auto"/>
        </w:rPr>
      </w:pPr>
    </w:p>
    <w:p>
      <w:pPr>
        <w:jc w:val="both"/>
        <w:ind w:firstLine="538"/>
        <w:spacing w:after="0" w:line="256" w:lineRule="auto"/>
        <w:rPr>
          <w:sz w:val="20"/>
          <w:szCs w:val="20"/>
          <w:color w:val="auto"/>
        </w:rPr>
      </w:pPr>
      <w:r>
        <w:rPr>
          <w:rFonts w:ascii="Arial" w:cs="Arial" w:eastAsia="Arial" w:hAnsi="Arial"/>
          <w:sz w:val="18"/>
          <w:szCs w:val="18"/>
          <w:b w:val="1"/>
          <w:bCs w:val="1"/>
          <w:color w:val="auto"/>
        </w:rPr>
        <w:t xml:space="preserve">Liquidity and Balance Sheet Strength. </w:t>
      </w:r>
      <w:r>
        <w:rPr>
          <w:rFonts w:ascii="Arial" w:cs="Arial" w:eastAsia="Arial" w:hAnsi="Arial"/>
          <w:sz w:val="18"/>
          <w:szCs w:val="18"/>
          <w:color w:val="auto"/>
        </w:rPr>
        <w:t>We believe maintaining liquidity and strengthening our balance sheet will provide us with greater flexibility to</w:t>
      </w:r>
      <w:r>
        <w:rPr>
          <w:rFonts w:ascii="Arial" w:cs="Arial" w:eastAsia="Arial" w:hAnsi="Arial"/>
          <w:sz w:val="18"/>
          <w:szCs w:val="18"/>
          <w:b w:val="1"/>
          <w:bCs w:val="1"/>
          <w:color w:val="auto"/>
        </w:rPr>
        <w:t xml:space="preserve"> </w:t>
      </w:r>
      <w:r>
        <w:rPr>
          <w:rFonts w:ascii="Arial" w:cs="Arial" w:eastAsia="Arial" w:hAnsi="Arial"/>
          <w:sz w:val="18"/>
          <w:szCs w:val="18"/>
          <w:color w:val="auto"/>
        </w:rPr>
        <w:t>pursue attractive investment opportunities that we believe are on the horizon. We focused this quarter on adding borrowing capacity and term advance financing. We were successful on both fronts, as more fully described in the Executive Summary—Liquidity section below. We believe we will benefit from the inclusion of servicer advances in the Term Asset-Backed Securities Loan Facility program (TALF), which will lead to improved access to term financing for servicer advances.</w:t>
      </w:r>
    </w:p>
    <w:p>
      <w:pPr>
        <w:spacing w:after="0" w:line="193" w:lineRule="exact"/>
        <w:rPr>
          <w:sz w:val="20"/>
          <w:szCs w:val="20"/>
          <w:color w:val="auto"/>
        </w:rPr>
      </w:pPr>
    </w:p>
    <w:p>
      <w:pPr>
        <w:jc w:val="both"/>
        <w:ind w:firstLine="709"/>
        <w:spacing w:after="0" w:line="258" w:lineRule="auto"/>
        <w:rPr>
          <w:sz w:val="20"/>
          <w:szCs w:val="20"/>
          <w:color w:val="auto"/>
        </w:rPr>
      </w:pPr>
      <w:r>
        <w:rPr>
          <w:rFonts w:ascii="Arial" w:cs="Arial" w:eastAsia="Arial" w:hAnsi="Arial"/>
          <w:sz w:val="18"/>
          <w:szCs w:val="18"/>
          <w:b w:val="1"/>
          <w:bCs w:val="1"/>
          <w:color w:val="auto"/>
        </w:rPr>
        <w:t xml:space="preserve">Revenue Opportunities. </w:t>
      </w:r>
      <w:r>
        <w:rPr>
          <w:rFonts w:ascii="Arial" w:cs="Arial" w:eastAsia="Arial" w:hAnsi="Arial"/>
          <w:sz w:val="18"/>
          <w:szCs w:val="18"/>
          <w:color w:val="auto"/>
        </w:rPr>
        <w:t>We believe the current economic environment combined with government financial stability actions affords us a unique</w:t>
      </w:r>
      <w:r>
        <w:rPr>
          <w:rFonts w:ascii="Arial" w:cs="Arial" w:eastAsia="Arial" w:hAnsi="Arial"/>
          <w:sz w:val="18"/>
          <w:szCs w:val="18"/>
          <w:b w:val="1"/>
          <w:bCs w:val="1"/>
          <w:color w:val="auto"/>
        </w:rPr>
        <w:t xml:space="preserve"> </w:t>
      </w:r>
      <w:r>
        <w:rPr>
          <w:rFonts w:ascii="Arial" w:cs="Arial" w:eastAsia="Arial" w:hAnsi="Arial"/>
          <w:sz w:val="18"/>
          <w:szCs w:val="18"/>
          <w:color w:val="auto"/>
        </w:rPr>
        <w:t>opportunity to capitalize upon our long track record of: (1) demonstrated expertise with servicing rights, legacy loans and assets; (2) exceptional loss mitigation capabilities; and (3) successfully providing business processes services to the mortgage industry. Our revenue growth efforts are focused on developing opportunities in each of our segments.</w:t>
      </w:r>
    </w:p>
    <w:p>
      <w:pPr>
        <w:spacing w:after="0" w:line="19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Opportunities for revenue growth in the Ocwen Asset Management line of business include:</w:t>
      </w:r>
    </w:p>
    <w:p>
      <w:pPr>
        <w:spacing w:after="0" w:line="233" w:lineRule="exact"/>
        <w:rPr>
          <w:sz w:val="20"/>
          <w:szCs w:val="20"/>
          <w:color w:val="auto"/>
        </w:rPr>
      </w:pPr>
    </w:p>
    <w:p>
      <w:pPr>
        <w:jc w:val="both"/>
        <w:ind w:left="1160" w:hanging="571"/>
        <w:spacing w:after="0" w:line="255" w:lineRule="auto"/>
        <w:tabs>
          <w:tab w:leader="none" w:pos="1160" w:val="left"/>
        </w:tabs>
        <w:numPr>
          <w:ilvl w:val="0"/>
          <w:numId w:val="26"/>
        </w:numPr>
        <w:rPr>
          <w:rFonts w:ascii="Arial" w:cs="Arial" w:eastAsia="Arial" w:hAnsi="Arial"/>
          <w:sz w:val="18"/>
          <w:szCs w:val="18"/>
          <w:color w:val="auto"/>
        </w:rPr>
      </w:pPr>
      <w:r>
        <w:rPr>
          <w:rFonts w:ascii="Arial" w:cs="Arial" w:eastAsia="Arial" w:hAnsi="Arial"/>
          <w:sz w:val="18"/>
          <w:szCs w:val="18"/>
          <w:b w:val="1"/>
          <w:bCs w:val="1"/>
          <w:color w:val="auto"/>
        </w:rPr>
        <w:t xml:space="preserve">Special Servicing Arrangements. </w:t>
      </w:r>
      <w:r>
        <w:rPr>
          <w:rFonts w:ascii="Arial" w:cs="Arial" w:eastAsia="Arial" w:hAnsi="Arial"/>
          <w:sz w:val="18"/>
          <w:szCs w:val="18"/>
          <w:color w:val="auto"/>
        </w:rPr>
        <w:t>We began to perform under a special servicing arrangement with Freddie Mac as part of a high risk loan pilot</w:t>
      </w:r>
      <w:r>
        <w:rPr>
          <w:rFonts w:ascii="Arial" w:cs="Arial" w:eastAsia="Arial" w:hAnsi="Arial"/>
          <w:sz w:val="18"/>
          <w:szCs w:val="18"/>
          <w:b w:val="1"/>
          <w:bCs w:val="1"/>
          <w:color w:val="auto"/>
        </w:rPr>
        <w:t xml:space="preserve"> </w:t>
      </w:r>
      <w:r>
        <w:rPr>
          <w:rFonts w:ascii="Arial" w:cs="Arial" w:eastAsia="Arial" w:hAnsi="Arial"/>
          <w:sz w:val="18"/>
          <w:szCs w:val="18"/>
          <w:color w:val="auto"/>
        </w:rPr>
        <w:t>program announced in February 2009. We are in discussions with various counter parties on how we can assist them with their special servicing needs.</w:t>
      </w:r>
    </w:p>
    <w:p>
      <w:pPr>
        <w:ind w:left="1160" w:hanging="571"/>
        <w:spacing w:after="0" w:line="250" w:lineRule="auto"/>
        <w:tabs>
          <w:tab w:leader="none" w:pos="1160" w:val="left"/>
        </w:tabs>
        <w:numPr>
          <w:ilvl w:val="0"/>
          <w:numId w:val="26"/>
        </w:numPr>
        <w:rPr>
          <w:rFonts w:ascii="Arial" w:cs="Arial" w:eastAsia="Arial" w:hAnsi="Arial"/>
          <w:sz w:val="18"/>
          <w:szCs w:val="18"/>
          <w:color w:val="auto"/>
        </w:rPr>
      </w:pPr>
      <w:r>
        <w:rPr>
          <w:rFonts w:ascii="Arial" w:cs="Arial" w:eastAsia="Arial" w:hAnsi="Arial"/>
          <w:sz w:val="18"/>
          <w:szCs w:val="18"/>
          <w:b w:val="1"/>
          <w:bCs w:val="1"/>
          <w:color w:val="auto"/>
        </w:rPr>
        <w:t xml:space="preserve">Loan Modifications. </w:t>
      </w:r>
      <w:r>
        <w:rPr>
          <w:rFonts w:ascii="Arial" w:cs="Arial" w:eastAsia="Arial" w:hAnsi="Arial"/>
          <w:sz w:val="18"/>
          <w:szCs w:val="18"/>
          <w:color w:val="auto"/>
        </w:rPr>
        <w:t>We expect to accelerate work with qualifying borrowers to modify loans consistent with the federal government’s Home</w:t>
      </w:r>
      <w:r>
        <w:rPr>
          <w:rFonts w:ascii="Arial" w:cs="Arial" w:eastAsia="Arial" w:hAnsi="Arial"/>
          <w:sz w:val="18"/>
          <w:szCs w:val="18"/>
          <w:b w:val="1"/>
          <w:bCs w:val="1"/>
          <w:color w:val="auto"/>
        </w:rPr>
        <w:t xml:space="preserve"> </w:t>
      </w:r>
      <w:r>
        <w:rPr>
          <w:rFonts w:ascii="Arial" w:cs="Arial" w:eastAsia="Arial" w:hAnsi="Arial"/>
          <w:sz w:val="18"/>
          <w:szCs w:val="18"/>
          <w:color w:val="auto"/>
        </w:rPr>
        <w:t>Affordable Modification Program (HMP).</w:t>
      </w:r>
    </w:p>
    <w:p>
      <w:pPr>
        <w:ind w:left="1160" w:hanging="571"/>
        <w:spacing w:after="0"/>
        <w:tabs>
          <w:tab w:leader="none" w:pos="1160" w:val="left"/>
        </w:tabs>
        <w:numPr>
          <w:ilvl w:val="0"/>
          <w:numId w:val="26"/>
        </w:numPr>
        <w:rPr>
          <w:rFonts w:ascii="Arial" w:cs="Arial" w:eastAsia="Arial" w:hAnsi="Arial"/>
          <w:sz w:val="16"/>
          <w:szCs w:val="16"/>
          <w:color w:val="auto"/>
        </w:rPr>
      </w:pPr>
      <w:r>
        <w:rPr>
          <w:rFonts w:ascii="Arial" w:cs="Arial" w:eastAsia="Arial" w:hAnsi="Arial"/>
          <w:sz w:val="16"/>
          <w:szCs w:val="16"/>
          <w:b w:val="1"/>
          <w:bCs w:val="1"/>
          <w:color w:val="auto"/>
        </w:rPr>
        <w:t xml:space="preserve">Acquisition of Servicing Rights. </w:t>
      </w:r>
      <w:r>
        <w:rPr>
          <w:rFonts w:ascii="Arial" w:cs="Arial" w:eastAsia="Arial" w:hAnsi="Arial"/>
          <w:sz w:val="16"/>
          <w:szCs w:val="16"/>
          <w:color w:val="auto"/>
        </w:rPr>
        <w:t>We are actively pursuing several initiatives to provide us with an increased supply of servicing.</w:t>
      </w:r>
    </w:p>
    <w:p>
      <w:pPr>
        <w:spacing w:after="0" w:line="24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Ocwen Solutions line of business is focused on two primary opportunities to grow revenues:</w:t>
      </w:r>
    </w:p>
    <w:p>
      <w:pPr>
        <w:spacing w:after="0" w:line="233" w:lineRule="exact"/>
        <w:rPr>
          <w:sz w:val="20"/>
          <w:szCs w:val="20"/>
          <w:color w:val="auto"/>
        </w:rPr>
      </w:pPr>
    </w:p>
    <w:p>
      <w:pPr>
        <w:ind w:left="1160" w:hanging="571"/>
        <w:spacing w:after="0" w:line="275" w:lineRule="auto"/>
        <w:tabs>
          <w:tab w:leader="none" w:pos="1160" w:val="left"/>
        </w:tabs>
        <w:numPr>
          <w:ilvl w:val="0"/>
          <w:numId w:val="27"/>
        </w:numPr>
        <w:rPr>
          <w:rFonts w:ascii="Arial" w:cs="Arial" w:eastAsia="Arial" w:hAnsi="Arial"/>
          <w:sz w:val="18"/>
          <w:szCs w:val="18"/>
          <w:color w:val="auto"/>
        </w:rPr>
      </w:pPr>
      <w:r>
        <w:rPr>
          <w:rFonts w:ascii="Arial" w:cs="Arial" w:eastAsia="Arial" w:hAnsi="Arial"/>
          <w:sz w:val="18"/>
          <w:szCs w:val="18"/>
          <w:b w:val="1"/>
          <w:bCs w:val="1"/>
          <w:color w:val="auto"/>
        </w:rPr>
        <w:t xml:space="preserve">Product Diversification. </w:t>
      </w:r>
      <w:r>
        <w:rPr>
          <w:rFonts w:ascii="Arial" w:cs="Arial" w:eastAsia="Arial" w:hAnsi="Arial"/>
          <w:sz w:val="18"/>
          <w:szCs w:val="18"/>
          <w:color w:val="auto"/>
        </w:rPr>
        <w:t>We continue our efforts to offer a balanced service across all aspects of the mortgage lifecycle. We believe our</w:t>
      </w:r>
      <w:r>
        <w:rPr>
          <w:rFonts w:ascii="Arial" w:cs="Arial" w:eastAsia="Arial" w:hAnsi="Arial"/>
          <w:sz w:val="18"/>
          <w:szCs w:val="18"/>
          <w:b w:val="1"/>
          <w:bCs w:val="1"/>
          <w:color w:val="auto"/>
        </w:rPr>
        <w:t xml:space="preserve"> </w:t>
      </w:r>
      <w:r>
        <w:rPr>
          <w:rFonts w:ascii="Arial" w:cs="Arial" w:eastAsia="Arial" w:hAnsi="Arial"/>
          <w:sz w:val="18"/>
          <w:szCs w:val="18"/>
          <w:color w:val="auto"/>
        </w:rPr>
        <w:t>technological capabilities are a differentiating factor across our entire product platform.</w:t>
      </w:r>
    </w:p>
    <w:p>
      <w:pPr>
        <w:spacing w:after="0" w:line="106" w:lineRule="exact"/>
        <w:rPr>
          <w:rFonts w:ascii="Arial" w:cs="Arial" w:eastAsia="Arial" w:hAnsi="Arial"/>
          <w:sz w:val="18"/>
          <w:szCs w:val="18"/>
          <w:color w:val="auto"/>
        </w:rPr>
      </w:pPr>
    </w:p>
    <w:p>
      <w:pPr>
        <w:ind w:left="1160" w:right="20" w:hanging="571"/>
        <w:spacing w:after="0" w:line="275" w:lineRule="auto"/>
        <w:tabs>
          <w:tab w:leader="none" w:pos="1160" w:val="left"/>
        </w:tabs>
        <w:numPr>
          <w:ilvl w:val="0"/>
          <w:numId w:val="27"/>
        </w:numPr>
        <w:rPr>
          <w:rFonts w:ascii="Arial" w:cs="Arial" w:eastAsia="Arial" w:hAnsi="Arial"/>
          <w:sz w:val="18"/>
          <w:szCs w:val="18"/>
          <w:color w:val="auto"/>
        </w:rPr>
      </w:pPr>
      <w:r>
        <w:rPr>
          <w:rFonts w:ascii="Arial" w:cs="Arial" w:eastAsia="Arial" w:hAnsi="Arial"/>
          <w:sz w:val="18"/>
          <w:szCs w:val="18"/>
          <w:b w:val="1"/>
          <w:bCs w:val="1"/>
          <w:color w:val="auto"/>
        </w:rPr>
        <w:t xml:space="preserve">Geographic Expansion. </w:t>
      </w:r>
      <w:r>
        <w:rPr>
          <w:rFonts w:ascii="Arial" w:cs="Arial" w:eastAsia="Arial" w:hAnsi="Arial"/>
          <w:sz w:val="18"/>
          <w:szCs w:val="18"/>
          <w:color w:val="auto"/>
        </w:rPr>
        <w:t>We are expanding our product offering into new states. We expect to continue to build our national footprint for services</w:t>
      </w:r>
      <w:r>
        <w:rPr>
          <w:rFonts w:ascii="Arial" w:cs="Arial" w:eastAsia="Arial" w:hAnsi="Arial"/>
          <w:sz w:val="18"/>
          <w:szCs w:val="18"/>
          <w:b w:val="1"/>
          <w:bCs w:val="1"/>
          <w:color w:val="auto"/>
        </w:rPr>
        <w:t xml:space="preserve"> </w:t>
      </w:r>
      <w:r>
        <w:rPr>
          <w:rFonts w:ascii="Arial" w:cs="Arial" w:eastAsia="Arial" w:hAnsi="Arial"/>
          <w:sz w:val="18"/>
          <w:szCs w:val="18"/>
          <w:color w:val="auto"/>
        </w:rPr>
        <w:t>as part of our strategy to diversify our revenue base.</w:t>
      </w:r>
    </w:p>
    <w:p>
      <w:pPr>
        <w:spacing w:after="0" w:line="174" w:lineRule="exact"/>
        <w:rPr>
          <w:sz w:val="20"/>
          <w:szCs w:val="20"/>
          <w:color w:val="auto"/>
        </w:rPr>
      </w:pPr>
    </w:p>
    <w:p>
      <w:pPr>
        <w:jc w:val="both"/>
        <w:ind w:firstLine="501"/>
        <w:spacing w:after="0" w:line="310" w:lineRule="auto"/>
        <w:rPr>
          <w:sz w:val="20"/>
          <w:szCs w:val="20"/>
          <w:color w:val="auto"/>
        </w:rPr>
      </w:pPr>
      <w:r>
        <w:rPr>
          <w:rFonts w:ascii="Arial" w:cs="Arial" w:eastAsia="Arial" w:hAnsi="Arial"/>
          <w:sz w:val="16"/>
          <w:szCs w:val="16"/>
          <w:b w:val="1"/>
          <w:bCs w:val="1"/>
          <w:color w:val="auto"/>
        </w:rPr>
        <w:t xml:space="preserve">Quality and Cost Structure. </w:t>
      </w:r>
      <w:r>
        <w:rPr>
          <w:rFonts w:ascii="Arial" w:cs="Arial" w:eastAsia="Arial" w:hAnsi="Arial"/>
          <w:sz w:val="16"/>
          <w:szCs w:val="16"/>
          <w:color w:val="auto"/>
        </w:rPr>
        <w:t>According to a third-party industry study, our cost to service non-performing and performing residential loans are 60% and</w:t>
      </w:r>
      <w:r>
        <w:rPr>
          <w:rFonts w:ascii="Arial" w:cs="Arial" w:eastAsia="Arial" w:hAnsi="Arial"/>
          <w:sz w:val="16"/>
          <w:szCs w:val="16"/>
          <w:b w:val="1"/>
          <w:bCs w:val="1"/>
          <w:color w:val="auto"/>
        </w:rPr>
        <w:t xml:space="preserve"> </w:t>
      </w:r>
      <w:r>
        <w:rPr>
          <w:rFonts w:ascii="Arial" w:cs="Arial" w:eastAsia="Arial" w:hAnsi="Arial"/>
          <w:sz w:val="16"/>
          <w:szCs w:val="16"/>
          <w:color w:val="auto"/>
        </w:rPr>
        <w:t>21%, respectively, lower than the subprime industry. An industry trade association study shows that we are 28% less expensive than the nearest competitor in terms of servicing expense per loan. We believe that quality and cost are intrinsically related in that errors increase costs and destroy quality.</w:t>
      </w:r>
    </w:p>
    <w:p>
      <w:pPr>
        <w:spacing w:after="0" w:line="157" w:lineRule="exact"/>
        <w:rPr>
          <w:sz w:val="20"/>
          <w:szCs w:val="20"/>
          <w:color w:val="auto"/>
        </w:rPr>
      </w:pPr>
    </w:p>
    <w:p>
      <w:pPr>
        <w:jc w:val="both"/>
        <w:ind w:firstLine="436"/>
        <w:spacing w:after="0" w:line="294" w:lineRule="auto"/>
        <w:rPr>
          <w:sz w:val="20"/>
          <w:szCs w:val="20"/>
          <w:color w:val="auto"/>
        </w:rPr>
      </w:pPr>
      <w:r>
        <w:rPr>
          <w:rFonts w:ascii="Arial" w:cs="Arial" w:eastAsia="Arial" w:hAnsi="Arial"/>
          <w:sz w:val="16"/>
          <w:szCs w:val="16"/>
          <w:color w:val="auto"/>
        </w:rPr>
        <w:t>We have launched three specific initiatives which we believe are designed to not only maintain, but improve our profitability even with a declining portfolio of serviced loans. These three initiatives are: (1) consolidation and automation of manual processes; (2) improvement of process uniformity to eliminate variability; and (3) job function analyses to improve supervisory effectiveness. We are implementing our next generation of technology and processes to achieve this step function improvement in cost and quality. By eliminating variability in our processes, we can grow our industry leading programs that keep more people in their homes, generate greater cash flow for investors and reduce our costs.</w:t>
      </w:r>
    </w:p>
    <w:p>
      <w:pPr>
        <w:spacing w:after="0" w:line="164" w:lineRule="exact"/>
        <w:rPr>
          <w:sz w:val="20"/>
          <w:szCs w:val="20"/>
          <w:color w:val="auto"/>
        </w:rPr>
      </w:pPr>
    </w:p>
    <w:p>
      <w:pPr>
        <w:jc w:val="both"/>
        <w:ind w:firstLine="501"/>
        <w:spacing w:after="0" w:line="310" w:lineRule="auto"/>
        <w:rPr>
          <w:sz w:val="20"/>
          <w:szCs w:val="20"/>
          <w:color w:val="auto"/>
        </w:rPr>
      </w:pPr>
      <w:r>
        <w:rPr>
          <w:rFonts w:ascii="Arial" w:cs="Arial" w:eastAsia="Arial" w:hAnsi="Arial"/>
          <w:sz w:val="16"/>
          <w:szCs w:val="16"/>
          <w:b w:val="1"/>
          <w:bCs w:val="1"/>
          <w:color w:val="auto"/>
        </w:rPr>
        <w:t xml:space="preserve">Separation of Ocwen Solutions. </w:t>
      </w:r>
      <w:r>
        <w:rPr>
          <w:rFonts w:ascii="Arial" w:cs="Arial" w:eastAsia="Arial" w:hAnsi="Arial"/>
          <w:sz w:val="16"/>
          <w:szCs w:val="16"/>
          <w:color w:val="auto"/>
        </w:rPr>
        <w:t>On November 12, 2008, our Board of Directors authorized management to pursue a plan to separate, through a tax-free</w:t>
      </w:r>
      <w:r>
        <w:rPr>
          <w:rFonts w:ascii="Arial" w:cs="Arial" w:eastAsia="Arial" w:hAnsi="Arial"/>
          <w:sz w:val="16"/>
          <w:szCs w:val="16"/>
          <w:b w:val="1"/>
          <w:bCs w:val="1"/>
          <w:color w:val="auto"/>
        </w:rPr>
        <w:t xml:space="preserve"> </w:t>
      </w:r>
      <w:r>
        <w:rPr>
          <w:rFonts w:ascii="Arial" w:cs="Arial" w:eastAsia="Arial" w:hAnsi="Arial"/>
          <w:sz w:val="16"/>
          <w:szCs w:val="16"/>
          <w:color w:val="auto"/>
        </w:rPr>
        <w:t>spin-off into a newly formed publicly-traded company, all of our business operations currently included within the OS business line except for BMS Holdings and GSS. We made our decision based upon a strategic analysis that concluded that the Separation would:</w:t>
      </w:r>
    </w:p>
    <w:p>
      <w:pPr>
        <w:spacing w:after="0" w:line="171" w:lineRule="exact"/>
        <w:rPr>
          <w:sz w:val="20"/>
          <w:szCs w:val="20"/>
          <w:color w:val="auto"/>
        </w:rPr>
      </w:pPr>
    </w:p>
    <w:p>
      <w:pPr>
        <w:ind w:left="1160" w:hanging="571"/>
        <w:spacing w:after="0"/>
        <w:tabs>
          <w:tab w:leader="none" w:pos="1160" w:val="left"/>
        </w:tabs>
        <w:numPr>
          <w:ilvl w:val="0"/>
          <w:numId w:val="28"/>
        </w:numPr>
        <w:rPr>
          <w:rFonts w:ascii="Arial" w:cs="Arial" w:eastAsia="Arial" w:hAnsi="Arial"/>
          <w:sz w:val="15"/>
          <w:szCs w:val="15"/>
          <w:color w:val="auto"/>
        </w:rPr>
      </w:pPr>
      <w:r>
        <w:rPr>
          <w:rFonts w:ascii="Arial" w:cs="Arial" w:eastAsia="Arial" w:hAnsi="Arial"/>
          <w:sz w:val="15"/>
          <w:szCs w:val="15"/>
          <w:color w:val="auto"/>
        </w:rPr>
        <w:t>Allow each of Ocwen and Altisource to separately focus on their core business and be better able to respond to initiatives and market challenges;</w:t>
      </w:r>
    </w:p>
    <w:p>
      <w:pPr>
        <w:spacing w:after="0" w:line="49" w:lineRule="exact"/>
        <w:rPr>
          <w:rFonts w:ascii="Arial" w:cs="Arial" w:eastAsia="Arial" w:hAnsi="Arial"/>
          <w:sz w:val="15"/>
          <w:szCs w:val="15"/>
          <w:color w:val="auto"/>
        </w:rPr>
      </w:pPr>
    </w:p>
    <w:p>
      <w:pPr>
        <w:ind w:left="1160" w:hanging="571"/>
        <w:spacing w:after="0"/>
        <w:tabs>
          <w:tab w:leader="none" w:pos="11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Better position OS to pursue business opportunities with other servicers;</w:t>
      </w:r>
    </w:p>
    <w:p>
      <w:pPr>
        <w:spacing w:after="0" w:line="9" w:lineRule="exact"/>
        <w:rPr>
          <w:rFonts w:ascii="Arial" w:cs="Arial" w:eastAsia="Arial" w:hAnsi="Arial"/>
          <w:sz w:val="18"/>
          <w:szCs w:val="18"/>
          <w:color w:val="auto"/>
        </w:rPr>
      </w:pPr>
    </w:p>
    <w:p>
      <w:pPr>
        <w:ind w:left="1160" w:hanging="571"/>
        <w:spacing w:after="0"/>
        <w:tabs>
          <w:tab w:leader="none" w:pos="11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Provide OS the option of offering its stock as consideration to potential acquisition targets (subject to certain limitations);</w:t>
      </w:r>
    </w:p>
    <w:p>
      <w:pPr>
        <w:spacing w:after="0" w:line="9" w:lineRule="exact"/>
        <w:rPr>
          <w:rFonts w:ascii="Arial" w:cs="Arial" w:eastAsia="Arial" w:hAnsi="Arial"/>
          <w:sz w:val="18"/>
          <w:szCs w:val="18"/>
          <w:color w:val="auto"/>
        </w:rPr>
      </w:pPr>
    </w:p>
    <w:p>
      <w:pPr>
        <w:ind w:left="1160" w:hanging="571"/>
        <w:spacing w:after="0"/>
        <w:tabs>
          <w:tab w:leader="none" w:pos="11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Grant OS flexibility in creating its own capital structure which may include a subsequent raise of equity or debt; and</w:t>
      </w:r>
    </w:p>
    <w:p>
      <w:pPr>
        <w:spacing w:after="0" w:line="9" w:lineRule="exact"/>
        <w:rPr>
          <w:rFonts w:ascii="Arial" w:cs="Arial" w:eastAsia="Arial" w:hAnsi="Arial"/>
          <w:sz w:val="18"/>
          <w:szCs w:val="18"/>
          <w:color w:val="auto"/>
        </w:rPr>
      </w:pPr>
    </w:p>
    <w:p>
      <w:pPr>
        <w:ind w:left="1160" w:hanging="571"/>
        <w:spacing w:after="0" w:line="261" w:lineRule="auto"/>
        <w:tabs>
          <w:tab w:leader="none" w:pos="11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Allow potential investors to choose between the contrasting business models of knowledge processing or servicing, each of which may be valued differently by the equity markets.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1" w:name="page32"/>
    <w:bookmarkEnd w:id="31"/>
    <w:p>
      <w:pPr>
        <w:jc w:val="both"/>
        <w:ind w:firstLine="567"/>
        <w:spacing w:after="0" w:line="254" w:lineRule="auto"/>
        <w:rPr>
          <w:sz w:val="20"/>
          <w:szCs w:val="20"/>
          <w:color w:val="auto"/>
        </w:rPr>
      </w:pPr>
      <w:r>
        <w:rPr>
          <w:rFonts w:ascii="Arial" w:cs="Arial" w:eastAsia="Arial" w:hAnsi="Arial"/>
          <w:sz w:val="18"/>
          <w:szCs w:val="18"/>
          <w:color w:val="auto"/>
        </w:rPr>
        <w:t>The ownership interest in this new company will be distributed to OCN’s existing shareholders in the form of a pro rata stock distribution. Each OCN shareholder will receive one share of OS common stock for every three shares of OCN common stock held as of the close of business on the record date of the distribution. We continue to move ahead with our efforts to address the legal and regulatory requirements for the Separation with the goal of effecting the transaction in the third quarter of 2009. We believe this transaction does not require OTS approval. These efforts include filing a registration statement on Form 10 with the Securities and Exchange Commission (SEC) for the proposed transaction in the second quarter of 2009. A vote of OCN shareholders is not required in connection with the Separation.</w:t>
      </w:r>
    </w:p>
    <w:p>
      <w:pPr>
        <w:spacing w:after="0" w:line="198" w:lineRule="exact"/>
        <w:rPr>
          <w:sz w:val="20"/>
          <w:szCs w:val="20"/>
          <w:color w:val="auto"/>
        </w:rPr>
      </w:pPr>
    </w:p>
    <w:p>
      <w:pPr>
        <w:jc w:val="both"/>
        <w:ind w:right="20" w:firstLine="490"/>
        <w:spacing w:after="0" w:line="268" w:lineRule="auto"/>
        <w:rPr>
          <w:sz w:val="20"/>
          <w:szCs w:val="20"/>
          <w:color w:val="auto"/>
        </w:rPr>
      </w:pPr>
      <w:r>
        <w:rPr>
          <w:rFonts w:ascii="Arial" w:cs="Arial" w:eastAsia="Arial" w:hAnsi="Arial"/>
          <w:sz w:val="18"/>
          <w:szCs w:val="18"/>
          <w:color w:val="auto"/>
        </w:rPr>
        <w:t>In connection with the Separation, OAM expects to enter into contractual agreements at prevailing market rates with OS to both provide certain corporate services as well as receive commercial services.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Outlook</w:t>
      </w:r>
    </w:p>
    <w:p>
      <w:pPr>
        <w:spacing w:after="0" w:line="225" w:lineRule="exact"/>
        <w:rPr>
          <w:sz w:val="20"/>
          <w:szCs w:val="20"/>
          <w:color w:val="auto"/>
        </w:rPr>
      </w:pPr>
    </w:p>
    <w:p>
      <w:pPr>
        <w:jc w:val="both"/>
        <w:ind w:firstLine="481"/>
        <w:spacing w:after="0" w:line="339" w:lineRule="auto"/>
        <w:rPr>
          <w:sz w:val="20"/>
          <w:szCs w:val="20"/>
          <w:color w:val="auto"/>
        </w:rPr>
      </w:pPr>
      <w:r>
        <w:rPr>
          <w:rFonts w:ascii="Arial" w:cs="Arial" w:eastAsia="Arial" w:hAnsi="Arial"/>
          <w:sz w:val="16"/>
          <w:szCs w:val="16"/>
          <w:b w:val="1"/>
          <w:bCs w:val="1"/>
          <w:color w:val="auto"/>
        </w:rPr>
        <w:t xml:space="preserve">Ocwen Asset Management. </w:t>
      </w:r>
      <w:r>
        <w:rPr>
          <w:rFonts w:ascii="Arial" w:cs="Arial" w:eastAsia="Arial" w:hAnsi="Arial"/>
          <w:sz w:val="16"/>
          <w:szCs w:val="16"/>
          <w:color w:val="auto"/>
        </w:rPr>
        <w:t>We are aggressively pursuing special servicing opportunities that require little capital such as our pilot program with Freddie</w:t>
      </w:r>
      <w:r>
        <w:rPr>
          <w:rFonts w:ascii="Arial" w:cs="Arial" w:eastAsia="Arial" w:hAnsi="Arial"/>
          <w:sz w:val="16"/>
          <w:szCs w:val="16"/>
          <w:b w:val="1"/>
          <w:bCs w:val="1"/>
          <w:color w:val="auto"/>
        </w:rPr>
        <w:t xml:space="preserve"> </w:t>
      </w:r>
      <w:r>
        <w:rPr>
          <w:rFonts w:ascii="Arial" w:cs="Arial" w:eastAsia="Arial" w:hAnsi="Arial"/>
          <w:sz w:val="16"/>
          <w:szCs w:val="16"/>
          <w:color w:val="auto"/>
        </w:rPr>
        <w:t>Mac. Advances declined significantly in the first quarter. We expect this trend to continue in 2009, although the rate of decline is likely to slow.</w:t>
      </w:r>
    </w:p>
    <w:p>
      <w:pPr>
        <w:spacing w:after="0" w:line="134" w:lineRule="exact"/>
        <w:rPr>
          <w:sz w:val="20"/>
          <w:szCs w:val="20"/>
          <w:color w:val="auto"/>
        </w:rPr>
      </w:pPr>
    </w:p>
    <w:p>
      <w:pPr>
        <w:jc w:val="both"/>
        <w:ind w:firstLine="463"/>
        <w:spacing w:after="0" w:line="332" w:lineRule="auto"/>
        <w:rPr>
          <w:sz w:val="20"/>
          <w:szCs w:val="20"/>
          <w:color w:val="auto"/>
        </w:rPr>
      </w:pPr>
      <w:r>
        <w:rPr>
          <w:rFonts w:ascii="Arial" w:cs="Arial" w:eastAsia="Arial" w:hAnsi="Arial"/>
          <w:sz w:val="16"/>
          <w:szCs w:val="16"/>
          <w:color w:val="auto"/>
        </w:rPr>
        <w:t>Under the HMP, we expect to generate revenues after qualifying loan modifications pass the 90-day trial period. Late fee revenues must be waived for loan modifications included in the HMP. Accordingly, second quarter revenues will likely not include HMP qualifying loan modifications.</w:t>
      </w:r>
    </w:p>
    <w:p>
      <w:pPr>
        <w:spacing w:after="0" w:line="139" w:lineRule="exact"/>
        <w:rPr>
          <w:sz w:val="20"/>
          <w:szCs w:val="20"/>
          <w:color w:val="auto"/>
        </w:rPr>
      </w:pPr>
    </w:p>
    <w:p>
      <w:pPr>
        <w:jc w:val="both"/>
        <w:ind w:firstLine="619"/>
        <w:spacing w:after="0" w:line="268" w:lineRule="auto"/>
        <w:rPr>
          <w:sz w:val="20"/>
          <w:szCs w:val="20"/>
          <w:color w:val="auto"/>
        </w:rPr>
      </w:pPr>
      <w:r>
        <w:rPr>
          <w:rFonts w:ascii="Arial" w:cs="Arial" w:eastAsia="Arial" w:hAnsi="Arial"/>
          <w:sz w:val="18"/>
          <w:szCs w:val="18"/>
          <w:color w:val="auto"/>
        </w:rPr>
        <w:t>With the inclusion of servicer advances in TALF, we may issue TALF notes to increase the amount and duration of advance financing. We will also continue to reduce non-core assets and deploy that cash in our core businesses.</w:t>
      </w:r>
    </w:p>
    <w:p>
      <w:pPr>
        <w:spacing w:after="0" w:line="180" w:lineRule="exact"/>
        <w:rPr>
          <w:sz w:val="20"/>
          <w:szCs w:val="20"/>
          <w:color w:val="auto"/>
        </w:rPr>
      </w:pPr>
    </w:p>
    <w:p>
      <w:pPr>
        <w:jc w:val="both"/>
        <w:ind w:firstLine="623"/>
        <w:spacing w:after="0" w:line="262" w:lineRule="auto"/>
        <w:rPr>
          <w:sz w:val="20"/>
          <w:szCs w:val="20"/>
          <w:color w:val="auto"/>
        </w:rPr>
      </w:pPr>
      <w:r>
        <w:rPr>
          <w:rFonts w:ascii="Arial" w:cs="Arial" w:eastAsia="Arial" w:hAnsi="Arial"/>
          <w:sz w:val="18"/>
          <w:szCs w:val="18"/>
          <w:b w:val="1"/>
          <w:bCs w:val="1"/>
          <w:color w:val="auto"/>
        </w:rPr>
        <w:t xml:space="preserve">Ocwen Solutions. </w:t>
      </w:r>
      <w:r>
        <w:rPr>
          <w:rFonts w:ascii="Arial" w:cs="Arial" w:eastAsia="Arial" w:hAnsi="Arial"/>
          <w:sz w:val="18"/>
          <w:szCs w:val="18"/>
          <w:color w:val="auto"/>
        </w:rPr>
        <w:t>The primary growth engine for Ocwen Solutions will be Mortgage Services, which we are expanding by increasing the array and</w:t>
      </w:r>
      <w:r>
        <w:rPr>
          <w:rFonts w:ascii="Arial" w:cs="Arial" w:eastAsia="Arial" w:hAnsi="Arial"/>
          <w:sz w:val="18"/>
          <w:szCs w:val="18"/>
          <w:b w:val="1"/>
          <w:bCs w:val="1"/>
          <w:color w:val="auto"/>
        </w:rPr>
        <w:t xml:space="preserve"> </w:t>
      </w:r>
      <w:r>
        <w:rPr>
          <w:rFonts w:ascii="Arial" w:cs="Arial" w:eastAsia="Arial" w:hAnsi="Arial"/>
          <w:sz w:val="18"/>
          <w:szCs w:val="18"/>
          <w:color w:val="auto"/>
        </w:rPr>
        <w:t>geographical range of the mortgage and default services that we provide to originators and servicers. These services include default processing, property inspection and preservation, homeowner outreach, real estate sales and title services.</w:t>
      </w:r>
    </w:p>
    <w:p>
      <w:pPr>
        <w:spacing w:after="0" w:line="192" w:lineRule="exact"/>
        <w:rPr>
          <w:sz w:val="20"/>
          <w:szCs w:val="20"/>
          <w:color w:val="auto"/>
        </w:rPr>
      </w:pPr>
    </w:p>
    <w:p>
      <w:pPr>
        <w:jc w:val="both"/>
        <w:ind w:firstLine="646"/>
        <w:spacing w:after="0" w:line="255" w:lineRule="auto"/>
        <w:rPr>
          <w:sz w:val="20"/>
          <w:szCs w:val="20"/>
          <w:color w:val="auto"/>
        </w:rPr>
      </w:pPr>
      <w:r>
        <w:rPr>
          <w:rFonts w:ascii="Arial" w:cs="Arial" w:eastAsia="Arial" w:hAnsi="Arial"/>
          <w:sz w:val="18"/>
          <w:szCs w:val="18"/>
          <w:color w:val="auto"/>
        </w:rPr>
        <w:t>We expect limited revenue growth but increased profitability in Financial Services in 2009. The difficult collection environment that all receivables management firms currently are facing stems from growing unemployment and consumers’ limited access to credit. These issues have lowered NCI’s collection rate, but NCI remains a top performer for its most important clients. NCI will continue to focus on reducing operating costs by improving processes and implementing its strategic initiatives which include: scoring, scripting and optimal debtor resolution. As NCI begins to experience positive results from these efforts, it will turn its attention toward revenue growth.</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w:t>
      </w:r>
    </w:p>
    <w:p>
      <w:pPr>
        <w:spacing w:after="0" w:line="231" w:lineRule="exact"/>
        <w:rPr>
          <w:sz w:val="20"/>
          <w:szCs w:val="20"/>
          <w:color w:val="auto"/>
        </w:rPr>
      </w:pPr>
    </w:p>
    <w:p>
      <w:pPr>
        <w:jc w:val="both"/>
        <w:ind w:firstLine="457"/>
        <w:spacing w:after="0" w:line="268" w:lineRule="auto"/>
        <w:rPr>
          <w:sz w:val="20"/>
          <w:szCs w:val="20"/>
          <w:color w:val="auto"/>
        </w:rPr>
      </w:pPr>
      <w:r>
        <w:rPr>
          <w:rFonts w:ascii="Arial" w:cs="Arial" w:eastAsia="Arial" w:hAnsi="Arial"/>
          <w:sz w:val="18"/>
          <w:szCs w:val="18"/>
          <w:color w:val="auto"/>
        </w:rPr>
        <w:t>Cash totaled $158,855, or 7.8% of total assets at March 31, 2009. This compares to cash of $201,025, or 9% of total assets at December 31, 2008, and cash of $174,684, or 6.4% of total assets a year ago at March 31, 2008.</w:t>
      </w:r>
    </w:p>
    <w:p>
      <w:pPr>
        <w:spacing w:after="0" w:line="186" w:lineRule="exact"/>
        <w:rPr>
          <w:sz w:val="20"/>
          <w:szCs w:val="20"/>
          <w:color w:val="auto"/>
        </w:rPr>
      </w:pPr>
    </w:p>
    <w:p>
      <w:pPr>
        <w:jc w:val="both"/>
        <w:ind w:firstLine="556"/>
        <w:spacing w:after="0" w:line="256" w:lineRule="auto"/>
        <w:rPr>
          <w:sz w:val="20"/>
          <w:szCs w:val="20"/>
          <w:color w:val="auto"/>
        </w:rPr>
      </w:pPr>
      <w:r>
        <w:rPr>
          <w:rFonts w:ascii="Arial" w:cs="Arial" w:eastAsia="Arial" w:hAnsi="Arial"/>
          <w:sz w:val="18"/>
          <w:szCs w:val="18"/>
          <w:color w:val="auto"/>
        </w:rPr>
        <w:t>Servicer liabilities, which represent cash collected from borrowers but not yet remitted to securitization trusts, declined by $45,386 from December 31, 2008 to March 31, 2009. Servicer liabilities have a very short duration as funds collected must be remitted to the trust in accordance with the contractual obligation. The $148,937 decline in total advances in the first quarter of 2009 is attributable to the success of our efforts to stabilize the delinquency rate which has allowed advances to decline significantly faster than UPB.</w:t>
      </w:r>
    </w:p>
    <w:p>
      <w:pPr>
        <w:spacing w:after="0" w:line="197" w:lineRule="exact"/>
        <w:rPr>
          <w:sz w:val="20"/>
          <w:szCs w:val="20"/>
          <w:color w:val="auto"/>
        </w:rPr>
      </w:pPr>
    </w:p>
    <w:p>
      <w:pPr>
        <w:jc w:val="both"/>
        <w:ind w:firstLine="463"/>
        <w:spacing w:after="0" w:line="255" w:lineRule="auto"/>
        <w:rPr>
          <w:sz w:val="20"/>
          <w:szCs w:val="20"/>
          <w:color w:val="auto"/>
        </w:rPr>
      </w:pPr>
      <w:r>
        <w:rPr>
          <w:rFonts w:ascii="Arial" w:cs="Arial" w:eastAsia="Arial" w:hAnsi="Arial"/>
          <w:sz w:val="18"/>
          <w:szCs w:val="18"/>
          <w:color w:val="auto"/>
        </w:rPr>
        <w:t>Our borrowings as of March 31, 2009 include $186,568 borrowed under the Investment Line term note that is used to finance the investment grade auction rate securities which we are carrying at a fair value of $238,161. In the first quarter of 2009, we repaid $14,151 of Investment Line term note principal. This amount includes proceeds of $1,100 from the redemption of certain securities. On April 30, 2009, we renewed this term note through June 2010. This agreement was renewed early under terms substantially similar to the previous agreement, except amortization payments will now be $3,000 per month in place of the previous quarterly reductions in the advance rate.</w:t>
      </w:r>
    </w:p>
    <w:p>
      <w:pPr>
        <w:spacing w:after="0" w:line="197" w:lineRule="exact"/>
        <w:rPr>
          <w:sz w:val="20"/>
          <w:szCs w:val="20"/>
          <w:color w:val="auto"/>
        </w:rPr>
      </w:pPr>
    </w:p>
    <w:p>
      <w:pPr>
        <w:jc w:val="both"/>
        <w:ind w:firstLine="500"/>
        <w:spacing w:after="0" w:line="255" w:lineRule="auto"/>
        <w:rPr>
          <w:sz w:val="20"/>
          <w:szCs w:val="20"/>
          <w:color w:val="auto"/>
        </w:rPr>
      </w:pPr>
      <w:r>
        <w:rPr>
          <w:rFonts w:ascii="Arial" w:cs="Arial" w:eastAsia="Arial" w:hAnsi="Arial"/>
          <w:sz w:val="18"/>
          <w:szCs w:val="18"/>
          <w:color w:val="auto"/>
        </w:rPr>
        <w:t>Excluding the Investment Line, our borrowings have decreased by $168,968 since December 31, 2008. This decline reflects a reduction in borrowings by the Servicing segment, Loans and Residuals segment, Financial Services segment and Corporate Items and Other of $140,263, $3,058, $1,123 and $24,524, respectively. The decline in borrowings of the Servicing segment reflects a decline in advances. The decline in borrowings of the Loans and Residuals segment is primarily the result of a decline in the balance of the loans pledged as collateral. Corporate Items and Other borrowings declined as a result of the repurchase of 3.25% Convertible Notes with a face value of $25,910.</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2" w:name="page33"/>
    <w:bookmarkEnd w:id="32"/>
    <w:p>
      <w:pPr>
        <w:jc w:val="both"/>
        <w:ind w:firstLine="591"/>
        <w:spacing w:after="0" w:line="255" w:lineRule="auto"/>
        <w:rPr>
          <w:sz w:val="20"/>
          <w:szCs w:val="20"/>
          <w:color w:val="auto"/>
        </w:rPr>
      </w:pPr>
      <w:r>
        <w:rPr>
          <w:rFonts w:ascii="Arial" w:cs="Arial" w:eastAsia="Arial" w:hAnsi="Arial"/>
          <w:sz w:val="18"/>
          <w:szCs w:val="18"/>
          <w:color w:val="auto"/>
        </w:rPr>
        <w:t>Excluding the Investment Line, our total maximum borrowing capacity was $1,369,065 as of March 31, 2009, an increase of $28,318 as compared to December 31, 2008. This increase is primarily due to a $31,376 increase in borrowing capacity of the Servicing segment and a $3,058 decline in borrowing capacity of the Loans and Residuals segment. The increase in Servicing borrowing capacity is principally the result of entering into two new facilities in March 2009. One facility represented an advance in the form of zero-coupon bonds that we recorded at $45,373, net of a discount of $14,627. The other is a $7,000 term note. Both facilities are secured by the pledge of advances.</w:t>
      </w:r>
    </w:p>
    <w:p>
      <w:pPr>
        <w:spacing w:after="0" w:line="197" w:lineRule="exact"/>
        <w:rPr>
          <w:sz w:val="20"/>
          <w:szCs w:val="20"/>
          <w:color w:val="auto"/>
        </w:rPr>
      </w:pPr>
    </w:p>
    <w:p>
      <w:pPr>
        <w:jc w:val="both"/>
        <w:ind w:firstLine="461"/>
        <w:spacing w:after="0" w:line="259" w:lineRule="auto"/>
        <w:rPr>
          <w:sz w:val="20"/>
          <w:szCs w:val="20"/>
          <w:color w:val="auto"/>
        </w:rPr>
      </w:pPr>
      <w:r>
        <w:rPr>
          <w:rFonts w:ascii="Arial" w:cs="Arial" w:eastAsia="Arial" w:hAnsi="Arial"/>
          <w:sz w:val="18"/>
          <w:szCs w:val="18"/>
          <w:color w:val="auto"/>
        </w:rPr>
        <w:t>At March 31, 2009, excluding the Investment Line, $438,690 of our total maximum borrowing capacity remained unused, including $428,690 attributed to the Servicing business. Of the unused borrowing capacity of the Servicing business, none was readily available because we had no additional assets pledged as collateral but not drawn under our facilities.</w:t>
      </w:r>
    </w:p>
    <w:p>
      <w:pPr>
        <w:spacing w:after="0" w:line="194" w:lineRule="exact"/>
        <w:rPr>
          <w:sz w:val="20"/>
          <w:szCs w:val="20"/>
          <w:color w:val="auto"/>
        </w:rPr>
      </w:pPr>
    </w:p>
    <w:p>
      <w:pPr>
        <w:jc w:val="both"/>
        <w:ind w:firstLine="540"/>
        <w:spacing w:after="0" w:line="291" w:lineRule="auto"/>
        <w:rPr>
          <w:sz w:val="20"/>
          <w:szCs w:val="20"/>
          <w:color w:val="auto"/>
        </w:rPr>
      </w:pPr>
      <w:r>
        <w:rPr>
          <w:rFonts w:ascii="Arial" w:cs="Arial" w:eastAsia="Arial" w:hAnsi="Arial"/>
          <w:sz w:val="16"/>
          <w:szCs w:val="16"/>
          <w:color w:val="auto"/>
        </w:rPr>
        <w:t>In January 2009, we negotiated an early renewal of a $200,000 facility. The start of the amortization period for this note is now January 2010. With the continuing decline of our advance balances and the success of our other liquidity initiatives, we believe that we will have sufficient borrowing capacity to finance advances on our current servicing portfolio through the remainder of 2009 even if we are unable to negotiate any new facilities or any renewals or increases of existing facilities. We will endeavor to retain sufficient cash to repay any advances in excess of our borrowing capacity if such borrowing capacity declines under this worst-case scenario for financing. Another reason that we will retain cash is to cover possible additional principal repayments on our MSR term note in the event that the collateral value determined by a third party appraiser declines faster than the scheduled amortization of this note.</w:t>
      </w:r>
    </w:p>
    <w:p>
      <w:pPr>
        <w:spacing w:after="0" w:line="174" w:lineRule="exact"/>
        <w:rPr>
          <w:sz w:val="20"/>
          <w:szCs w:val="20"/>
          <w:color w:val="auto"/>
        </w:rPr>
      </w:pPr>
    </w:p>
    <w:p>
      <w:pPr>
        <w:jc w:val="both"/>
        <w:ind w:firstLine="502"/>
        <w:spacing w:after="0" w:line="289" w:lineRule="auto"/>
        <w:rPr>
          <w:sz w:val="20"/>
          <w:szCs w:val="20"/>
          <w:color w:val="auto"/>
        </w:rPr>
      </w:pPr>
      <w:r>
        <w:rPr>
          <w:rFonts w:ascii="Arial" w:cs="Arial" w:eastAsia="Arial" w:hAnsi="Arial"/>
          <w:sz w:val="16"/>
          <w:szCs w:val="16"/>
          <w:color w:val="auto"/>
        </w:rPr>
        <w:t>During these challenging times in the financial markets, we have given careful consideration to counterparty risk. Our advance facilities revolve, and in a typical monthly cycle, we repay up to one-third of the borrowings from collections. During the remittance cycle, which starts in the middle of each month, we must depend on our lenders to provide us with the cash that is required to make remittances to the Servicing investors. However, this is possible only when new advances represent eligible collateral under our advance facilities, and we can borrow additional funds against this collateral. Some of the financial institutions lending to us have experienced significant financial losses and have been the subject of investor concern. Several of these lenders are undergoing restructuring activities, including merging with stronger institutions or raising additional capital, either as part of or outside of the various government rescue plans that have been announced. These actions appear to have succeeded in stabilizing our largest lenders and thereby reducing our counterparty risk, but we continue to monitor closely the financial condition of our lenders.</w:t>
      </w:r>
    </w:p>
    <w:p>
      <w:pPr>
        <w:spacing w:after="0" w:line="172" w:lineRule="exact"/>
        <w:rPr>
          <w:sz w:val="20"/>
          <w:szCs w:val="20"/>
          <w:color w:val="auto"/>
        </w:rPr>
      </w:pPr>
    </w:p>
    <w:p>
      <w:pPr>
        <w:jc w:val="both"/>
        <w:ind w:firstLine="475"/>
        <w:spacing w:after="0" w:line="298" w:lineRule="auto"/>
        <w:rPr>
          <w:sz w:val="20"/>
          <w:szCs w:val="20"/>
          <w:color w:val="auto"/>
        </w:rPr>
      </w:pPr>
      <w:r>
        <w:rPr>
          <w:rFonts w:ascii="Arial" w:cs="Arial" w:eastAsia="Arial" w:hAnsi="Arial"/>
          <w:sz w:val="16"/>
          <w:szCs w:val="16"/>
          <w:color w:val="auto"/>
        </w:rPr>
        <w:t>In the first quarter of 2009, financing costs came down from the level in the first quarter of 2008 due to lower advance balances and a reduction in interest rates. The one-month LIBOR, which is the reference rate for most of our borrowings declined significantly in the first quarter of 2009, and this decrease was partly offset by higher average spreads over LIBOR. The rate paid on the average balance of our debt outstanding under our match funded facilities and our lines of credit and other secured borrowings was 6.01% and 6.87% in the first quarter of 2009 and 2008, respectively.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31" w:lineRule="exact"/>
        <w:rPr>
          <w:sz w:val="20"/>
          <w:szCs w:val="20"/>
          <w:color w:val="auto"/>
        </w:rPr>
      </w:pPr>
    </w:p>
    <w:p>
      <w:pPr>
        <w:jc w:val="both"/>
        <w:ind w:firstLine="450"/>
        <w:spacing w:after="0" w:line="291" w:lineRule="auto"/>
        <w:rPr>
          <w:sz w:val="20"/>
          <w:szCs w:val="20"/>
          <w:color w:val="auto"/>
        </w:rPr>
      </w:pPr>
      <w:r>
        <w:rPr>
          <w:rFonts w:ascii="Arial" w:cs="Arial" w:eastAsia="Arial" w:hAnsi="Arial"/>
          <w:sz w:val="16"/>
          <w:szCs w:val="16"/>
          <w:color w:val="auto"/>
        </w:rPr>
        <w:t>Our ability to measure and report our operating results and financial position is heavily influenced by the need to estimate the impact or outcome of risks in the marketplace or other future events. Our critical accounting policies are those that relate to the estimation and measurement of these risks. Because they inherently involve significant judgments and uncertainties, an understanding of these policies is fundamental to understanding Management’s Discussion and Analysis of Results of Operations and Financial Condition. Our significant accounting policies are discussed in detail on pages 24 through 27 of Management’s Discussion and Analysis of Results of Operations and Financial Condition and in Note 1 of our Consolidated Financial Statements included in our Annual Report on Form 10-K for the year ended December 31, 2008.</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RESULTS OF OPERATIONS AND CHANGES IN FINANCIAL CONDITION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Operations Summary</w:t>
      </w:r>
    </w:p>
    <w:p>
      <w:pPr>
        <w:spacing w:after="0" w:line="231"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The following table summarizes our consolidated operating results for the three months ended March 31, 2009 and 2008. We have provided a more complete discussion of operating results by line of business in the Segments section.</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5540" w:type="dxa"/>
            <w:vAlign w:val="bottom"/>
          </w:tcPr>
          <w:p>
            <w:pPr>
              <w:spacing w:after="0"/>
              <w:rPr>
                <w:sz w:val="19"/>
                <w:szCs w:val="19"/>
                <w:color w:val="auto"/>
              </w:rPr>
            </w:pP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2009</w:t>
            </w: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2008</w:t>
            </w: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jc w:val="right"/>
              <w:ind w:right="252"/>
              <w:spacing w:after="0"/>
              <w:rPr>
                <w:sz w:val="20"/>
                <w:szCs w:val="20"/>
                <w:color w:val="auto"/>
              </w:rPr>
            </w:pPr>
            <w:r>
              <w:rPr>
                <w:rFonts w:ascii="Arial" w:cs="Arial" w:eastAsia="Arial" w:hAnsi="Arial"/>
                <w:sz w:val="18"/>
                <w:szCs w:val="18"/>
                <w:color w:val="auto"/>
              </w:rPr>
              <w:t>% Change</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55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40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40" w:type="dxa"/>
            <w:vAlign w:val="bottom"/>
            <w:shd w:val="clear" w:color="auto" w:fill="EAF9E8"/>
          </w:tcPr>
          <w:p>
            <w:pPr>
              <w:spacing w:after="0"/>
              <w:rPr>
                <w:sz w:val="20"/>
                <w:szCs w:val="20"/>
                <w:color w:val="auto"/>
              </w:rPr>
            </w:pPr>
            <w:r>
              <w:rPr>
                <w:rFonts w:ascii="Arial" w:cs="Arial" w:eastAsia="Arial" w:hAnsi="Arial"/>
                <w:sz w:val="18"/>
                <w:szCs w:val="18"/>
                <w:color w:val="auto"/>
              </w:rPr>
              <w:t>Consolidated:</w:t>
            </w:r>
          </w:p>
        </w:tc>
        <w:tc>
          <w:tcPr>
            <w:tcW w:w="860" w:type="dxa"/>
            <w:vAlign w:val="bottom"/>
            <w:shd w:val="clear" w:color="auto" w:fill="EAF9E8"/>
          </w:tcPr>
          <w:p>
            <w:pPr>
              <w:spacing w:after="0"/>
              <w:rPr>
                <w:sz w:val="18"/>
                <w:szCs w:val="18"/>
                <w:color w:val="auto"/>
              </w:rPr>
            </w:pPr>
          </w:p>
        </w:tc>
        <w:tc>
          <w:tcPr>
            <w:tcW w:w="940" w:type="dxa"/>
            <w:vAlign w:val="bottom"/>
            <w:shd w:val="clear" w:color="auto" w:fill="EAF9E8"/>
          </w:tcPr>
          <w:p>
            <w:pPr>
              <w:spacing w:after="0"/>
              <w:rPr>
                <w:sz w:val="18"/>
                <w:szCs w:val="18"/>
                <w:color w:val="auto"/>
              </w:rPr>
            </w:pPr>
          </w:p>
        </w:tc>
        <w:tc>
          <w:tcPr>
            <w:tcW w:w="58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940" w:type="dxa"/>
            <w:vAlign w:val="bottom"/>
            <w:shd w:val="clear" w:color="auto" w:fill="EAF9E8"/>
          </w:tcPr>
          <w:p>
            <w:pPr>
              <w:spacing w:after="0"/>
              <w:rPr>
                <w:sz w:val="18"/>
                <w:szCs w:val="18"/>
                <w:color w:val="auto"/>
              </w:rPr>
            </w:pPr>
          </w:p>
        </w:tc>
        <w:tc>
          <w:tcPr>
            <w:tcW w:w="58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40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ind w:left="140"/>
              <w:spacing w:after="0"/>
              <w:rPr>
                <w:sz w:val="20"/>
                <w:szCs w:val="20"/>
                <w:color w:val="auto"/>
              </w:rPr>
            </w:pPr>
            <w:r>
              <w:rPr>
                <w:rFonts w:ascii="Arial" w:cs="Arial" w:eastAsia="Arial" w:hAnsi="Arial"/>
                <w:sz w:val="18"/>
                <w:szCs w:val="18"/>
                <w:color w:val="auto"/>
              </w:rPr>
              <w:t>Revenue</w:t>
            </w:r>
          </w:p>
        </w:tc>
        <w:tc>
          <w:tcPr>
            <w:tcW w:w="1800" w:type="dxa"/>
            <w:vAlign w:val="bottom"/>
            <w:gridSpan w:val="2"/>
          </w:tcPr>
          <w:p>
            <w:pPr>
              <w:jc w:val="right"/>
              <w:ind w:right="752"/>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114,590</w:t>
            </w:r>
          </w:p>
        </w:tc>
        <w:tc>
          <w:tcPr>
            <w:tcW w:w="140" w:type="dxa"/>
            <w:vAlign w:val="bottom"/>
          </w:tcPr>
          <w:p>
            <w:pPr>
              <w:spacing w:after="0"/>
              <w:rPr>
                <w:sz w:val="18"/>
                <w:szCs w:val="18"/>
                <w:color w:val="auto"/>
              </w:rPr>
            </w:pPr>
          </w:p>
        </w:tc>
        <w:tc>
          <w:tcPr>
            <w:tcW w:w="1020" w:type="dxa"/>
            <w:vAlign w:val="bottom"/>
            <w:gridSpan w:val="2"/>
          </w:tcPr>
          <w:p>
            <w:pPr>
              <w:jc w:val="right"/>
              <w:ind w:right="783"/>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w w:val="86"/>
              </w:rPr>
              <w:t>128,251</w:t>
            </w:r>
          </w:p>
        </w:tc>
        <w:tc>
          <w:tcPr>
            <w:tcW w:w="1400" w:type="dxa"/>
            <w:vAlign w:val="bottom"/>
          </w:tcPr>
          <w:p>
            <w:pPr>
              <w:jc w:val="right"/>
              <w:ind w:right="312"/>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EAF9E8"/>
          </w:tcPr>
          <w:p>
            <w:pPr>
              <w:ind w:left="140"/>
              <w:spacing w:after="0"/>
              <w:rPr>
                <w:sz w:val="20"/>
                <w:szCs w:val="20"/>
                <w:color w:val="auto"/>
              </w:rPr>
            </w:pPr>
            <w:r>
              <w:rPr>
                <w:rFonts w:ascii="Arial" w:cs="Arial" w:eastAsia="Arial" w:hAnsi="Arial"/>
                <w:sz w:val="18"/>
                <w:szCs w:val="18"/>
                <w:color w:val="auto"/>
              </w:rPr>
              <w:t>Operating expenses</w:t>
            </w:r>
          </w:p>
        </w:tc>
        <w:tc>
          <w:tcPr>
            <w:tcW w:w="860" w:type="dxa"/>
            <w:vAlign w:val="bottom"/>
            <w:shd w:val="clear" w:color="auto" w:fill="EAF9E8"/>
          </w:tcPr>
          <w:p>
            <w:pPr>
              <w:spacing w:after="0"/>
              <w:rPr>
                <w:sz w:val="18"/>
                <w:szCs w:val="18"/>
                <w:color w:val="auto"/>
              </w:rPr>
            </w:pPr>
          </w:p>
        </w:tc>
        <w:tc>
          <w:tcPr>
            <w:tcW w:w="940" w:type="dxa"/>
            <w:vAlign w:val="bottom"/>
            <w:shd w:val="clear" w:color="auto" w:fill="EAF9E8"/>
          </w:tcPr>
          <w:p>
            <w:pPr>
              <w:spacing w:after="0"/>
              <w:rPr>
                <w:sz w:val="18"/>
                <w:szCs w:val="18"/>
                <w:color w:val="auto"/>
              </w:rPr>
            </w:pPr>
          </w:p>
        </w:tc>
        <w:tc>
          <w:tcPr>
            <w:tcW w:w="5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72,266</w:t>
            </w:r>
          </w:p>
        </w:tc>
        <w:tc>
          <w:tcPr>
            <w:tcW w:w="14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940" w:type="dxa"/>
            <w:vAlign w:val="bottom"/>
            <w:shd w:val="clear" w:color="auto" w:fill="EAF9E8"/>
          </w:tcPr>
          <w:p>
            <w:pPr>
              <w:spacing w:after="0"/>
              <w:rPr>
                <w:sz w:val="18"/>
                <w:szCs w:val="18"/>
                <w:color w:val="auto"/>
              </w:rPr>
            </w:pPr>
          </w:p>
        </w:tc>
        <w:tc>
          <w:tcPr>
            <w:tcW w:w="80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88,075</w:t>
            </w:r>
          </w:p>
        </w:tc>
        <w:tc>
          <w:tcPr>
            <w:tcW w:w="1400" w:type="dxa"/>
            <w:vAlign w:val="bottom"/>
            <w:shd w:val="clear" w:color="auto" w:fill="EAF9E8"/>
          </w:tcPr>
          <w:p>
            <w:pPr>
              <w:jc w:val="right"/>
              <w:ind w:right="312"/>
              <w:spacing w:after="0"/>
              <w:rPr>
                <w:sz w:val="20"/>
                <w:szCs w:val="20"/>
                <w:color w:val="auto"/>
              </w:rPr>
            </w:pPr>
            <w:r>
              <w:rPr>
                <w:rFonts w:ascii="Arial" w:cs="Arial" w:eastAsia="Arial" w:hAnsi="Arial"/>
                <w:sz w:val="18"/>
                <w:szCs w:val="18"/>
                <w:color w:val="auto"/>
              </w:rPr>
              <w:t>(18)</w:t>
            </w:r>
          </w:p>
        </w:tc>
        <w:tc>
          <w:tcPr>
            <w:tcW w:w="12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540" w:type="dxa"/>
            <w:vAlign w:val="bottom"/>
            <w:vMerge w:val="restart"/>
          </w:tcPr>
          <w:p>
            <w:pPr>
              <w:ind w:left="140"/>
              <w:spacing w:after="0"/>
              <w:rPr>
                <w:sz w:val="20"/>
                <w:szCs w:val="20"/>
                <w:color w:val="auto"/>
              </w:rPr>
            </w:pPr>
            <w:r>
              <w:rPr>
                <w:rFonts w:ascii="Arial" w:cs="Arial" w:eastAsia="Arial" w:hAnsi="Arial"/>
                <w:sz w:val="18"/>
                <w:szCs w:val="18"/>
                <w:color w:val="auto"/>
              </w:rPr>
              <w:t>Income from operations</w:t>
            </w:r>
          </w:p>
        </w:tc>
        <w:tc>
          <w:tcPr>
            <w:tcW w:w="8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0" w:type="dxa"/>
            <w:vAlign w:val="bottom"/>
            <w:gridSpan w:val="2"/>
          </w:tcPr>
          <w:p>
            <w:pPr>
              <w:spacing w:after="0"/>
              <w:rPr>
                <w:sz w:val="21"/>
                <w:szCs w:val="21"/>
                <w:color w:val="auto"/>
              </w:rPr>
            </w:pPr>
          </w:p>
        </w:tc>
        <w:tc>
          <w:tcPr>
            <w:tcW w:w="1400" w:type="dxa"/>
            <w:vAlign w:val="bottom"/>
            <w:vMerge w:val="restart"/>
          </w:tcPr>
          <w:p>
            <w:pPr>
              <w:jc w:val="right"/>
              <w:ind w:right="372"/>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40" w:type="dxa"/>
            <w:vAlign w:val="bottom"/>
            <w:vMerge w:val="continue"/>
          </w:tcPr>
          <w:p>
            <w:pPr>
              <w:spacing w:after="0"/>
              <w:rPr>
                <w:sz w:val="18"/>
                <w:szCs w:val="18"/>
                <w:color w:val="auto"/>
              </w:rPr>
            </w:pPr>
          </w:p>
        </w:tc>
        <w:tc>
          <w:tcPr>
            <w:tcW w:w="86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42,324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40,176</w:t>
            </w:r>
          </w:p>
        </w:tc>
        <w:tc>
          <w:tcPr>
            <w:tcW w:w="220" w:type="dxa"/>
            <w:vAlign w:val="bottom"/>
          </w:tcPr>
          <w:p>
            <w:pPr>
              <w:spacing w:after="0"/>
              <w:rPr>
                <w:sz w:val="18"/>
                <w:szCs w:val="18"/>
                <w:color w:val="auto"/>
              </w:rPr>
            </w:pPr>
          </w:p>
        </w:tc>
        <w:tc>
          <w:tcPr>
            <w:tcW w:w="14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EAF9E8"/>
          </w:tcPr>
          <w:p>
            <w:pPr>
              <w:ind w:left="140"/>
              <w:spacing w:after="0"/>
              <w:rPr>
                <w:sz w:val="20"/>
                <w:szCs w:val="20"/>
                <w:color w:val="auto"/>
              </w:rPr>
            </w:pPr>
            <w:r>
              <w:rPr>
                <w:rFonts w:ascii="Arial" w:cs="Arial" w:eastAsia="Arial" w:hAnsi="Arial"/>
                <w:sz w:val="18"/>
                <w:szCs w:val="18"/>
                <w:color w:val="auto"/>
              </w:rPr>
              <w:t>Other income (expense), net</w:t>
            </w:r>
          </w:p>
        </w:tc>
        <w:tc>
          <w:tcPr>
            <w:tcW w:w="860" w:type="dxa"/>
            <w:vAlign w:val="bottom"/>
            <w:shd w:val="clear" w:color="auto" w:fill="EAF9E8"/>
          </w:tcPr>
          <w:p>
            <w:pPr>
              <w:spacing w:after="0"/>
              <w:rPr>
                <w:sz w:val="18"/>
                <w:szCs w:val="18"/>
                <w:color w:val="auto"/>
              </w:rPr>
            </w:pPr>
          </w:p>
        </w:tc>
        <w:tc>
          <w:tcPr>
            <w:tcW w:w="940" w:type="dxa"/>
            <w:vAlign w:val="bottom"/>
            <w:shd w:val="clear" w:color="auto" w:fill="EAF9E8"/>
          </w:tcPr>
          <w:p>
            <w:pPr>
              <w:spacing w:after="0"/>
              <w:rPr>
                <w:sz w:val="18"/>
                <w:szCs w:val="18"/>
                <w:color w:val="auto"/>
              </w:rPr>
            </w:pPr>
          </w:p>
        </w:tc>
        <w:tc>
          <w:tcPr>
            <w:tcW w:w="720" w:type="dxa"/>
            <w:vAlign w:val="bottom"/>
            <w:gridSpan w:val="2"/>
            <w:shd w:val="clear" w:color="auto" w:fill="EAF9E8"/>
          </w:tcPr>
          <w:p>
            <w:pPr>
              <w:jc w:val="right"/>
              <w:ind w:right="80"/>
              <w:spacing w:after="0"/>
              <w:rPr>
                <w:sz w:val="20"/>
                <w:szCs w:val="20"/>
                <w:color w:val="auto"/>
              </w:rPr>
            </w:pPr>
            <w:r>
              <w:rPr>
                <w:rFonts w:ascii="Arial" w:cs="Arial" w:eastAsia="Arial" w:hAnsi="Arial"/>
                <w:sz w:val="18"/>
                <w:szCs w:val="18"/>
                <w:color w:val="auto"/>
                <w:w w:val="92"/>
              </w:rPr>
              <w:t>(19,060)</w:t>
            </w:r>
          </w:p>
        </w:tc>
        <w:tc>
          <w:tcPr>
            <w:tcW w:w="80" w:type="dxa"/>
            <w:vAlign w:val="bottom"/>
            <w:shd w:val="clear" w:color="auto" w:fill="EAF9E8"/>
          </w:tcPr>
          <w:p>
            <w:pPr>
              <w:spacing w:after="0"/>
              <w:rPr>
                <w:sz w:val="18"/>
                <w:szCs w:val="18"/>
                <w:color w:val="auto"/>
              </w:rPr>
            </w:pPr>
          </w:p>
        </w:tc>
        <w:tc>
          <w:tcPr>
            <w:tcW w:w="940" w:type="dxa"/>
            <w:vAlign w:val="bottom"/>
            <w:shd w:val="clear" w:color="auto" w:fill="EAF9E8"/>
          </w:tcPr>
          <w:p>
            <w:pPr>
              <w:spacing w:after="0"/>
              <w:rPr>
                <w:sz w:val="18"/>
                <w:szCs w:val="18"/>
                <w:color w:val="auto"/>
              </w:rPr>
            </w:pPr>
          </w:p>
        </w:tc>
        <w:tc>
          <w:tcPr>
            <w:tcW w:w="80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w w:val="92"/>
              </w:rPr>
              <w:t>(31,759)</w:t>
            </w:r>
          </w:p>
        </w:tc>
        <w:tc>
          <w:tcPr>
            <w:tcW w:w="1400" w:type="dxa"/>
            <w:vAlign w:val="bottom"/>
            <w:shd w:val="clear" w:color="auto" w:fill="EAF9E8"/>
          </w:tcPr>
          <w:p>
            <w:pPr>
              <w:jc w:val="right"/>
              <w:ind w:right="312"/>
              <w:spacing w:after="0"/>
              <w:rPr>
                <w:sz w:val="20"/>
                <w:szCs w:val="20"/>
                <w:color w:val="auto"/>
              </w:rPr>
            </w:pPr>
            <w:r>
              <w:rPr>
                <w:rFonts w:ascii="Arial" w:cs="Arial" w:eastAsia="Arial" w:hAnsi="Arial"/>
                <w:sz w:val="18"/>
                <w:szCs w:val="18"/>
                <w:color w:val="auto"/>
              </w:rPr>
              <w:t>(40)</w:t>
            </w:r>
          </w:p>
        </w:tc>
        <w:tc>
          <w:tcPr>
            <w:tcW w:w="12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540" w:type="dxa"/>
            <w:vAlign w:val="bottom"/>
            <w:vMerge w:val="restart"/>
          </w:tcPr>
          <w:p>
            <w:pPr>
              <w:ind w:left="140"/>
              <w:spacing w:after="0"/>
              <w:rPr>
                <w:sz w:val="20"/>
                <w:szCs w:val="20"/>
                <w:color w:val="auto"/>
              </w:rPr>
            </w:pPr>
            <w:r>
              <w:rPr>
                <w:rFonts w:ascii="Arial" w:cs="Arial" w:eastAsia="Arial" w:hAnsi="Arial"/>
                <w:sz w:val="18"/>
                <w:szCs w:val="18"/>
                <w:color w:val="auto"/>
              </w:rPr>
              <w:t>Income from continuing operations before taxes</w:t>
            </w:r>
          </w:p>
        </w:tc>
        <w:tc>
          <w:tcPr>
            <w:tcW w:w="8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0" w:type="dxa"/>
            <w:vAlign w:val="bottom"/>
            <w:gridSpan w:val="2"/>
          </w:tcPr>
          <w:p>
            <w:pPr>
              <w:spacing w:after="0"/>
              <w:rPr>
                <w:sz w:val="21"/>
                <w:szCs w:val="21"/>
                <w:color w:val="auto"/>
              </w:rPr>
            </w:pPr>
          </w:p>
        </w:tc>
        <w:tc>
          <w:tcPr>
            <w:tcW w:w="1400" w:type="dxa"/>
            <w:vAlign w:val="bottom"/>
            <w:vMerge w:val="restart"/>
          </w:tcPr>
          <w:p>
            <w:pPr>
              <w:jc w:val="right"/>
              <w:ind w:right="372"/>
              <w:spacing w:after="0"/>
              <w:rPr>
                <w:sz w:val="20"/>
                <w:szCs w:val="20"/>
                <w:color w:val="auto"/>
              </w:rPr>
            </w:pPr>
            <w:r>
              <w:rPr>
                <w:rFonts w:ascii="Arial" w:cs="Arial" w:eastAsia="Arial" w:hAnsi="Arial"/>
                <w:sz w:val="18"/>
                <w:szCs w:val="18"/>
                <w:color w:val="auto"/>
              </w:rPr>
              <w:t>176</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40" w:type="dxa"/>
            <w:vAlign w:val="bottom"/>
            <w:vMerge w:val="continue"/>
          </w:tcPr>
          <w:p>
            <w:pPr>
              <w:spacing w:after="0"/>
              <w:rPr>
                <w:sz w:val="18"/>
                <w:szCs w:val="18"/>
                <w:color w:val="auto"/>
              </w:rPr>
            </w:pPr>
          </w:p>
        </w:tc>
        <w:tc>
          <w:tcPr>
            <w:tcW w:w="86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23,264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8,417</w:t>
            </w:r>
          </w:p>
        </w:tc>
        <w:tc>
          <w:tcPr>
            <w:tcW w:w="220" w:type="dxa"/>
            <w:vAlign w:val="bottom"/>
          </w:tcPr>
          <w:p>
            <w:pPr>
              <w:spacing w:after="0"/>
              <w:rPr>
                <w:sz w:val="18"/>
                <w:szCs w:val="18"/>
                <w:color w:val="auto"/>
              </w:rPr>
            </w:pPr>
          </w:p>
        </w:tc>
        <w:tc>
          <w:tcPr>
            <w:tcW w:w="14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EAF9E8"/>
          </w:tcPr>
          <w:p>
            <w:pPr>
              <w:ind w:left="140"/>
              <w:spacing w:after="0"/>
              <w:rPr>
                <w:sz w:val="20"/>
                <w:szCs w:val="20"/>
                <w:color w:val="auto"/>
              </w:rPr>
            </w:pPr>
            <w:r>
              <w:rPr>
                <w:rFonts w:ascii="Arial" w:cs="Arial" w:eastAsia="Arial" w:hAnsi="Arial"/>
                <w:sz w:val="18"/>
                <w:szCs w:val="18"/>
                <w:color w:val="auto"/>
              </w:rPr>
              <w:t>Income tax expense</w:t>
            </w:r>
          </w:p>
        </w:tc>
        <w:tc>
          <w:tcPr>
            <w:tcW w:w="860" w:type="dxa"/>
            <w:vAlign w:val="bottom"/>
            <w:shd w:val="clear" w:color="auto" w:fill="EAF9E8"/>
          </w:tcPr>
          <w:p>
            <w:pPr>
              <w:spacing w:after="0"/>
              <w:rPr>
                <w:sz w:val="18"/>
                <w:szCs w:val="18"/>
                <w:color w:val="auto"/>
              </w:rPr>
            </w:pPr>
          </w:p>
        </w:tc>
        <w:tc>
          <w:tcPr>
            <w:tcW w:w="940" w:type="dxa"/>
            <w:vAlign w:val="bottom"/>
            <w:shd w:val="clear" w:color="auto" w:fill="EAF9E8"/>
          </w:tcPr>
          <w:p>
            <w:pPr>
              <w:spacing w:after="0"/>
              <w:rPr>
                <w:sz w:val="18"/>
                <w:szCs w:val="18"/>
                <w:color w:val="auto"/>
              </w:rPr>
            </w:pPr>
          </w:p>
        </w:tc>
        <w:tc>
          <w:tcPr>
            <w:tcW w:w="5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8,037</w:t>
            </w:r>
          </w:p>
        </w:tc>
        <w:tc>
          <w:tcPr>
            <w:tcW w:w="14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940" w:type="dxa"/>
            <w:vAlign w:val="bottom"/>
            <w:shd w:val="clear" w:color="auto" w:fill="EAF9E8"/>
          </w:tcPr>
          <w:p>
            <w:pPr>
              <w:spacing w:after="0"/>
              <w:rPr>
                <w:sz w:val="18"/>
                <w:szCs w:val="18"/>
                <w:color w:val="auto"/>
              </w:rPr>
            </w:pPr>
          </w:p>
        </w:tc>
        <w:tc>
          <w:tcPr>
            <w:tcW w:w="80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2,939</w:t>
            </w:r>
          </w:p>
        </w:tc>
        <w:tc>
          <w:tcPr>
            <w:tcW w:w="1400" w:type="dxa"/>
            <w:vAlign w:val="bottom"/>
            <w:shd w:val="clear" w:color="auto" w:fill="EAF9E8"/>
          </w:tcPr>
          <w:p>
            <w:pPr>
              <w:jc w:val="right"/>
              <w:ind w:right="372"/>
              <w:spacing w:after="0"/>
              <w:rPr>
                <w:sz w:val="20"/>
                <w:szCs w:val="20"/>
                <w:color w:val="auto"/>
              </w:rPr>
            </w:pPr>
            <w:r>
              <w:rPr>
                <w:rFonts w:ascii="Arial" w:cs="Arial" w:eastAsia="Arial" w:hAnsi="Arial"/>
                <w:sz w:val="18"/>
                <w:szCs w:val="18"/>
                <w:color w:val="auto"/>
              </w:rPr>
              <w:t>173</w:t>
            </w:r>
          </w:p>
        </w:tc>
        <w:tc>
          <w:tcPr>
            <w:tcW w:w="12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540" w:type="dxa"/>
            <w:vAlign w:val="bottom"/>
            <w:vMerge w:val="restart"/>
          </w:tcPr>
          <w:p>
            <w:pPr>
              <w:ind w:left="140"/>
              <w:spacing w:after="0"/>
              <w:rPr>
                <w:sz w:val="20"/>
                <w:szCs w:val="20"/>
                <w:color w:val="auto"/>
              </w:rPr>
            </w:pPr>
            <w:r>
              <w:rPr>
                <w:rFonts w:ascii="Arial" w:cs="Arial" w:eastAsia="Arial" w:hAnsi="Arial"/>
                <w:sz w:val="18"/>
                <w:szCs w:val="18"/>
                <w:color w:val="auto"/>
              </w:rPr>
              <w:t>Income from continuing operations</w:t>
            </w:r>
          </w:p>
        </w:tc>
        <w:tc>
          <w:tcPr>
            <w:tcW w:w="8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0" w:type="dxa"/>
            <w:vAlign w:val="bottom"/>
            <w:gridSpan w:val="2"/>
          </w:tcPr>
          <w:p>
            <w:pPr>
              <w:spacing w:after="0"/>
              <w:rPr>
                <w:sz w:val="21"/>
                <w:szCs w:val="21"/>
                <w:color w:val="auto"/>
              </w:rPr>
            </w:pPr>
          </w:p>
        </w:tc>
        <w:tc>
          <w:tcPr>
            <w:tcW w:w="1400" w:type="dxa"/>
            <w:vAlign w:val="bottom"/>
            <w:vMerge w:val="restart"/>
          </w:tcPr>
          <w:p>
            <w:pPr>
              <w:jc w:val="right"/>
              <w:ind w:right="372"/>
              <w:spacing w:after="0"/>
              <w:rPr>
                <w:sz w:val="20"/>
                <w:szCs w:val="20"/>
                <w:color w:val="auto"/>
              </w:rPr>
            </w:pPr>
            <w:r>
              <w:rPr>
                <w:rFonts w:ascii="Arial" w:cs="Arial" w:eastAsia="Arial" w:hAnsi="Arial"/>
                <w:sz w:val="18"/>
                <w:szCs w:val="18"/>
                <w:color w:val="auto"/>
              </w:rPr>
              <w:t>178</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40" w:type="dxa"/>
            <w:vAlign w:val="bottom"/>
            <w:vMerge w:val="continue"/>
          </w:tcPr>
          <w:p>
            <w:pPr>
              <w:spacing w:after="0"/>
              <w:rPr>
                <w:sz w:val="18"/>
                <w:szCs w:val="18"/>
                <w:color w:val="auto"/>
              </w:rPr>
            </w:pPr>
          </w:p>
        </w:tc>
        <w:tc>
          <w:tcPr>
            <w:tcW w:w="86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15,227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5,478</w:t>
            </w:r>
          </w:p>
        </w:tc>
        <w:tc>
          <w:tcPr>
            <w:tcW w:w="220" w:type="dxa"/>
            <w:vAlign w:val="bottom"/>
          </w:tcPr>
          <w:p>
            <w:pPr>
              <w:spacing w:after="0"/>
              <w:rPr>
                <w:sz w:val="18"/>
                <w:szCs w:val="18"/>
                <w:color w:val="auto"/>
              </w:rPr>
            </w:pPr>
          </w:p>
        </w:tc>
        <w:tc>
          <w:tcPr>
            <w:tcW w:w="14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EAF9E8"/>
          </w:tcPr>
          <w:p>
            <w:pPr>
              <w:ind w:left="140"/>
              <w:spacing w:after="0"/>
              <w:rPr>
                <w:sz w:val="20"/>
                <w:szCs w:val="20"/>
                <w:color w:val="auto"/>
              </w:rPr>
            </w:pPr>
            <w:r>
              <w:rPr>
                <w:rFonts w:ascii="Arial" w:cs="Arial" w:eastAsia="Arial" w:hAnsi="Arial"/>
                <w:sz w:val="18"/>
                <w:szCs w:val="18"/>
                <w:color w:val="auto"/>
              </w:rPr>
              <w:t>Loss from discontinued operations, net of taxes</w:t>
            </w:r>
          </w:p>
        </w:tc>
        <w:tc>
          <w:tcPr>
            <w:tcW w:w="860" w:type="dxa"/>
            <w:vAlign w:val="bottom"/>
            <w:shd w:val="clear" w:color="auto" w:fill="EAF9E8"/>
          </w:tcPr>
          <w:p>
            <w:pPr>
              <w:spacing w:after="0"/>
              <w:rPr>
                <w:sz w:val="18"/>
                <w:szCs w:val="18"/>
                <w:color w:val="auto"/>
              </w:rPr>
            </w:pPr>
          </w:p>
        </w:tc>
        <w:tc>
          <w:tcPr>
            <w:tcW w:w="940" w:type="dxa"/>
            <w:vAlign w:val="bottom"/>
            <w:shd w:val="clear" w:color="auto" w:fill="EAF9E8"/>
          </w:tcPr>
          <w:p>
            <w:pPr>
              <w:spacing w:after="0"/>
              <w:rPr>
                <w:sz w:val="18"/>
                <w:szCs w:val="18"/>
                <w:color w:val="auto"/>
              </w:rPr>
            </w:pPr>
          </w:p>
        </w:tc>
        <w:tc>
          <w:tcPr>
            <w:tcW w:w="720" w:type="dxa"/>
            <w:vAlign w:val="bottom"/>
            <w:gridSpan w:val="2"/>
            <w:shd w:val="clear" w:color="auto" w:fill="EAF9E8"/>
          </w:tcPr>
          <w:p>
            <w:pPr>
              <w:jc w:val="right"/>
              <w:ind w:right="80"/>
              <w:spacing w:after="0"/>
              <w:rPr>
                <w:sz w:val="20"/>
                <w:szCs w:val="20"/>
                <w:color w:val="auto"/>
              </w:rPr>
            </w:pPr>
            <w:r>
              <w:rPr>
                <w:rFonts w:ascii="Arial" w:cs="Arial" w:eastAsia="Arial" w:hAnsi="Arial"/>
                <w:sz w:val="18"/>
                <w:szCs w:val="18"/>
                <w:color w:val="auto"/>
              </w:rPr>
              <w:t>(188)</w:t>
            </w:r>
          </w:p>
        </w:tc>
        <w:tc>
          <w:tcPr>
            <w:tcW w:w="80" w:type="dxa"/>
            <w:vAlign w:val="bottom"/>
            <w:shd w:val="clear" w:color="auto" w:fill="EAF9E8"/>
          </w:tcPr>
          <w:p>
            <w:pPr>
              <w:spacing w:after="0"/>
              <w:rPr>
                <w:sz w:val="18"/>
                <w:szCs w:val="18"/>
                <w:color w:val="auto"/>
              </w:rPr>
            </w:pPr>
          </w:p>
        </w:tc>
        <w:tc>
          <w:tcPr>
            <w:tcW w:w="940" w:type="dxa"/>
            <w:vAlign w:val="bottom"/>
            <w:shd w:val="clear" w:color="auto" w:fill="EAF9E8"/>
          </w:tcPr>
          <w:p>
            <w:pPr>
              <w:spacing w:after="0"/>
              <w:rPr>
                <w:sz w:val="18"/>
                <w:szCs w:val="18"/>
                <w:color w:val="auto"/>
              </w:rPr>
            </w:pPr>
          </w:p>
        </w:tc>
        <w:tc>
          <w:tcPr>
            <w:tcW w:w="80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(204)</w:t>
            </w:r>
          </w:p>
        </w:tc>
        <w:tc>
          <w:tcPr>
            <w:tcW w:w="1400" w:type="dxa"/>
            <w:vAlign w:val="bottom"/>
            <w:shd w:val="clear" w:color="auto" w:fill="EAF9E8"/>
          </w:tcPr>
          <w:p>
            <w:pPr>
              <w:jc w:val="right"/>
              <w:ind w:right="312"/>
              <w:spacing w:after="0"/>
              <w:rPr>
                <w:sz w:val="20"/>
                <w:szCs w:val="20"/>
                <w:color w:val="auto"/>
              </w:rPr>
            </w:pPr>
            <w:r>
              <w:rPr>
                <w:rFonts w:ascii="Arial" w:cs="Arial" w:eastAsia="Arial" w:hAnsi="Arial"/>
                <w:sz w:val="18"/>
                <w:szCs w:val="18"/>
                <w:color w:val="auto"/>
              </w:rPr>
              <w:t>(8)</w:t>
            </w:r>
          </w:p>
        </w:tc>
        <w:tc>
          <w:tcPr>
            <w:tcW w:w="12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540" w:type="dxa"/>
            <w:vAlign w:val="bottom"/>
            <w:vMerge w:val="restart"/>
          </w:tcPr>
          <w:p>
            <w:pPr>
              <w:ind w:left="140"/>
              <w:spacing w:after="0"/>
              <w:rPr>
                <w:sz w:val="20"/>
                <w:szCs w:val="20"/>
                <w:color w:val="auto"/>
              </w:rPr>
            </w:pPr>
            <w:r>
              <w:rPr>
                <w:rFonts w:ascii="Arial" w:cs="Arial" w:eastAsia="Arial" w:hAnsi="Arial"/>
                <w:sz w:val="18"/>
                <w:szCs w:val="18"/>
                <w:color w:val="auto"/>
              </w:rPr>
              <w:t>Net income</w:t>
            </w:r>
          </w:p>
        </w:tc>
        <w:tc>
          <w:tcPr>
            <w:tcW w:w="8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0" w:type="dxa"/>
            <w:vAlign w:val="bottom"/>
            <w:gridSpan w:val="2"/>
          </w:tcPr>
          <w:p>
            <w:pPr>
              <w:spacing w:after="0"/>
              <w:rPr>
                <w:sz w:val="21"/>
                <w:szCs w:val="21"/>
                <w:color w:val="auto"/>
              </w:rPr>
            </w:pPr>
          </w:p>
        </w:tc>
        <w:tc>
          <w:tcPr>
            <w:tcW w:w="1400" w:type="dxa"/>
            <w:vAlign w:val="bottom"/>
            <w:vMerge w:val="restart"/>
          </w:tcPr>
          <w:p>
            <w:pPr>
              <w:jc w:val="right"/>
              <w:ind w:right="372"/>
              <w:spacing w:after="0"/>
              <w:rPr>
                <w:sz w:val="20"/>
                <w:szCs w:val="20"/>
                <w:color w:val="auto"/>
              </w:rPr>
            </w:pPr>
            <w:r>
              <w:rPr>
                <w:rFonts w:ascii="Arial" w:cs="Arial" w:eastAsia="Arial" w:hAnsi="Arial"/>
                <w:sz w:val="18"/>
                <w:szCs w:val="18"/>
                <w:color w:val="auto"/>
              </w:rPr>
              <w:t>185</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40" w:type="dxa"/>
            <w:vAlign w:val="bottom"/>
            <w:vMerge w:val="continue"/>
          </w:tcPr>
          <w:p>
            <w:pPr>
              <w:spacing w:after="0"/>
              <w:rPr>
                <w:sz w:val="18"/>
                <w:szCs w:val="18"/>
                <w:color w:val="auto"/>
              </w:rPr>
            </w:pPr>
          </w:p>
        </w:tc>
        <w:tc>
          <w:tcPr>
            <w:tcW w:w="86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15,039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5,274</w:t>
            </w:r>
          </w:p>
        </w:tc>
        <w:tc>
          <w:tcPr>
            <w:tcW w:w="220" w:type="dxa"/>
            <w:vAlign w:val="bottom"/>
          </w:tcPr>
          <w:p>
            <w:pPr>
              <w:spacing w:after="0"/>
              <w:rPr>
                <w:sz w:val="18"/>
                <w:szCs w:val="18"/>
                <w:color w:val="auto"/>
              </w:rPr>
            </w:pPr>
          </w:p>
        </w:tc>
        <w:tc>
          <w:tcPr>
            <w:tcW w:w="14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EAF9E8"/>
          </w:tcPr>
          <w:p>
            <w:pPr>
              <w:ind w:left="140"/>
              <w:spacing w:after="0"/>
              <w:rPr>
                <w:sz w:val="20"/>
                <w:szCs w:val="20"/>
                <w:color w:val="auto"/>
              </w:rPr>
            </w:pPr>
            <w:r>
              <w:rPr>
                <w:rFonts w:ascii="Arial" w:cs="Arial" w:eastAsia="Arial" w:hAnsi="Arial"/>
                <w:sz w:val="18"/>
                <w:szCs w:val="18"/>
                <w:color w:val="auto"/>
              </w:rPr>
              <w:t>Net loss (income) attributable to minority interest in subsidiaries</w:t>
            </w:r>
          </w:p>
        </w:tc>
        <w:tc>
          <w:tcPr>
            <w:tcW w:w="860" w:type="dxa"/>
            <w:vAlign w:val="bottom"/>
            <w:shd w:val="clear" w:color="auto" w:fill="EAF9E8"/>
          </w:tcPr>
          <w:p>
            <w:pPr>
              <w:spacing w:after="0"/>
              <w:rPr>
                <w:sz w:val="18"/>
                <w:szCs w:val="18"/>
                <w:color w:val="auto"/>
              </w:rPr>
            </w:pPr>
          </w:p>
        </w:tc>
        <w:tc>
          <w:tcPr>
            <w:tcW w:w="940" w:type="dxa"/>
            <w:vAlign w:val="bottom"/>
            <w:shd w:val="clear" w:color="auto" w:fill="EAF9E8"/>
          </w:tcPr>
          <w:p>
            <w:pPr>
              <w:spacing w:after="0"/>
              <w:rPr>
                <w:sz w:val="18"/>
                <w:szCs w:val="18"/>
                <w:color w:val="auto"/>
              </w:rPr>
            </w:pPr>
          </w:p>
        </w:tc>
        <w:tc>
          <w:tcPr>
            <w:tcW w:w="5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70</w:t>
            </w:r>
          </w:p>
        </w:tc>
        <w:tc>
          <w:tcPr>
            <w:tcW w:w="14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940" w:type="dxa"/>
            <w:vAlign w:val="bottom"/>
            <w:shd w:val="clear" w:color="auto" w:fill="EAF9E8"/>
          </w:tcPr>
          <w:p>
            <w:pPr>
              <w:spacing w:after="0"/>
              <w:rPr>
                <w:sz w:val="18"/>
                <w:szCs w:val="18"/>
                <w:color w:val="auto"/>
              </w:rPr>
            </w:pPr>
          </w:p>
        </w:tc>
        <w:tc>
          <w:tcPr>
            <w:tcW w:w="80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(2)</w:t>
            </w:r>
          </w:p>
        </w:tc>
        <w:tc>
          <w:tcPr>
            <w:tcW w:w="1400" w:type="dxa"/>
            <w:vAlign w:val="bottom"/>
            <w:shd w:val="clear" w:color="auto" w:fill="EAF9E8"/>
          </w:tcPr>
          <w:p>
            <w:pPr>
              <w:jc w:val="right"/>
              <w:ind w:right="372"/>
              <w:spacing w:after="0"/>
              <w:rPr>
                <w:sz w:val="20"/>
                <w:szCs w:val="20"/>
                <w:color w:val="auto"/>
              </w:rPr>
            </w:pPr>
            <w:r>
              <w:rPr>
                <w:rFonts w:ascii="Arial" w:cs="Arial" w:eastAsia="Arial" w:hAnsi="Arial"/>
                <w:sz w:val="18"/>
                <w:szCs w:val="18"/>
                <w:color w:val="auto"/>
              </w:rPr>
              <w:t>3,600</w:t>
            </w:r>
          </w:p>
        </w:tc>
        <w:tc>
          <w:tcPr>
            <w:tcW w:w="12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540" w:type="dxa"/>
            <w:vAlign w:val="bottom"/>
            <w:vMerge w:val="restart"/>
          </w:tcPr>
          <w:p>
            <w:pPr>
              <w:ind w:left="140"/>
              <w:spacing w:after="0"/>
              <w:rPr>
                <w:sz w:val="20"/>
                <w:szCs w:val="20"/>
                <w:color w:val="auto"/>
              </w:rPr>
            </w:pPr>
            <w:r>
              <w:rPr>
                <w:rFonts w:ascii="Arial" w:cs="Arial" w:eastAsia="Arial" w:hAnsi="Arial"/>
                <w:sz w:val="18"/>
                <w:szCs w:val="18"/>
                <w:color w:val="auto"/>
              </w:rPr>
              <w:t>Net income attributable to Ocwen Financial Corp</w:t>
            </w:r>
          </w:p>
        </w:tc>
        <w:tc>
          <w:tcPr>
            <w:tcW w:w="1800" w:type="dxa"/>
            <w:vAlign w:val="bottom"/>
            <w:gridSpan w:val="2"/>
          </w:tcPr>
          <w:p>
            <w:pPr>
              <w:spacing w:after="0"/>
              <w:rPr>
                <w:sz w:val="21"/>
                <w:szCs w:val="21"/>
                <w:color w:val="auto"/>
              </w:rPr>
            </w:pPr>
          </w:p>
        </w:tc>
        <w:tc>
          <w:tcPr>
            <w:tcW w:w="5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gridSpan w:val="2"/>
          </w:tcPr>
          <w:p>
            <w:pPr>
              <w:spacing w:after="0"/>
              <w:rPr>
                <w:sz w:val="21"/>
                <w:szCs w:val="21"/>
                <w:color w:val="auto"/>
              </w:rPr>
            </w:pPr>
          </w:p>
        </w:tc>
        <w:tc>
          <w:tcPr>
            <w:tcW w:w="800" w:type="dxa"/>
            <w:vAlign w:val="bottom"/>
            <w:gridSpan w:val="2"/>
          </w:tcPr>
          <w:p>
            <w:pPr>
              <w:spacing w:after="0"/>
              <w:rPr>
                <w:sz w:val="21"/>
                <w:szCs w:val="21"/>
                <w:color w:val="auto"/>
              </w:rPr>
            </w:pPr>
          </w:p>
        </w:tc>
        <w:tc>
          <w:tcPr>
            <w:tcW w:w="1400" w:type="dxa"/>
            <w:vAlign w:val="bottom"/>
            <w:vMerge w:val="restart"/>
          </w:tcPr>
          <w:p>
            <w:pPr>
              <w:jc w:val="right"/>
              <w:ind w:right="372"/>
              <w:spacing w:after="0"/>
              <w:rPr>
                <w:sz w:val="20"/>
                <w:szCs w:val="20"/>
                <w:color w:val="auto"/>
              </w:rPr>
            </w:pPr>
            <w:r>
              <w:rPr>
                <w:rFonts w:ascii="Arial" w:cs="Arial" w:eastAsia="Arial" w:hAnsi="Arial"/>
                <w:sz w:val="18"/>
                <w:szCs w:val="18"/>
                <w:color w:val="auto"/>
              </w:rPr>
              <w:t>187</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vMerge w:val="continue"/>
          </w:tcPr>
          <w:p>
            <w:pPr>
              <w:spacing w:after="0"/>
              <w:rPr>
                <w:sz w:val="18"/>
                <w:szCs w:val="18"/>
                <w:color w:val="auto"/>
              </w:rPr>
            </w:pPr>
          </w:p>
        </w:tc>
        <w:tc>
          <w:tcPr>
            <w:tcW w:w="860" w:type="dxa"/>
            <w:vAlign w:val="bottom"/>
          </w:tcPr>
          <w:p>
            <w:pPr>
              <w:spacing w:after="0"/>
              <w:rPr>
                <w:sz w:val="18"/>
                <w:szCs w:val="18"/>
                <w:color w:val="auto"/>
              </w:rPr>
            </w:pPr>
          </w:p>
        </w:tc>
        <w:tc>
          <w:tcPr>
            <w:tcW w:w="940" w:type="dxa"/>
            <w:vAlign w:val="bottom"/>
            <w:tcBorders>
              <w:top w:val="single" w:sz="8" w:color="auto"/>
            </w:tcBorders>
          </w:tcPr>
          <w:p>
            <w:pPr>
              <w:jc w:val="right"/>
              <w:ind w:right="752"/>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15,109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Borders>
              <w:top w:val="single" w:sz="8" w:color="auto"/>
            </w:tcBorders>
          </w:tcPr>
          <w:p>
            <w:pPr>
              <w:jc w:val="right"/>
              <w:ind w:right="783"/>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5,272</w:t>
            </w:r>
          </w:p>
        </w:tc>
        <w:tc>
          <w:tcPr>
            <w:tcW w:w="220" w:type="dxa"/>
            <w:vAlign w:val="bottom"/>
          </w:tcPr>
          <w:p>
            <w:pPr>
              <w:spacing w:after="0"/>
              <w:rPr>
                <w:sz w:val="18"/>
                <w:szCs w:val="18"/>
                <w:color w:val="auto"/>
              </w:rPr>
            </w:pPr>
          </w:p>
        </w:tc>
        <w:tc>
          <w:tcPr>
            <w:tcW w:w="14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560" w:type="dxa"/>
            <w:vAlign w:val="bottom"/>
            <w:gridSpan w:val="2"/>
          </w:tcPr>
          <w:p>
            <w:pPr>
              <w:spacing w:after="0"/>
              <w:rPr>
                <w:sz w:val="20"/>
                <w:szCs w:val="20"/>
                <w:color w:val="auto"/>
              </w:rPr>
            </w:pPr>
          </w:p>
        </w:tc>
        <w:tc>
          <w:tcPr>
            <w:tcW w:w="86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56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restart"/>
          </w:tcPr>
          <w:p>
            <w:pPr>
              <w:spacing w:after="0"/>
              <w:rPr>
                <w:sz w:val="11"/>
                <w:szCs w:val="11"/>
                <w:color w:val="auto"/>
              </w:rPr>
            </w:pPr>
          </w:p>
        </w:tc>
        <w:tc>
          <w:tcPr>
            <w:tcW w:w="55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40" w:type="dxa"/>
            <w:vAlign w:val="bottom"/>
            <w:shd w:val="clear" w:color="auto" w:fill="EAF9E8"/>
          </w:tcPr>
          <w:p>
            <w:pPr>
              <w:spacing w:after="0"/>
              <w:rPr>
                <w:sz w:val="20"/>
                <w:szCs w:val="20"/>
                <w:color w:val="auto"/>
              </w:rPr>
            </w:pPr>
            <w:r>
              <w:rPr>
                <w:rFonts w:ascii="Arial" w:cs="Arial" w:eastAsia="Arial" w:hAnsi="Arial"/>
                <w:sz w:val="18"/>
                <w:szCs w:val="18"/>
                <w:color w:val="auto"/>
              </w:rPr>
              <w:t>Segment income (loss) from continuing operations before taxes:</w:t>
            </w:r>
          </w:p>
        </w:tc>
        <w:tc>
          <w:tcPr>
            <w:tcW w:w="860" w:type="dxa"/>
            <w:vAlign w:val="bottom"/>
            <w:shd w:val="clear" w:color="auto" w:fill="EAF9E8"/>
          </w:tcPr>
          <w:p>
            <w:pPr>
              <w:spacing w:after="0"/>
              <w:rPr>
                <w:sz w:val="18"/>
                <w:szCs w:val="18"/>
                <w:color w:val="auto"/>
              </w:rPr>
            </w:pPr>
          </w:p>
        </w:tc>
        <w:tc>
          <w:tcPr>
            <w:tcW w:w="940" w:type="dxa"/>
            <w:vAlign w:val="bottom"/>
            <w:shd w:val="clear" w:color="auto" w:fill="EAF9E8"/>
          </w:tcPr>
          <w:p>
            <w:pPr>
              <w:spacing w:after="0"/>
              <w:rPr>
                <w:sz w:val="18"/>
                <w:szCs w:val="18"/>
                <w:color w:val="auto"/>
              </w:rPr>
            </w:pPr>
          </w:p>
        </w:tc>
        <w:tc>
          <w:tcPr>
            <w:tcW w:w="58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940" w:type="dxa"/>
            <w:vAlign w:val="bottom"/>
            <w:shd w:val="clear" w:color="auto" w:fill="EAF9E8"/>
          </w:tcPr>
          <w:p>
            <w:pPr>
              <w:spacing w:after="0"/>
              <w:rPr>
                <w:sz w:val="18"/>
                <w:szCs w:val="18"/>
                <w:color w:val="auto"/>
              </w:rPr>
            </w:pPr>
          </w:p>
        </w:tc>
        <w:tc>
          <w:tcPr>
            <w:tcW w:w="58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40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ind w:left="300"/>
              <w:spacing w:after="0"/>
              <w:rPr>
                <w:sz w:val="20"/>
                <w:szCs w:val="20"/>
                <w:color w:val="auto"/>
              </w:rPr>
            </w:pPr>
            <w:r>
              <w:rPr>
                <w:rFonts w:ascii="Arial" w:cs="Arial" w:eastAsia="Arial" w:hAnsi="Arial"/>
                <w:sz w:val="18"/>
                <w:szCs w:val="18"/>
                <w:color w:val="auto"/>
              </w:rPr>
              <w:t>Servicing</w:t>
            </w:r>
          </w:p>
        </w:tc>
        <w:tc>
          <w:tcPr>
            <w:tcW w:w="1800" w:type="dxa"/>
            <w:vAlign w:val="bottom"/>
            <w:gridSpan w:val="2"/>
          </w:tcPr>
          <w:p>
            <w:pPr>
              <w:jc w:val="right"/>
              <w:ind w:right="752"/>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25,196</w:t>
            </w:r>
          </w:p>
        </w:tc>
        <w:tc>
          <w:tcPr>
            <w:tcW w:w="140" w:type="dxa"/>
            <w:vAlign w:val="bottom"/>
          </w:tcPr>
          <w:p>
            <w:pPr>
              <w:spacing w:after="0"/>
              <w:rPr>
                <w:sz w:val="18"/>
                <w:szCs w:val="18"/>
                <w:color w:val="auto"/>
              </w:rPr>
            </w:pPr>
          </w:p>
        </w:tc>
        <w:tc>
          <w:tcPr>
            <w:tcW w:w="1020" w:type="dxa"/>
            <w:vAlign w:val="bottom"/>
            <w:gridSpan w:val="2"/>
          </w:tcPr>
          <w:p>
            <w:pPr>
              <w:jc w:val="right"/>
              <w:ind w:right="783"/>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21,429</w:t>
            </w:r>
          </w:p>
        </w:tc>
        <w:tc>
          <w:tcPr>
            <w:tcW w:w="1400" w:type="dxa"/>
            <w:vAlign w:val="bottom"/>
          </w:tcPr>
          <w:p>
            <w:pPr>
              <w:jc w:val="right"/>
              <w:ind w:right="372"/>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EAF9E8"/>
          </w:tcPr>
          <w:p>
            <w:pPr>
              <w:ind w:left="300"/>
              <w:spacing w:after="0"/>
              <w:rPr>
                <w:sz w:val="20"/>
                <w:szCs w:val="20"/>
                <w:color w:val="auto"/>
              </w:rPr>
            </w:pPr>
            <w:r>
              <w:rPr>
                <w:rFonts w:ascii="Arial" w:cs="Arial" w:eastAsia="Arial" w:hAnsi="Arial"/>
                <w:sz w:val="18"/>
                <w:szCs w:val="18"/>
                <w:color w:val="auto"/>
              </w:rPr>
              <w:t>Loans and Residuals</w:t>
            </w:r>
          </w:p>
        </w:tc>
        <w:tc>
          <w:tcPr>
            <w:tcW w:w="860" w:type="dxa"/>
            <w:vAlign w:val="bottom"/>
            <w:shd w:val="clear" w:color="auto" w:fill="EAF9E8"/>
          </w:tcPr>
          <w:p>
            <w:pPr>
              <w:spacing w:after="0"/>
              <w:rPr>
                <w:sz w:val="18"/>
                <w:szCs w:val="18"/>
                <w:color w:val="auto"/>
              </w:rPr>
            </w:pPr>
          </w:p>
        </w:tc>
        <w:tc>
          <w:tcPr>
            <w:tcW w:w="940" w:type="dxa"/>
            <w:vAlign w:val="bottom"/>
            <w:shd w:val="clear" w:color="auto" w:fill="EAF9E8"/>
          </w:tcPr>
          <w:p>
            <w:pPr>
              <w:spacing w:after="0"/>
              <w:rPr>
                <w:sz w:val="18"/>
                <w:szCs w:val="18"/>
                <w:color w:val="auto"/>
              </w:rPr>
            </w:pPr>
          </w:p>
        </w:tc>
        <w:tc>
          <w:tcPr>
            <w:tcW w:w="720" w:type="dxa"/>
            <w:vAlign w:val="bottom"/>
            <w:gridSpan w:val="2"/>
            <w:shd w:val="clear" w:color="auto" w:fill="EAF9E8"/>
          </w:tcPr>
          <w:p>
            <w:pPr>
              <w:jc w:val="right"/>
              <w:ind w:right="80"/>
              <w:spacing w:after="0"/>
              <w:rPr>
                <w:sz w:val="20"/>
                <w:szCs w:val="20"/>
                <w:color w:val="auto"/>
              </w:rPr>
            </w:pPr>
            <w:r>
              <w:rPr>
                <w:rFonts w:ascii="Arial" w:cs="Arial" w:eastAsia="Arial" w:hAnsi="Arial"/>
                <w:sz w:val="18"/>
                <w:szCs w:val="18"/>
                <w:color w:val="auto"/>
              </w:rPr>
              <w:t>(4,138)</w:t>
            </w:r>
          </w:p>
        </w:tc>
        <w:tc>
          <w:tcPr>
            <w:tcW w:w="80" w:type="dxa"/>
            <w:vAlign w:val="bottom"/>
            <w:shd w:val="clear" w:color="auto" w:fill="EAF9E8"/>
          </w:tcPr>
          <w:p>
            <w:pPr>
              <w:spacing w:after="0"/>
              <w:rPr>
                <w:sz w:val="18"/>
                <w:szCs w:val="18"/>
                <w:color w:val="auto"/>
              </w:rPr>
            </w:pPr>
          </w:p>
        </w:tc>
        <w:tc>
          <w:tcPr>
            <w:tcW w:w="940" w:type="dxa"/>
            <w:vAlign w:val="bottom"/>
            <w:shd w:val="clear" w:color="auto" w:fill="EAF9E8"/>
          </w:tcPr>
          <w:p>
            <w:pPr>
              <w:spacing w:after="0"/>
              <w:rPr>
                <w:sz w:val="18"/>
                <w:szCs w:val="18"/>
                <w:color w:val="auto"/>
              </w:rPr>
            </w:pPr>
          </w:p>
        </w:tc>
        <w:tc>
          <w:tcPr>
            <w:tcW w:w="80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(3,658)</w:t>
            </w:r>
          </w:p>
        </w:tc>
        <w:tc>
          <w:tcPr>
            <w:tcW w:w="1400" w:type="dxa"/>
            <w:vAlign w:val="bottom"/>
            <w:shd w:val="clear" w:color="auto" w:fill="EAF9E8"/>
          </w:tcPr>
          <w:p>
            <w:pPr>
              <w:jc w:val="right"/>
              <w:ind w:right="372"/>
              <w:spacing w:after="0"/>
              <w:rPr>
                <w:sz w:val="20"/>
                <w:szCs w:val="20"/>
                <w:color w:val="auto"/>
              </w:rPr>
            </w:pPr>
            <w:r>
              <w:rPr>
                <w:rFonts w:ascii="Arial" w:cs="Arial" w:eastAsia="Arial" w:hAnsi="Arial"/>
                <w:sz w:val="18"/>
                <w:szCs w:val="18"/>
                <w:color w:val="auto"/>
              </w:rPr>
              <w:t>13</w:t>
            </w:r>
          </w:p>
        </w:tc>
        <w:tc>
          <w:tcPr>
            <w:tcW w:w="12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ind w:left="300"/>
              <w:spacing w:after="0"/>
              <w:rPr>
                <w:sz w:val="20"/>
                <w:szCs w:val="20"/>
                <w:color w:val="auto"/>
              </w:rPr>
            </w:pPr>
            <w:r>
              <w:rPr>
                <w:rFonts w:ascii="Arial" w:cs="Arial" w:eastAsia="Arial" w:hAnsi="Arial"/>
                <w:sz w:val="18"/>
                <w:szCs w:val="18"/>
                <w:color w:val="auto"/>
              </w:rPr>
              <w:t>Asset Management Vehicles</w:t>
            </w:r>
          </w:p>
        </w:tc>
        <w:tc>
          <w:tcPr>
            <w:tcW w:w="8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(527)</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(1,446)</w:t>
            </w:r>
          </w:p>
        </w:tc>
        <w:tc>
          <w:tcPr>
            <w:tcW w:w="1400" w:type="dxa"/>
            <w:vAlign w:val="bottom"/>
          </w:tcPr>
          <w:p>
            <w:pPr>
              <w:jc w:val="right"/>
              <w:ind w:right="312"/>
              <w:spacing w:after="0"/>
              <w:rPr>
                <w:sz w:val="20"/>
                <w:szCs w:val="20"/>
                <w:color w:val="auto"/>
              </w:rPr>
            </w:pPr>
            <w:r>
              <w:rPr>
                <w:rFonts w:ascii="Arial" w:cs="Arial" w:eastAsia="Arial" w:hAnsi="Arial"/>
                <w:sz w:val="18"/>
                <w:szCs w:val="18"/>
                <w:color w:val="auto"/>
              </w:rPr>
              <w:t>(64)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EAF9E8"/>
          </w:tcPr>
          <w:p>
            <w:pPr>
              <w:ind w:left="300"/>
              <w:spacing w:after="0"/>
              <w:rPr>
                <w:sz w:val="20"/>
                <w:szCs w:val="20"/>
                <w:color w:val="auto"/>
              </w:rPr>
            </w:pPr>
            <w:r>
              <w:rPr>
                <w:rFonts w:ascii="Arial" w:cs="Arial" w:eastAsia="Arial" w:hAnsi="Arial"/>
                <w:sz w:val="18"/>
                <w:szCs w:val="18"/>
                <w:color w:val="auto"/>
              </w:rPr>
              <w:t>Mortgage Services</w:t>
            </w:r>
          </w:p>
        </w:tc>
        <w:tc>
          <w:tcPr>
            <w:tcW w:w="860" w:type="dxa"/>
            <w:vAlign w:val="bottom"/>
            <w:shd w:val="clear" w:color="auto" w:fill="EAF9E8"/>
          </w:tcPr>
          <w:p>
            <w:pPr>
              <w:spacing w:after="0"/>
              <w:rPr>
                <w:sz w:val="18"/>
                <w:szCs w:val="18"/>
                <w:color w:val="auto"/>
              </w:rPr>
            </w:pPr>
          </w:p>
        </w:tc>
        <w:tc>
          <w:tcPr>
            <w:tcW w:w="940" w:type="dxa"/>
            <w:vAlign w:val="bottom"/>
            <w:shd w:val="clear" w:color="auto" w:fill="EAF9E8"/>
          </w:tcPr>
          <w:p>
            <w:pPr>
              <w:spacing w:after="0"/>
              <w:rPr>
                <w:sz w:val="18"/>
                <w:szCs w:val="18"/>
                <w:color w:val="auto"/>
              </w:rPr>
            </w:pPr>
          </w:p>
        </w:tc>
        <w:tc>
          <w:tcPr>
            <w:tcW w:w="5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5,148</w:t>
            </w:r>
          </w:p>
        </w:tc>
        <w:tc>
          <w:tcPr>
            <w:tcW w:w="14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940" w:type="dxa"/>
            <w:vAlign w:val="bottom"/>
            <w:shd w:val="clear" w:color="auto" w:fill="EAF9E8"/>
          </w:tcPr>
          <w:p>
            <w:pPr>
              <w:spacing w:after="0"/>
              <w:rPr>
                <w:sz w:val="18"/>
                <w:szCs w:val="18"/>
                <w:color w:val="auto"/>
              </w:rPr>
            </w:pPr>
          </w:p>
        </w:tc>
        <w:tc>
          <w:tcPr>
            <w:tcW w:w="80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3,153</w:t>
            </w:r>
          </w:p>
        </w:tc>
        <w:tc>
          <w:tcPr>
            <w:tcW w:w="1400" w:type="dxa"/>
            <w:vAlign w:val="bottom"/>
            <w:shd w:val="clear" w:color="auto" w:fill="EAF9E8"/>
          </w:tcPr>
          <w:p>
            <w:pPr>
              <w:jc w:val="right"/>
              <w:ind w:right="372"/>
              <w:spacing w:after="0"/>
              <w:rPr>
                <w:sz w:val="20"/>
                <w:szCs w:val="20"/>
                <w:color w:val="auto"/>
              </w:rPr>
            </w:pPr>
            <w:r>
              <w:rPr>
                <w:rFonts w:ascii="Arial" w:cs="Arial" w:eastAsia="Arial" w:hAnsi="Arial"/>
                <w:sz w:val="18"/>
                <w:szCs w:val="18"/>
                <w:color w:val="auto"/>
              </w:rPr>
              <w:t>63</w:t>
            </w:r>
          </w:p>
        </w:tc>
        <w:tc>
          <w:tcPr>
            <w:tcW w:w="12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ind w:left="300"/>
              <w:spacing w:after="0"/>
              <w:rPr>
                <w:sz w:val="20"/>
                <w:szCs w:val="20"/>
                <w:color w:val="auto"/>
              </w:rPr>
            </w:pPr>
            <w:r>
              <w:rPr>
                <w:rFonts w:ascii="Arial" w:cs="Arial" w:eastAsia="Arial" w:hAnsi="Arial"/>
                <w:sz w:val="18"/>
                <w:szCs w:val="18"/>
                <w:color w:val="auto"/>
              </w:rPr>
              <w:t>Financial Services</w:t>
            </w:r>
          </w:p>
        </w:tc>
        <w:tc>
          <w:tcPr>
            <w:tcW w:w="8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(1,301)</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23</w:t>
            </w:r>
          </w:p>
        </w:tc>
        <w:tc>
          <w:tcPr>
            <w:tcW w:w="1400" w:type="dxa"/>
            <w:vAlign w:val="bottom"/>
          </w:tcPr>
          <w:p>
            <w:pPr>
              <w:jc w:val="right"/>
              <w:ind w:right="312"/>
              <w:spacing w:after="0"/>
              <w:rPr>
                <w:sz w:val="20"/>
                <w:szCs w:val="20"/>
                <w:color w:val="auto"/>
              </w:rPr>
            </w:pPr>
            <w:r>
              <w:rPr>
                <w:rFonts w:ascii="Arial" w:cs="Arial" w:eastAsia="Arial" w:hAnsi="Arial"/>
                <w:sz w:val="18"/>
                <w:szCs w:val="18"/>
                <w:color w:val="auto"/>
              </w:rPr>
              <w:t>(5,757)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EAF9E8"/>
          </w:tcPr>
          <w:p>
            <w:pPr>
              <w:ind w:left="300"/>
              <w:spacing w:after="0"/>
              <w:rPr>
                <w:sz w:val="20"/>
                <w:szCs w:val="20"/>
                <w:color w:val="auto"/>
              </w:rPr>
            </w:pPr>
            <w:r>
              <w:rPr>
                <w:rFonts w:ascii="Arial" w:cs="Arial" w:eastAsia="Arial" w:hAnsi="Arial"/>
                <w:sz w:val="18"/>
                <w:szCs w:val="18"/>
                <w:color w:val="auto"/>
              </w:rPr>
              <w:t>Technology Products</w:t>
            </w:r>
          </w:p>
        </w:tc>
        <w:tc>
          <w:tcPr>
            <w:tcW w:w="860" w:type="dxa"/>
            <w:vAlign w:val="bottom"/>
            <w:shd w:val="clear" w:color="auto" w:fill="EAF9E8"/>
          </w:tcPr>
          <w:p>
            <w:pPr>
              <w:spacing w:after="0"/>
              <w:rPr>
                <w:sz w:val="18"/>
                <w:szCs w:val="18"/>
                <w:color w:val="auto"/>
              </w:rPr>
            </w:pPr>
          </w:p>
        </w:tc>
        <w:tc>
          <w:tcPr>
            <w:tcW w:w="940" w:type="dxa"/>
            <w:vAlign w:val="bottom"/>
            <w:shd w:val="clear" w:color="auto" w:fill="EAF9E8"/>
          </w:tcPr>
          <w:p>
            <w:pPr>
              <w:spacing w:after="0"/>
              <w:rPr>
                <w:sz w:val="18"/>
                <w:szCs w:val="18"/>
                <w:color w:val="auto"/>
              </w:rPr>
            </w:pPr>
          </w:p>
        </w:tc>
        <w:tc>
          <w:tcPr>
            <w:tcW w:w="5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2,324</w:t>
            </w:r>
          </w:p>
        </w:tc>
        <w:tc>
          <w:tcPr>
            <w:tcW w:w="14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940" w:type="dxa"/>
            <w:vAlign w:val="bottom"/>
            <w:shd w:val="clear" w:color="auto" w:fill="EAF9E8"/>
          </w:tcPr>
          <w:p>
            <w:pPr>
              <w:spacing w:after="0"/>
              <w:rPr>
                <w:sz w:val="18"/>
                <w:szCs w:val="18"/>
                <w:color w:val="auto"/>
              </w:rPr>
            </w:pPr>
          </w:p>
        </w:tc>
        <w:tc>
          <w:tcPr>
            <w:tcW w:w="80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9,611</w:t>
            </w:r>
          </w:p>
        </w:tc>
        <w:tc>
          <w:tcPr>
            <w:tcW w:w="1400" w:type="dxa"/>
            <w:vAlign w:val="bottom"/>
            <w:shd w:val="clear" w:color="auto" w:fill="EAF9E8"/>
          </w:tcPr>
          <w:p>
            <w:pPr>
              <w:jc w:val="right"/>
              <w:ind w:right="312"/>
              <w:spacing w:after="0"/>
              <w:rPr>
                <w:sz w:val="20"/>
                <w:szCs w:val="20"/>
                <w:color w:val="auto"/>
              </w:rPr>
            </w:pPr>
            <w:r>
              <w:rPr>
                <w:rFonts w:ascii="Arial" w:cs="Arial" w:eastAsia="Arial" w:hAnsi="Arial"/>
                <w:sz w:val="18"/>
                <w:szCs w:val="18"/>
                <w:color w:val="auto"/>
              </w:rPr>
              <w:t>(76)</w:t>
            </w:r>
          </w:p>
        </w:tc>
        <w:tc>
          <w:tcPr>
            <w:tcW w:w="12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540" w:type="dxa"/>
            <w:vAlign w:val="bottom"/>
          </w:tcPr>
          <w:p>
            <w:pPr>
              <w:ind w:left="300"/>
              <w:spacing w:after="0"/>
              <w:rPr>
                <w:sz w:val="20"/>
                <w:szCs w:val="20"/>
                <w:color w:val="auto"/>
              </w:rPr>
            </w:pPr>
            <w:r>
              <w:rPr>
                <w:rFonts w:ascii="Arial" w:cs="Arial" w:eastAsia="Arial" w:hAnsi="Arial"/>
                <w:sz w:val="18"/>
                <w:szCs w:val="18"/>
                <w:color w:val="auto"/>
              </w:rPr>
              <w:t>Corporate Items and Other</w:t>
            </w:r>
          </w:p>
        </w:tc>
        <w:tc>
          <w:tcPr>
            <w:tcW w:w="8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(3,438)</w:t>
            </w:r>
          </w:p>
        </w:tc>
        <w:tc>
          <w:tcPr>
            <w:tcW w:w="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w w:val="92"/>
              </w:rPr>
              <w:t>(20,695)</w:t>
            </w:r>
          </w:p>
        </w:tc>
        <w:tc>
          <w:tcPr>
            <w:tcW w:w="1400" w:type="dxa"/>
            <w:vAlign w:val="bottom"/>
          </w:tcPr>
          <w:p>
            <w:pPr>
              <w:jc w:val="right"/>
              <w:ind w:right="312"/>
              <w:spacing w:after="0"/>
              <w:rPr>
                <w:sz w:val="20"/>
                <w:szCs w:val="20"/>
                <w:color w:val="auto"/>
              </w:rPr>
            </w:pPr>
            <w:r>
              <w:rPr>
                <w:rFonts w:ascii="Arial" w:cs="Arial" w:eastAsia="Arial" w:hAnsi="Arial"/>
                <w:sz w:val="18"/>
                <w:szCs w:val="18"/>
                <w:color w:val="auto"/>
              </w:rPr>
              <w:t>(83)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540" w:type="dxa"/>
            <w:vAlign w:val="bottom"/>
          </w:tcPr>
          <w:p>
            <w:pPr>
              <w:spacing w:after="0"/>
              <w:rPr>
                <w:sz w:val="20"/>
                <w:szCs w:val="20"/>
                <w:color w:val="auto"/>
              </w:rPr>
            </w:pPr>
          </w:p>
        </w:tc>
        <w:tc>
          <w:tcPr>
            <w:tcW w:w="1800" w:type="dxa"/>
            <w:vAlign w:val="bottom"/>
            <w:gridSpan w:val="2"/>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gridSpan w:val="2"/>
          </w:tcPr>
          <w:p>
            <w:pPr>
              <w:spacing w:after="0"/>
              <w:rPr>
                <w:sz w:val="20"/>
                <w:szCs w:val="20"/>
                <w:color w:val="auto"/>
              </w:rPr>
            </w:pPr>
          </w:p>
        </w:tc>
        <w:tc>
          <w:tcPr>
            <w:tcW w:w="800" w:type="dxa"/>
            <w:vAlign w:val="bottom"/>
            <w:gridSpan w:val="2"/>
          </w:tcPr>
          <w:p>
            <w:pPr>
              <w:spacing w:after="0"/>
              <w:rPr>
                <w:sz w:val="20"/>
                <w:szCs w:val="20"/>
                <w:color w:val="auto"/>
              </w:rPr>
            </w:pPr>
          </w:p>
        </w:tc>
        <w:tc>
          <w:tcPr>
            <w:tcW w:w="1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40" w:type="dxa"/>
            <w:vAlign w:val="bottom"/>
            <w:shd w:val="clear" w:color="auto" w:fill="EAF9E8"/>
          </w:tcPr>
          <w:p>
            <w:pPr>
              <w:spacing w:after="0"/>
              <w:rPr>
                <w:sz w:val="18"/>
                <w:szCs w:val="18"/>
                <w:color w:val="auto"/>
              </w:rPr>
            </w:pPr>
          </w:p>
        </w:tc>
        <w:tc>
          <w:tcPr>
            <w:tcW w:w="860" w:type="dxa"/>
            <w:vAlign w:val="bottom"/>
            <w:shd w:val="clear" w:color="auto" w:fill="EAF9E8"/>
          </w:tcPr>
          <w:p>
            <w:pPr>
              <w:spacing w:after="0"/>
              <w:rPr>
                <w:sz w:val="18"/>
                <w:szCs w:val="18"/>
                <w:color w:val="auto"/>
              </w:rPr>
            </w:pPr>
          </w:p>
        </w:tc>
        <w:tc>
          <w:tcPr>
            <w:tcW w:w="940" w:type="dxa"/>
            <w:vAlign w:val="bottom"/>
            <w:tcBorders>
              <w:top w:val="single" w:sz="8" w:color="auto"/>
            </w:tcBorders>
            <w:shd w:val="clear" w:color="auto" w:fill="EAF9E8"/>
          </w:tcPr>
          <w:p>
            <w:pPr>
              <w:jc w:val="right"/>
              <w:ind w:right="752"/>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23,264</w:t>
            </w:r>
          </w:p>
        </w:tc>
        <w:tc>
          <w:tcPr>
            <w:tcW w:w="14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940" w:type="dxa"/>
            <w:vAlign w:val="bottom"/>
            <w:tcBorders>
              <w:top w:val="single" w:sz="8" w:color="auto"/>
            </w:tcBorders>
            <w:shd w:val="clear" w:color="auto" w:fill="EAF9E8"/>
          </w:tcPr>
          <w:p>
            <w:pPr>
              <w:jc w:val="right"/>
              <w:ind w:right="783"/>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8,417</w:t>
            </w:r>
          </w:p>
        </w:tc>
        <w:tc>
          <w:tcPr>
            <w:tcW w:w="220" w:type="dxa"/>
            <w:vAlign w:val="bottom"/>
            <w:shd w:val="clear" w:color="auto" w:fill="EAF9E8"/>
          </w:tcPr>
          <w:p>
            <w:pPr>
              <w:spacing w:after="0"/>
              <w:rPr>
                <w:sz w:val="18"/>
                <w:szCs w:val="18"/>
                <w:color w:val="auto"/>
              </w:rPr>
            </w:pPr>
          </w:p>
        </w:tc>
        <w:tc>
          <w:tcPr>
            <w:tcW w:w="1400" w:type="dxa"/>
            <w:vAlign w:val="bottom"/>
            <w:shd w:val="clear" w:color="auto" w:fill="EAF9E8"/>
          </w:tcPr>
          <w:p>
            <w:pPr>
              <w:jc w:val="right"/>
              <w:ind w:right="372"/>
              <w:spacing w:after="0"/>
              <w:rPr>
                <w:sz w:val="20"/>
                <w:szCs w:val="20"/>
                <w:color w:val="auto"/>
              </w:rPr>
            </w:pPr>
            <w:r>
              <w:rPr>
                <w:rFonts w:ascii="Arial" w:cs="Arial" w:eastAsia="Arial" w:hAnsi="Arial"/>
                <w:sz w:val="18"/>
                <w:szCs w:val="18"/>
                <w:color w:val="auto"/>
              </w:rPr>
              <w:t>176</w:t>
            </w:r>
          </w:p>
        </w:tc>
        <w:tc>
          <w:tcPr>
            <w:tcW w:w="12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5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jc w:val="both"/>
        <w:ind w:firstLine="471"/>
        <w:spacing w:after="0" w:line="259" w:lineRule="auto"/>
        <w:rPr>
          <w:sz w:val="20"/>
          <w:szCs w:val="20"/>
          <w:color w:val="auto"/>
        </w:rPr>
      </w:pPr>
      <w:r>
        <w:rPr>
          <w:rFonts w:ascii="Arial" w:cs="Arial" w:eastAsia="Arial" w:hAnsi="Arial"/>
          <w:sz w:val="18"/>
          <w:szCs w:val="18"/>
          <w:color w:val="auto"/>
        </w:rPr>
        <w:t>Income from operations improved by 5% in the first quarter of 2009 as compared to 2008, reflecting a significant reduction in operating expenses that was partially offset by a decline in revenues. Lower interest expense and lower fair value adjustments on securities and loans resulted in a 176% increase in income from continuing operations.</w:t>
      </w:r>
    </w:p>
    <w:p>
      <w:pPr>
        <w:spacing w:after="0" w:line="194" w:lineRule="exact"/>
        <w:rPr>
          <w:sz w:val="20"/>
          <w:szCs w:val="20"/>
          <w:color w:val="auto"/>
        </w:rPr>
      </w:pPr>
    </w:p>
    <w:p>
      <w:pPr>
        <w:jc w:val="both"/>
        <w:ind w:firstLine="466"/>
        <w:spacing w:after="0" w:line="298" w:lineRule="auto"/>
        <w:rPr>
          <w:sz w:val="20"/>
          <w:szCs w:val="20"/>
          <w:color w:val="auto"/>
        </w:rPr>
      </w:pPr>
      <w:r>
        <w:rPr>
          <w:rFonts w:ascii="Arial" w:cs="Arial" w:eastAsia="Arial" w:hAnsi="Arial"/>
          <w:sz w:val="16"/>
          <w:szCs w:val="16"/>
          <w:color w:val="auto"/>
        </w:rPr>
        <w:t>Total revenues declined by $13,661, or 11%, in the first quarter of 2009 as compared to 2008 principally because of a decrease in Servicing revenue due to a smaller servicing portfolio. Revenue of the Financial Services segment also declined in the first quarter of 2009 largely due to lower liquidation rates in contingency collections. Mortgage Services revenue increased over the first quarter of 2008 primarily as a result of a broader array of product offerings across the mortgage life cycle (i.e. default products) and selectively expanding in new states considering the market opportunities in each.</w:t>
      </w:r>
    </w:p>
    <w:p>
      <w:pPr>
        <w:spacing w:after="0" w:line="167" w:lineRule="exact"/>
        <w:rPr>
          <w:sz w:val="20"/>
          <w:szCs w:val="20"/>
          <w:color w:val="auto"/>
        </w:rPr>
      </w:pPr>
    </w:p>
    <w:p>
      <w:pPr>
        <w:jc w:val="both"/>
        <w:ind w:firstLine="579"/>
        <w:spacing w:after="0" w:line="294" w:lineRule="auto"/>
        <w:rPr>
          <w:sz w:val="20"/>
          <w:szCs w:val="20"/>
          <w:color w:val="auto"/>
        </w:rPr>
      </w:pPr>
      <w:r>
        <w:rPr>
          <w:rFonts w:ascii="Arial" w:cs="Arial" w:eastAsia="Arial" w:hAnsi="Arial"/>
          <w:sz w:val="16"/>
          <w:szCs w:val="16"/>
          <w:color w:val="auto"/>
        </w:rPr>
        <w:t>Total operating expenses were $15,809, or 18%, lower in the first quarter of 2009 as compared to 2008. This is primarily due to declines in operating expenses of the Servicing segment and Corporate Items and Other. Operating expenses of the Servicing segment declined primarily due to lower amortization on a smaller servicing portfolio, lower servicing and origination expense as a result of a reduction in loan payoffs and reduced staffing levels. In Corporate Items and Other, operating expenses declined largely because the first quarter of 2008 included $9,532 of due diligence and other costs related to the “going private” transaction which was initiated in January 2008 and which the parties mutually terminated in March 2008.</w:t>
      </w:r>
    </w:p>
    <w:p>
      <w:pPr>
        <w:spacing w:after="0" w:line="170" w:lineRule="exact"/>
        <w:rPr>
          <w:sz w:val="20"/>
          <w:szCs w:val="20"/>
          <w:color w:val="auto"/>
        </w:rPr>
      </w:pPr>
    </w:p>
    <w:p>
      <w:pPr>
        <w:jc w:val="both"/>
        <w:ind w:firstLine="529"/>
        <w:spacing w:after="0" w:line="268" w:lineRule="auto"/>
        <w:rPr>
          <w:sz w:val="20"/>
          <w:szCs w:val="20"/>
          <w:color w:val="auto"/>
        </w:rPr>
      </w:pPr>
      <w:r>
        <w:rPr>
          <w:rFonts w:ascii="Arial" w:cs="Arial" w:eastAsia="Arial" w:hAnsi="Arial"/>
          <w:sz w:val="18"/>
          <w:szCs w:val="18"/>
          <w:color w:val="auto"/>
        </w:rPr>
        <w:t>Other expense, net, for the first quarter of 2009 was $19,060 as compared to $31,759 for the first quarter of 2008, a favorable variance of $12,699. This variance is the result of several factors:</w:t>
      </w:r>
    </w:p>
    <w:p>
      <w:pPr>
        <w:spacing w:after="0" w:line="199" w:lineRule="exact"/>
        <w:rPr>
          <w:sz w:val="20"/>
          <w:szCs w:val="20"/>
          <w:color w:val="auto"/>
        </w:rPr>
      </w:pPr>
    </w:p>
    <w:p>
      <w:pPr>
        <w:ind w:left="1120" w:right="40" w:hanging="558"/>
        <w:spacing w:after="0" w:line="268" w:lineRule="auto"/>
        <w:tabs>
          <w:tab w:leader="none" w:pos="11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 the Servicing segment, interest expense on match funded liabilities and lines of credit was $7,744 lower in the first quarter of 2009 because of a decline in the average balance of advances and a decline in interest rates.</w:t>
      </w:r>
    </w:p>
    <w:p>
      <w:pPr>
        <w:spacing w:after="0" w:line="118" w:lineRule="exact"/>
        <w:rPr>
          <w:rFonts w:ascii="Arial" w:cs="Arial" w:eastAsia="Arial" w:hAnsi="Arial"/>
          <w:sz w:val="18"/>
          <w:szCs w:val="18"/>
          <w:color w:val="auto"/>
        </w:rPr>
      </w:pPr>
    </w:p>
    <w:p>
      <w:pPr>
        <w:ind w:left="1120" w:right="40" w:hanging="558"/>
        <w:spacing w:after="0" w:line="268" w:lineRule="auto"/>
        <w:tabs>
          <w:tab w:leader="none" w:pos="11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 the Loans and Residuals segment, interest income on loans and residual securities declined by $1,773 in the first quarter of 2009 because of declines in assets.</w:t>
      </w:r>
    </w:p>
    <w:p>
      <w:pPr>
        <w:spacing w:after="0" w:line="118" w:lineRule="exact"/>
        <w:rPr>
          <w:rFonts w:ascii="Arial" w:cs="Arial" w:eastAsia="Arial" w:hAnsi="Arial"/>
          <w:sz w:val="18"/>
          <w:szCs w:val="18"/>
          <w:color w:val="auto"/>
        </w:rPr>
      </w:pPr>
    </w:p>
    <w:p>
      <w:pPr>
        <w:jc w:val="both"/>
        <w:ind w:left="1120" w:right="40" w:hanging="558"/>
        <w:spacing w:after="0" w:line="259" w:lineRule="auto"/>
        <w:tabs>
          <w:tab w:leader="none" w:pos="11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 the AMV segment, our consolidated share of the earnings of OSI and ONL and affiliates for the first quarter of 2009 was $27. This compares to losses of $931 for the first quarter of 2008. The losses in 2008 reflect higher charges to reduce residual securities, loans and real estate to fair value.</w:t>
      </w:r>
    </w:p>
    <w:p>
      <w:pPr>
        <w:sectPr>
          <w:pgSz w:w="11900" w:h="16838" w:orient="portrait"/>
          <w:cols w:equalWidth="0" w:num="1">
            <w:col w:w="11420"/>
          </w:cols>
          <w:pgMar w:left="240" w:top="125" w:right="239" w:bottom="1022" w:gutter="0" w:footer="0" w:header="0"/>
        </w:sectPr>
      </w:pP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67575"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1022" w:gutter="0" w:footer="0" w:header="0"/>
          <w:type w:val="continuous"/>
        </w:sectPr>
      </w:pPr>
    </w:p>
    <w:bookmarkStart w:id="34" w:name="page35"/>
    <w:bookmarkEnd w:id="34"/>
    <w:p>
      <w:pPr>
        <w:jc w:val="both"/>
        <w:ind w:left="1120" w:right="40" w:hanging="558"/>
        <w:spacing w:after="0" w:line="298" w:lineRule="auto"/>
        <w:tabs>
          <w:tab w:leader="none" w:pos="1120" w:val="left"/>
        </w:tabs>
        <w:numPr>
          <w:ilvl w:val="0"/>
          <w:numId w:val="30"/>
        </w:numPr>
        <w:rPr>
          <w:rFonts w:ascii="Arial" w:cs="Arial" w:eastAsia="Arial" w:hAnsi="Arial"/>
          <w:sz w:val="16"/>
          <w:szCs w:val="16"/>
          <w:color w:val="auto"/>
        </w:rPr>
      </w:pPr>
      <w:r>
        <w:rPr>
          <w:rFonts w:ascii="Arial" w:cs="Arial" w:eastAsia="Arial" w:hAnsi="Arial"/>
          <w:sz w:val="16"/>
          <w:szCs w:val="16"/>
          <w:color w:val="auto"/>
        </w:rPr>
        <w:t>In the Technology Products segment, our share of the earnings of BMS Holdings was $7,886 for the first quarter of 2008 as compared to zero for the first quarter of 2009. Unrealized gains on derivatives in the first quarter of 2008 were largely reversed in the second quarter of 2008 as a result of volatility in LIBOR during those periods. During the second quarter of 2008, our share of the losses of BMS Holdings reduced our investment to zero and we suspended the application of the equity method of accounting for our investment.</w:t>
      </w:r>
    </w:p>
    <w:p>
      <w:pPr>
        <w:spacing w:after="0" w:line="99" w:lineRule="exact"/>
        <w:rPr>
          <w:rFonts w:ascii="Arial" w:cs="Arial" w:eastAsia="Arial" w:hAnsi="Arial"/>
          <w:sz w:val="16"/>
          <w:szCs w:val="16"/>
          <w:color w:val="auto"/>
        </w:rPr>
      </w:pPr>
    </w:p>
    <w:p>
      <w:pPr>
        <w:jc w:val="both"/>
        <w:ind w:left="1120" w:right="40" w:hanging="558"/>
        <w:spacing w:after="0" w:line="259" w:lineRule="auto"/>
        <w:tabs>
          <w:tab w:leader="none" w:pos="11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 Corporate Items and Other, we recorded an unrealized loss of $40 on our investment grade auction rate securities in the first quarter of 2009. This compares to an unrealized loss of $8,939 in the first quarter of 2008. In addition, the first quarter of 2008 included $1,813 of unrealized losses on CMOs which were sold in the second quarter of 2008.</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 Summary</w:t>
      </w:r>
    </w:p>
    <w:p>
      <w:pPr>
        <w:spacing w:after="0" w:line="231" w:lineRule="exact"/>
        <w:rPr>
          <w:sz w:val="20"/>
          <w:szCs w:val="20"/>
          <w:color w:val="auto"/>
        </w:rPr>
      </w:pPr>
    </w:p>
    <w:p>
      <w:pPr>
        <w:ind w:firstLine="477"/>
        <w:spacing w:after="0" w:line="268" w:lineRule="auto"/>
        <w:rPr>
          <w:sz w:val="20"/>
          <w:szCs w:val="20"/>
          <w:color w:val="auto"/>
        </w:rPr>
      </w:pPr>
      <w:r>
        <w:rPr>
          <w:rFonts w:ascii="Arial" w:cs="Arial" w:eastAsia="Arial" w:hAnsi="Arial"/>
          <w:sz w:val="18"/>
          <w:szCs w:val="18"/>
          <w:color w:val="auto"/>
        </w:rPr>
        <w:t>Total assets declined by $207,584, or 9%, in the first three months of 2009. This decrease was due to declines in all asset categories other than receivables and MSRs:</w:t>
      </w:r>
    </w:p>
    <w:p>
      <w:pPr>
        <w:spacing w:after="0" w:line="199" w:lineRule="exact"/>
        <w:rPr>
          <w:sz w:val="20"/>
          <w:szCs w:val="20"/>
          <w:color w:val="auto"/>
        </w:rPr>
      </w:pPr>
    </w:p>
    <w:p>
      <w:pPr>
        <w:ind w:left="1160" w:hanging="571"/>
        <w:spacing w:after="0"/>
        <w:tabs>
          <w:tab w:leader="none" w:pos="11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Cash declined by $42,170 to a balance of $158,855 at March 31, 2009.</w:t>
      </w:r>
    </w:p>
    <w:p>
      <w:pPr>
        <w:spacing w:after="0" w:line="157" w:lineRule="exact"/>
        <w:rPr>
          <w:rFonts w:ascii="Arial" w:cs="Arial" w:eastAsia="Arial" w:hAnsi="Arial"/>
          <w:sz w:val="18"/>
          <w:szCs w:val="18"/>
          <w:color w:val="auto"/>
        </w:rPr>
      </w:pPr>
    </w:p>
    <w:p>
      <w:pPr>
        <w:ind w:left="1160" w:hanging="571"/>
        <w:spacing w:after="0"/>
        <w:tabs>
          <w:tab w:leader="none" w:pos="11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Loans held for resale declined by $5,248 due to foreclosures, charge-offs, payoffs and declines in estimated values.</w:t>
      </w:r>
    </w:p>
    <w:p>
      <w:pPr>
        <w:spacing w:after="0" w:line="157" w:lineRule="exact"/>
        <w:rPr>
          <w:rFonts w:ascii="Arial" w:cs="Arial" w:eastAsia="Arial" w:hAnsi="Arial"/>
          <w:sz w:val="18"/>
          <w:szCs w:val="18"/>
          <w:color w:val="auto"/>
        </w:rPr>
      </w:pPr>
    </w:p>
    <w:p>
      <w:pPr>
        <w:jc w:val="both"/>
        <w:ind w:left="1160" w:hanging="571"/>
        <w:spacing w:after="0" w:line="306" w:lineRule="auto"/>
        <w:tabs>
          <w:tab w:leader="none" w:pos="11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Total advances declined by $148,937 primarily because of declines in UPB serviced and because we were able to stabilize the rate of loan delinquencies and reduce average delinquencies per loan. This decline is the net result of a $219,311 decline in match funded advances and a $70,374 increase in advances as a result of moving collateral from match funded advance facilities to a non-match funded facility.</w:t>
      </w:r>
    </w:p>
    <w:p>
      <w:pPr>
        <w:spacing w:after="0" w:line="93" w:lineRule="exact"/>
        <w:rPr>
          <w:rFonts w:ascii="Arial" w:cs="Arial" w:eastAsia="Arial" w:hAnsi="Arial"/>
          <w:sz w:val="16"/>
          <w:szCs w:val="16"/>
          <w:color w:val="auto"/>
        </w:rPr>
      </w:pPr>
    </w:p>
    <w:p>
      <w:pPr>
        <w:ind w:left="1160" w:hanging="571"/>
        <w:spacing w:after="0"/>
        <w:tabs>
          <w:tab w:leader="none" w:pos="11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MSRs increased by $1,103 as acquisitions of $10,241 exceeded amortization of $9,126 for the first quarter of 2009.</w:t>
      </w:r>
    </w:p>
    <w:p>
      <w:pPr>
        <w:spacing w:after="0" w:line="157" w:lineRule="exact"/>
        <w:rPr>
          <w:rFonts w:ascii="Arial" w:cs="Arial" w:eastAsia="Arial" w:hAnsi="Arial"/>
          <w:sz w:val="18"/>
          <w:szCs w:val="18"/>
          <w:color w:val="auto"/>
        </w:rPr>
      </w:pPr>
    </w:p>
    <w:p>
      <w:pPr>
        <w:ind w:left="1160" w:hanging="571"/>
        <w:spacing w:after="0"/>
        <w:tabs>
          <w:tab w:leader="none" w:pos="11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Investment in unconsolidated entities declined by $3,548 primarily due to $3,246 of distributions received from our asset management entities.</w:t>
      </w:r>
    </w:p>
    <w:p>
      <w:pPr>
        <w:spacing w:after="0" w:line="248" w:lineRule="exact"/>
        <w:rPr>
          <w:sz w:val="20"/>
          <w:szCs w:val="20"/>
          <w:color w:val="auto"/>
        </w:rPr>
      </w:pPr>
    </w:p>
    <w:p>
      <w:pPr>
        <w:ind w:right="20" w:firstLine="447"/>
        <w:spacing w:after="0" w:line="268" w:lineRule="auto"/>
        <w:rPr>
          <w:sz w:val="20"/>
          <w:szCs w:val="20"/>
          <w:color w:val="auto"/>
        </w:rPr>
      </w:pPr>
      <w:r>
        <w:rPr>
          <w:rFonts w:ascii="Arial" w:cs="Arial" w:eastAsia="Arial" w:hAnsi="Arial"/>
          <w:sz w:val="18"/>
          <w:szCs w:val="18"/>
          <w:color w:val="auto"/>
        </w:rPr>
        <w:t>Total liabilities declined by $224,621, or 14%, in the first three months of 2009. This decrease was the result of declines in all liability categories other than lines of credit and other secured borrowings:</w:t>
      </w:r>
    </w:p>
    <w:p>
      <w:pPr>
        <w:spacing w:after="0" w:line="199" w:lineRule="exact"/>
        <w:rPr>
          <w:sz w:val="20"/>
          <w:szCs w:val="20"/>
          <w:color w:val="auto"/>
        </w:rPr>
      </w:pPr>
    </w:p>
    <w:p>
      <w:pPr>
        <w:ind w:left="1160" w:hanging="571"/>
        <w:spacing w:after="0"/>
        <w:tabs>
          <w:tab w:leader="none" w:pos="11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Match funded liabilities declined by $171,639 as a result of the decline in match funded advances.</w:t>
      </w:r>
    </w:p>
    <w:p>
      <w:pPr>
        <w:spacing w:after="0" w:line="157" w:lineRule="exact"/>
        <w:rPr>
          <w:rFonts w:ascii="Arial" w:cs="Arial" w:eastAsia="Arial" w:hAnsi="Arial"/>
          <w:sz w:val="18"/>
          <w:szCs w:val="18"/>
          <w:color w:val="auto"/>
        </w:rPr>
      </w:pPr>
    </w:p>
    <w:p>
      <w:pPr>
        <w:jc w:val="both"/>
        <w:ind w:left="1160" w:hanging="571"/>
        <w:spacing w:after="0" w:line="370" w:lineRule="auto"/>
        <w:tabs>
          <w:tab w:leader="none" w:pos="1160" w:val="left"/>
        </w:tabs>
        <w:numPr>
          <w:ilvl w:val="0"/>
          <w:numId w:val="32"/>
        </w:numPr>
        <w:rPr>
          <w:rFonts w:ascii="Arial" w:cs="Arial" w:eastAsia="Arial" w:hAnsi="Arial"/>
          <w:sz w:val="15"/>
          <w:szCs w:val="15"/>
          <w:color w:val="auto"/>
        </w:rPr>
      </w:pPr>
      <w:r>
        <w:rPr>
          <w:rFonts w:ascii="Arial" w:cs="Arial" w:eastAsia="Arial" w:hAnsi="Arial"/>
          <w:sz w:val="15"/>
          <w:szCs w:val="15"/>
          <w:color w:val="auto"/>
        </w:rPr>
        <w:t>Lines of credit and other secured borrowings increased by $27,195 principally because of $52,373 of borrowings, net of discount, under two new facilities offset in part by $20,997 of repayments of borrowings under the senior secured credit agreement term note that is used to finance MSRs.</w:t>
      </w:r>
    </w:p>
    <w:p>
      <w:pPr>
        <w:spacing w:after="0" w:line="48" w:lineRule="exact"/>
        <w:rPr>
          <w:rFonts w:ascii="Arial" w:cs="Arial" w:eastAsia="Arial" w:hAnsi="Arial"/>
          <w:sz w:val="15"/>
          <w:szCs w:val="15"/>
          <w:color w:val="auto"/>
        </w:rPr>
      </w:pPr>
    </w:p>
    <w:p>
      <w:pPr>
        <w:ind w:left="1160" w:hanging="571"/>
        <w:spacing w:after="0"/>
        <w:tabs>
          <w:tab w:leader="none" w:pos="11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Investment Line declined by $14,151 due to repayments.</w:t>
      </w:r>
    </w:p>
    <w:p>
      <w:pPr>
        <w:spacing w:after="0" w:line="157" w:lineRule="exact"/>
        <w:rPr>
          <w:rFonts w:ascii="Arial" w:cs="Arial" w:eastAsia="Arial" w:hAnsi="Arial"/>
          <w:sz w:val="18"/>
          <w:szCs w:val="18"/>
          <w:color w:val="auto"/>
        </w:rPr>
      </w:pPr>
    </w:p>
    <w:p>
      <w:pPr>
        <w:ind w:left="1160" w:hanging="571"/>
        <w:spacing w:after="0" w:line="332" w:lineRule="auto"/>
        <w:tabs>
          <w:tab w:leader="none" w:pos="11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Servicer liabilities declined by $45,386 largely because of a decrease in the amount of borrower payments that have not yet been remitted to custodial accounts. The decline in borrower payments is the result of slower repayments and a decline in UPB serviced.</w:t>
      </w:r>
    </w:p>
    <w:p>
      <w:pPr>
        <w:spacing w:after="0" w:line="71" w:lineRule="exact"/>
        <w:rPr>
          <w:rFonts w:ascii="Arial" w:cs="Arial" w:eastAsia="Arial" w:hAnsi="Arial"/>
          <w:sz w:val="16"/>
          <w:szCs w:val="16"/>
          <w:color w:val="auto"/>
        </w:rPr>
      </w:pPr>
    </w:p>
    <w:p>
      <w:pPr>
        <w:jc w:val="both"/>
        <w:ind w:left="1160" w:hanging="571"/>
        <w:spacing w:after="0" w:line="259" w:lineRule="auto"/>
        <w:tabs>
          <w:tab w:leader="none" w:pos="11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Debt securities declined by $24,524. During February 2009, we repurchased $25,910 of our 3.25% Convertible Notes in the open market at a price equal to 95% of the principal amount. We recognized total gains of $534 on these repurchases, net of the write-off of discount and unamortized issuance costs.</w:t>
      </w:r>
    </w:p>
    <w:p>
      <w:pPr>
        <w:spacing w:after="0" w:line="194" w:lineRule="exact"/>
        <w:rPr>
          <w:sz w:val="20"/>
          <w:szCs w:val="20"/>
          <w:color w:val="auto"/>
        </w:rPr>
      </w:pPr>
    </w:p>
    <w:p>
      <w:pPr>
        <w:ind w:firstLine="437"/>
        <w:spacing w:after="0" w:line="268" w:lineRule="auto"/>
        <w:rPr>
          <w:sz w:val="20"/>
          <w:szCs w:val="20"/>
          <w:color w:val="auto"/>
        </w:rPr>
      </w:pPr>
      <w:r>
        <w:rPr>
          <w:rFonts w:ascii="Arial" w:cs="Arial" w:eastAsia="Arial" w:hAnsi="Arial"/>
          <w:sz w:val="18"/>
          <w:szCs w:val="18"/>
          <w:color w:val="auto"/>
        </w:rPr>
        <w:t>At March 31, 2009, total equity was $626,678, an increase of $17,037 over December 31, 2008 that was primarily due to net income of $15,109 for the first quarter of 2009, the exercise of stock options and compensation related to employee share-based awards.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45" w:right="2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SEGMENTS</w:t>
      </w:r>
    </w:p>
    <w:p>
      <w:pPr>
        <w:spacing w:after="0" w:line="231" w:lineRule="exact"/>
        <w:rPr>
          <w:sz w:val="20"/>
          <w:szCs w:val="20"/>
          <w:color w:val="auto"/>
        </w:rPr>
      </w:pPr>
    </w:p>
    <w:p>
      <w:pPr>
        <w:ind w:firstLine="477"/>
        <w:spacing w:after="0" w:line="332" w:lineRule="auto"/>
        <w:rPr>
          <w:sz w:val="20"/>
          <w:szCs w:val="20"/>
          <w:color w:val="auto"/>
        </w:rPr>
      </w:pPr>
      <w:r>
        <w:rPr>
          <w:rFonts w:ascii="Arial" w:cs="Arial" w:eastAsia="Arial" w:hAnsi="Arial"/>
          <w:sz w:val="16"/>
          <w:szCs w:val="16"/>
          <w:color w:val="auto"/>
        </w:rPr>
        <w:t>The following section provides a discussion of changes in the financial condition of our business segments during the three months ended March 31, 2009 and a discussion of the results of continuing operations of our business segments for the three months ended March 31, 2009 and 2008.</w:t>
      </w:r>
    </w:p>
    <w:p>
      <w:pPr>
        <w:spacing w:after="0" w:line="13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presents assets and liabilities of each of our business segments at March 31, 2009:</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60" w:type="dxa"/>
            <w:vAlign w:val="bottom"/>
            <w:gridSpan w:val="9"/>
          </w:tcPr>
          <w:p>
            <w:pPr>
              <w:jc w:val="center"/>
              <w:ind w:right="300"/>
              <w:spacing w:after="0"/>
              <w:rPr>
                <w:sz w:val="20"/>
                <w:szCs w:val="20"/>
                <w:color w:val="auto"/>
              </w:rPr>
            </w:pPr>
            <w:r>
              <w:rPr>
                <w:rFonts w:ascii="Arial" w:cs="Arial" w:eastAsia="Arial" w:hAnsi="Arial"/>
                <w:sz w:val="14"/>
                <w:szCs w:val="14"/>
                <w:color w:val="auto"/>
                <w:w w:val="85"/>
              </w:rPr>
              <w:t>Ocwen Asset Management</w:t>
            </w: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20" w:type="dxa"/>
            <w:vAlign w:val="bottom"/>
            <w:gridSpan w:val="4"/>
          </w:tcPr>
          <w:p>
            <w:pPr>
              <w:jc w:val="center"/>
              <w:ind w:right="20"/>
              <w:spacing w:after="0"/>
              <w:rPr>
                <w:sz w:val="20"/>
                <w:szCs w:val="20"/>
                <w:color w:val="auto"/>
              </w:rPr>
            </w:pPr>
            <w:r>
              <w:rPr>
                <w:rFonts w:ascii="Arial" w:cs="Arial" w:eastAsia="Arial" w:hAnsi="Arial"/>
                <w:sz w:val="14"/>
                <w:szCs w:val="14"/>
                <w:color w:val="auto"/>
                <w:w w:val="87"/>
              </w:rPr>
              <w:t>Ocwen Solutions</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3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gridSpan w:val="2"/>
            <w:vMerge w:val="restart"/>
          </w:tcPr>
          <w:p>
            <w:pPr>
              <w:jc w:val="center"/>
              <w:ind w:right="160"/>
              <w:spacing w:after="0"/>
              <w:rPr>
                <w:sz w:val="20"/>
                <w:szCs w:val="20"/>
                <w:color w:val="auto"/>
              </w:rPr>
            </w:pPr>
            <w:r>
              <w:rPr>
                <w:rFonts w:ascii="Arial" w:cs="Arial" w:eastAsia="Arial" w:hAnsi="Arial"/>
                <w:sz w:val="14"/>
                <w:szCs w:val="14"/>
                <w:color w:val="auto"/>
                <w:w w:val="86"/>
              </w:rPr>
              <w:t>Corporate</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gridSpan w:val="2"/>
            <w:vMerge w:val="restart"/>
          </w:tcPr>
          <w:p>
            <w:pPr>
              <w:jc w:val="center"/>
              <w:ind w:right="220"/>
              <w:spacing w:after="0"/>
              <w:rPr>
                <w:sz w:val="20"/>
                <w:szCs w:val="20"/>
                <w:color w:val="auto"/>
              </w:rPr>
            </w:pPr>
            <w:r>
              <w:rPr>
                <w:rFonts w:ascii="Arial" w:cs="Arial" w:eastAsia="Arial" w:hAnsi="Arial"/>
                <w:sz w:val="14"/>
                <w:szCs w:val="14"/>
                <w:color w:val="auto"/>
                <w:w w:val="84"/>
              </w:rPr>
              <w:t>Business</w:t>
            </w:r>
          </w:p>
        </w:tc>
        <w:tc>
          <w:tcPr>
            <w:tcW w:w="0" w:type="dxa"/>
            <w:vAlign w:val="bottom"/>
          </w:tcPr>
          <w:p>
            <w:pPr>
              <w:spacing w:after="0"/>
              <w:rPr>
                <w:sz w:val="1"/>
                <w:szCs w:val="1"/>
                <w:color w:val="auto"/>
              </w:rPr>
            </w:pPr>
          </w:p>
        </w:tc>
      </w:tr>
      <w:tr>
        <w:trPr>
          <w:trHeight w:val="131"/>
        </w:trPr>
        <w:tc>
          <w:tcPr>
            <w:tcW w:w="32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jc w:val="right"/>
              <w:ind w:right="132"/>
              <w:spacing w:after="0" w:line="131" w:lineRule="exact"/>
              <w:rPr>
                <w:sz w:val="20"/>
                <w:szCs w:val="20"/>
                <w:color w:val="auto"/>
              </w:rPr>
            </w:pPr>
            <w:r>
              <w:rPr>
                <w:rFonts w:ascii="Arial" w:cs="Arial" w:eastAsia="Arial" w:hAnsi="Arial"/>
                <w:sz w:val="14"/>
                <w:szCs w:val="14"/>
                <w:color w:val="auto"/>
              </w:rPr>
              <w:t>Asset</w:t>
            </w:r>
          </w:p>
        </w:tc>
        <w:tc>
          <w:tcPr>
            <w:tcW w:w="2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85"/>
              </w:rPr>
              <w:t>Loans and</w:t>
            </w:r>
          </w:p>
        </w:tc>
        <w:tc>
          <w:tcPr>
            <w:tcW w:w="220" w:type="dxa"/>
            <w:vAlign w:val="bottom"/>
          </w:tcPr>
          <w:p>
            <w:pPr>
              <w:spacing w:after="0"/>
              <w:rPr>
                <w:sz w:val="12"/>
                <w:szCs w:val="12"/>
                <w:color w:val="auto"/>
              </w:rPr>
            </w:pPr>
          </w:p>
        </w:tc>
        <w:tc>
          <w:tcPr>
            <w:tcW w:w="94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Management</w:t>
            </w:r>
          </w:p>
        </w:tc>
        <w:tc>
          <w:tcPr>
            <w:tcW w:w="80" w:type="dxa"/>
            <w:vAlign w:val="bottom"/>
          </w:tcPr>
          <w:p>
            <w:pPr>
              <w:spacing w:after="0"/>
              <w:rPr>
                <w:sz w:val="12"/>
                <w:szCs w:val="12"/>
                <w:color w:val="auto"/>
              </w:rPr>
            </w:pPr>
          </w:p>
        </w:tc>
        <w:tc>
          <w:tcPr>
            <w:tcW w:w="6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w w:val="84"/>
              </w:rPr>
              <w:t>Mortgage</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89"/>
              </w:rPr>
              <w:t>Financial</w:t>
            </w:r>
          </w:p>
        </w:tc>
        <w:tc>
          <w:tcPr>
            <w:tcW w:w="40" w:type="dxa"/>
            <w:vAlign w:val="bottom"/>
          </w:tcPr>
          <w:p>
            <w:pPr>
              <w:spacing w:after="0"/>
              <w:rPr>
                <w:sz w:val="12"/>
                <w:szCs w:val="12"/>
                <w:color w:val="auto"/>
              </w:rPr>
            </w:pP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88"/>
              </w:rPr>
              <w:t>Technology</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84"/>
              </w:rPr>
              <w:t>Items and</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w w:val="86"/>
              </w:rPr>
              <w:t>Corporate</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82"/>
              </w:rPr>
              <w:t>Segments</w:t>
            </w:r>
          </w:p>
        </w:tc>
        <w:tc>
          <w:tcPr>
            <w:tcW w:w="0" w:type="dxa"/>
            <w:vAlign w:val="bottom"/>
          </w:tcPr>
          <w:p>
            <w:pPr>
              <w:spacing w:after="0"/>
              <w:rPr>
                <w:sz w:val="1"/>
                <w:szCs w:val="1"/>
                <w:color w:val="auto"/>
              </w:rPr>
            </w:pPr>
          </w:p>
        </w:tc>
      </w:tr>
      <w:tr>
        <w:trPr>
          <w:trHeight w:val="172"/>
        </w:trPr>
        <w:tc>
          <w:tcPr>
            <w:tcW w:w="3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4"/>
                <w:szCs w:val="14"/>
                <w:color w:val="auto"/>
                <w:w w:val="86"/>
              </w:rPr>
              <w:t>Servicing</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center"/>
              <w:ind w:right="12"/>
              <w:spacing w:after="0"/>
              <w:rPr>
                <w:sz w:val="20"/>
                <w:szCs w:val="20"/>
                <w:color w:val="auto"/>
              </w:rPr>
            </w:pPr>
            <w:r>
              <w:rPr>
                <w:rFonts w:ascii="Arial" w:cs="Arial" w:eastAsia="Arial" w:hAnsi="Arial"/>
                <w:sz w:val="14"/>
                <w:szCs w:val="14"/>
                <w:color w:val="auto"/>
                <w:w w:val="84"/>
              </w:rPr>
              <w:t>Residuals</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4"/>
                <w:szCs w:val="14"/>
                <w:color w:val="auto"/>
                <w:w w:val="90"/>
              </w:rPr>
              <w:t>Vehicles</w:t>
            </w:r>
          </w:p>
        </w:tc>
        <w:tc>
          <w:tcPr>
            <w:tcW w:w="80" w:type="dxa"/>
            <w:vAlign w:val="bottom"/>
          </w:tcPr>
          <w:p>
            <w:pPr>
              <w:spacing w:after="0"/>
              <w:rPr>
                <w:sz w:val="14"/>
                <w:szCs w:val="14"/>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w w:val="89"/>
              </w:rPr>
              <w:t>Services</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center"/>
              <w:ind w:right="240"/>
              <w:spacing w:after="0"/>
              <w:rPr>
                <w:sz w:val="20"/>
                <w:szCs w:val="20"/>
                <w:color w:val="auto"/>
              </w:rPr>
            </w:pPr>
            <w:r>
              <w:rPr>
                <w:rFonts w:ascii="Arial" w:cs="Arial" w:eastAsia="Arial" w:hAnsi="Arial"/>
                <w:sz w:val="14"/>
                <w:szCs w:val="14"/>
                <w:color w:val="auto"/>
                <w:w w:val="85"/>
              </w:rPr>
              <w:t>Services</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ind w:right="52"/>
              <w:spacing w:after="0"/>
              <w:rPr>
                <w:sz w:val="20"/>
                <w:szCs w:val="20"/>
                <w:color w:val="auto"/>
              </w:rPr>
            </w:pPr>
            <w:r>
              <w:rPr>
                <w:rFonts w:ascii="Arial" w:cs="Arial" w:eastAsia="Arial" w:hAnsi="Arial"/>
                <w:sz w:val="14"/>
                <w:szCs w:val="14"/>
                <w:color w:val="auto"/>
                <w:w w:val="83"/>
              </w:rPr>
              <w:t>Products</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gridSpan w:val="2"/>
          </w:tcPr>
          <w:p>
            <w:pPr>
              <w:jc w:val="center"/>
              <w:ind w:right="180"/>
              <w:spacing w:after="0"/>
              <w:rPr>
                <w:sz w:val="20"/>
                <w:szCs w:val="20"/>
                <w:color w:val="auto"/>
              </w:rPr>
            </w:pPr>
            <w:r>
              <w:rPr>
                <w:rFonts w:ascii="Arial" w:cs="Arial" w:eastAsia="Arial" w:hAnsi="Arial"/>
                <w:sz w:val="14"/>
                <w:szCs w:val="14"/>
                <w:color w:val="auto"/>
                <w:w w:val="91"/>
              </w:rPr>
              <w:t>Other</w:t>
            </w:r>
          </w:p>
        </w:tc>
        <w:tc>
          <w:tcPr>
            <w:tcW w:w="120" w:type="dxa"/>
            <w:vAlign w:val="bottom"/>
          </w:tcPr>
          <w:p>
            <w:pPr>
              <w:spacing w:after="0"/>
              <w:rPr>
                <w:sz w:val="14"/>
                <w:szCs w:val="14"/>
                <w:color w:val="auto"/>
              </w:rPr>
            </w:pPr>
          </w:p>
        </w:tc>
        <w:tc>
          <w:tcPr>
            <w:tcW w:w="840" w:type="dxa"/>
            <w:vAlign w:val="bottom"/>
            <w:gridSpan w:val="3"/>
          </w:tcPr>
          <w:p>
            <w:pPr>
              <w:jc w:val="right"/>
              <w:ind w:right="140"/>
              <w:spacing w:after="0"/>
              <w:rPr>
                <w:sz w:val="20"/>
                <w:szCs w:val="20"/>
                <w:color w:val="auto"/>
              </w:rPr>
            </w:pPr>
            <w:r>
              <w:rPr>
                <w:rFonts w:ascii="Arial" w:cs="Arial" w:eastAsia="Arial" w:hAnsi="Arial"/>
                <w:sz w:val="14"/>
                <w:szCs w:val="14"/>
                <w:color w:val="auto"/>
                <w:w w:val="90"/>
              </w:rPr>
              <w:t>Eliminations</w:t>
            </w:r>
          </w:p>
        </w:tc>
        <w:tc>
          <w:tcPr>
            <w:tcW w:w="100" w:type="dxa"/>
            <w:vAlign w:val="bottom"/>
          </w:tcPr>
          <w:p>
            <w:pPr>
              <w:spacing w:after="0"/>
              <w:rPr>
                <w:sz w:val="14"/>
                <w:szCs w:val="14"/>
                <w:color w:val="auto"/>
              </w:rPr>
            </w:pPr>
          </w:p>
        </w:tc>
        <w:tc>
          <w:tcPr>
            <w:tcW w:w="860" w:type="dxa"/>
            <w:vAlign w:val="bottom"/>
            <w:gridSpan w:val="3"/>
          </w:tcPr>
          <w:p>
            <w:pPr>
              <w:ind w:left="20"/>
              <w:spacing w:after="0"/>
              <w:rPr>
                <w:sz w:val="20"/>
                <w:szCs w:val="20"/>
                <w:color w:val="auto"/>
              </w:rPr>
            </w:pPr>
            <w:r>
              <w:rPr>
                <w:rFonts w:ascii="Arial" w:cs="Arial" w:eastAsia="Arial" w:hAnsi="Arial"/>
                <w:sz w:val="14"/>
                <w:szCs w:val="14"/>
                <w:color w:val="auto"/>
              </w:rPr>
              <w:t>Consolidated</w:t>
            </w:r>
          </w:p>
        </w:tc>
        <w:tc>
          <w:tcPr>
            <w:tcW w:w="0" w:type="dxa"/>
            <w:vAlign w:val="bottom"/>
          </w:tcPr>
          <w:p>
            <w:pPr>
              <w:spacing w:after="0"/>
              <w:rPr>
                <w:sz w:val="1"/>
                <w:szCs w:val="1"/>
                <w:color w:val="auto"/>
              </w:rPr>
            </w:pPr>
          </w:p>
        </w:tc>
      </w:tr>
      <w:tr>
        <w:trPr>
          <w:trHeight w:val="230"/>
        </w:trPr>
        <w:tc>
          <w:tcPr>
            <w:tcW w:w="32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2"/>
        </w:trPr>
        <w:tc>
          <w:tcPr>
            <w:tcW w:w="3240" w:type="dxa"/>
            <w:vAlign w:val="bottom"/>
            <w:shd w:val="clear" w:color="auto" w:fill="EAF9E8"/>
          </w:tcPr>
          <w:p>
            <w:pPr>
              <w:spacing w:after="0" w:line="142" w:lineRule="exact"/>
              <w:rPr>
                <w:sz w:val="20"/>
                <w:szCs w:val="20"/>
                <w:color w:val="auto"/>
              </w:rPr>
            </w:pPr>
            <w:r>
              <w:rPr>
                <w:rFonts w:ascii="Arial" w:cs="Arial" w:eastAsia="Arial" w:hAnsi="Arial"/>
                <w:sz w:val="14"/>
                <w:szCs w:val="14"/>
                <w:b w:val="1"/>
                <w:bCs w:val="1"/>
                <w:color w:val="auto"/>
              </w:rPr>
              <w:t>Assets</w:t>
            </w:r>
          </w:p>
        </w:tc>
        <w:tc>
          <w:tcPr>
            <w:tcW w:w="80" w:type="dxa"/>
            <w:vAlign w:val="bottom"/>
            <w:shd w:val="clear" w:color="auto" w:fill="EAF9E8"/>
          </w:tcPr>
          <w:p>
            <w:pPr>
              <w:spacing w:after="0"/>
              <w:rPr>
                <w:sz w:val="12"/>
                <w:szCs w:val="12"/>
                <w:color w:val="auto"/>
              </w:rPr>
            </w:pPr>
          </w:p>
        </w:tc>
        <w:tc>
          <w:tcPr>
            <w:tcW w:w="600" w:type="dxa"/>
            <w:vAlign w:val="bottom"/>
            <w:shd w:val="clear" w:color="auto" w:fill="EAF9E8"/>
          </w:tcPr>
          <w:p>
            <w:pPr>
              <w:spacing w:after="0"/>
              <w:rPr>
                <w:sz w:val="12"/>
                <w:szCs w:val="12"/>
                <w:color w:val="auto"/>
              </w:rPr>
            </w:pPr>
          </w:p>
        </w:tc>
        <w:tc>
          <w:tcPr>
            <w:tcW w:w="20" w:type="dxa"/>
            <w:vAlign w:val="bottom"/>
            <w:shd w:val="clear" w:color="auto" w:fill="EAF9E8"/>
          </w:tcPr>
          <w:p>
            <w:pPr>
              <w:spacing w:after="0"/>
              <w:rPr>
                <w:sz w:val="12"/>
                <w:szCs w:val="12"/>
                <w:color w:val="auto"/>
              </w:rPr>
            </w:pPr>
          </w:p>
        </w:tc>
        <w:tc>
          <w:tcPr>
            <w:tcW w:w="200" w:type="dxa"/>
            <w:vAlign w:val="bottom"/>
            <w:shd w:val="clear" w:color="auto" w:fill="EAF9E8"/>
          </w:tcPr>
          <w:p>
            <w:pPr>
              <w:spacing w:after="0"/>
              <w:rPr>
                <w:sz w:val="12"/>
                <w:szCs w:val="12"/>
                <w:color w:val="auto"/>
              </w:rPr>
            </w:pPr>
          </w:p>
        </w:tc>
        <w:tc>
          <w:tcPr>
            <w:tcW w:w="80" w:type="dxa"/>
            <w:vAlign w:val="bottom"/>
            <w:shd w:val="clear" w:color="auto" w:fill="EAF9E8"/>
          </w:tcPr>
          <w:p>
            <w:pPr>
              <w:spacing w:after="0"/>
              <w:rPr>
                <w:sz w:val="12"/>
                <w:szCs w:val="12"/>
                <w:color w:val="auto"/>
              </w:rPr>
            </w:pPr>
          </w:p>
        </w:tc>
        <w:tc>
          <w:tcPr>
            <w:tcW w:w="600" w:type="dxa"/>
            <w:vAlign w:val="bottom"/>
            <w:shd w:val="clear" w:color="auto" w:fill="EAF9E8"/>
          </w:tcPr>
          <w:p>
            <w:pPr>
              <w:spacing w:after="0"/>
              <w:rPr>
                <w:sz w:val="12"/>
                <w:szCs w:val="12"/>
                <w:color w:val="auto"/>
              </w:rPr>
            </w:pPr>
          </w:p>
        </w:tc>
        <w:tc>
          <w:tcPr>
            <w:tcW w:w="22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620" w:type="dxa"/>
            <w:vAlign w:val="bottom"/>
            <w:shd w:val="clear" w:color="auto" w:fill="EAF9E8"/>
          </w:tcPr>
          <w:p>
            <w:pPr>
              <w:spacing w:after="0"/>
              <w:rPr>
                <w:sz w:val="12"/>
                <w:szCs w:val="12"/>
                <w:color w:val="auto"/>
              </w:rPr>
            </w:pPr>
          </w:p>
        </w:tc>
        <w:tc>
          <w:tcPr>
            <w:tcW w:w="220" w:type="dxa"/>
            <w:vAlign w:val="bottom"/>
            <w:shd w:val="clear" w:color="auto" w:fill="EAF9E8"/>
          </w:tcPr>
          <w:p>
            <w:pPr>
              <w:spacing w:after="0"/>
              <w:rPr>
                <w:sz w:val="12"/>
                <w:szCs w:val="12"/>
                <w:color w:val="auto"/>
              </w:rPr>
            </w:pPr>
          </w:p>
        </w:tc>
        <w:tc>
          <w:tcPr>
            <w:tcW w:w="80" w:type="dxa"/>
            <w:vAlign w:val="bottom"/>
            <w:shd w:val="clear" w:color="auto" w:fill="EAF9E8"/>
          </w:tcPr>
          <w:p>
            <w:pPr>
              <w:spacing w:after="0"/>
              <w:rPr>
                <w:sz w:val="12"/>
                <w:szCs w:val="12"/>
                <w:color w:val="auto"/>
              </w:rPr>
            </w:pPr>
          </w:p>
        </w:tc>
        <w:tc>
          <w:tcPr>
            <w:tcW w:w="600" w:type="dxa"/>
            <w:vAlign w:val="bottom"/>
            <w:shd w:val="clear" w:color="auto" w:fill="EAF9E8"/>
          </w:tcPr>
          <w:p>
            <w:pPr>
              <w:spacing w:after="0"/>
              <w:rPr>
                <w:sz w:val="12"/>
                <w:szCs w:val="12"/>
                <w:color w:val="auto"/>
              </w:rPr>
            </w:pPr>
          </w:p>
        </w:tc>
        <w:tc>
          <w:tcPr>
            <w:tcW w:w="60" w:type="dxa"/>
            <w:vAlign w:val="bottom"/>
            <w:shd w:val="clear" w:color="auto" w:fill="EAF9E8"/>
          </w:tcPr>
          <w:p>
            <w:pPr>
              <w:spacing w:after="0"/>
              <w:rPr>
                <w:sz w:val="12"/>
                <w:szCs w:val="12"/>
                <w:color w:val="auto"/>
              </w:rPr>
            </w:pPr>
          </w:p>
        </w:tc>
        <w:tc>
          <w:tcPr>
            <w:tcW w:w="160" w:type="dxa"/>
            <w:vAlign w:val="bottom"/>
            <w:shd w:val="clear" w:color="auto" w:fill="EAF9E8"/>
          </w:tcPr>
          <w:p>
            <w:pPr>
              <w:spacing w:after="0"/>
              <w:rPr>
                <w:sz w:val="12"/>
                <w:szCs w:val="12"/>
                <w:color w:val="auto"/>
              </w:rPr>
            </w:pPr>
          </w:p>
        </w:tc>
        <w:tc>
          <w:tcPr>
            <w:tcW w:w="80" w:type="dxa"/>
            <w:vAlign w:val="bottom"/>
            <w:shd w:val="clear" w:color="auto" w:fill="EAF9E8"/>
          </w:tcPr>
          <w:p>
            <w:pPr>
              <w:spacing w:after="0"/>
              <w:rPr>
                <w:sz w:val="12"/>
                <w:szCs w:val="12"/>
                <w:color w:val="auto"/>
              </w:rPr>
            </w:pPr>
          </w:p>
        </w:tc>
        <w:tc>
          <w:tcPr>
            <w:tcW w:w="620" w:type="dxa"/>
            <w:vAlign w:val="bottom"/>
            <w:shd w:val="clear" w:color="auto" w:fill="EAF9E8"/>
          </w:tcPr>
          <w:p>
            <w:pPr>
              <w:spacing w:after="0"/>
              <w:rPr>
                <w:sz w:val="12"/>
                <w:szCs w:val="12"/>
                <w:color w:val="auto"/>
              </w:rPr>
            </w:pPr>
          </w:p>
        </w:tc>
        <w:tc>
          <w:tcPr>
            <w:tcW w:w="160" w:type="dxa"/>
            <w:vAlign w:val="bottom"/>
            <w:shd w:val="clear" w:color="auto" w:fill="EAF9E8"/>
          </w:tcPr>
          <w:p>
            <w:pPr>
              <w:spacing w:after="0"/>
              <w:rPr>
                <w:sz w:val="12"/>
                <w:szCs w:val="12"/>
                <w:color w:val="auto"/>
              </w:rPr>
            </w:pPr>
          </w:p>
        </w:tc>
        <w:tc>
          <w:tcPr>
            <w:tcW w:w="4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600" w:type="dxa"/>
            <w:vAlign w:val="bottom"/>
            <w:shd w:val="clear" w:color="auto" w:fill="EAF9E8"/>
          </w:tcPr>
          <w:p>
            <w:pPr>
              <w:spacing w:after="0"/>
              <w:rPr>
                <w:sz w:val="12"/>
                <w:szCs w:val="12"/>
                <w:color w:val="auto"/>
              </w:rPr>
            </w:pPr>
          </w:p>
        </w:tc>
        <w:tc>
          <w:tcPr>
            <w:tcW w:w="220" w:type="dxa"/>
            <w:vAlign w:val="bottom"/>
            <w:shd w:val="clear" w:color="auto" w:fill="EAF9E8"/>
          </w:tcPr>
          <w:p>
            <w:pPr>
              <w:spacing w:after="0"/>
              <w:rPr>
                <w:sz w:val="12"/>
                <w:szCs w:val="12"/>
                <w:color w:val="auto"/>
              </w:rPr>
            </w:pPr>
          </w:p>
        </w:tc>
        <w:tc>
          <w:tcPr>
            <w:tcW w:w="60" w:type="dxa"/>
            <w:vAlign w:val="bottom"/>
            <w:shd w:val="clear" w:color="auto" w:fill="EAF9E8"/>
          </w:tcPr>
          <w:p>
            <w:pPr>
              <w:spacing w:after="0"/>
              <w:rPr>
                <w:sz w:val="12"/>
                <w:szCs w:val="12"/>
                <w:color w:val="auto"/>
              </w:rPr>
            </w:pPr>
          </w:p>
        </w:tc>
        <w:tc>
          <w:tcPr>
            <w:tcW w:w="64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120" w:type="dxa"/>
            <w:vAlign w:val="bottom"/>
            <w:shd w:val="clear" w:color="auto" w:fill="EAF9E8"/>
          </w:tcPr>
          <w:p>
            <w:pPr>
              <w:spacing w:after="0"/>
              <w:rPr>
                <w:sz w:val="12"/>
                <w:szCs w:val="12"/>
                <w:color w:val="auto"/>
              </w:rPr>
            </w:pPr>
          </w:p>
        </w:tc>
        <w:tc>
          <w:tcPr>
            <w:tcW w:w="60" w:type="dxa"/>
            <w:vAlign w:val="bottom"/>
            <w:shd w:val="clear" w:color="auto" w:fill="EAF9E8"/>
          </w:tcPr>
          <w:p>
            <w:pPr>
              <w:spacing w:after="0"/>
              <w:rPr>
                <w:sz w:val="12"/>
                <w:szCs w:val="12"/>
                <w:color w:val="auto"/>
              </w:rPr>
            </w:pPr>
          </w:p>
        </w:tc>
        <w:tc>
          <w:tcPr>
            <w:tcW w:w="640" w:type="dxa"/>
            <w:vAlign w:val="bottom"/>
            <w:shd w:val="clear" w:color="auto" w:fill="EAF9E8"/>
          </w:tcPr>
          <w:p>
            <w:pPr>
              <w:spacing w:after="0"/>
              <w:rPr>
                <w:sz w:val="12"/>
                <w:szCs w:val="12"/>
                <w:color w:val="auto"/>
              </w:rPr>
            </w:pPr>
          </w:p>
        </w:tc>
        <w:tc>
          <w:tcPr>
            <w:tcW w:w="14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80" w:type="dxa"/>
            <w:vAlign w:val="bottom"/>
            <w:shd w:val="clear" w:color="auto" w:fill="EAF9E8"/>
          </w:tcPr>
          <w:p>
            <w:pPr>
              <w:spacing w:after="0"/>
              <w:rPr>
                <w:sz w:val="12"/>
                <w:szCs w:val="12"/>
                <w:color w:val="auto"/>
              </w:rPr>
            </w:pPr>
          </w:p>
        </w:tc>
        <w:tc>
          <w:tcPr>
            <w:tcW w:w="660" w:type="dxa"/>
            <w:vAlign w:val="bottom"/>
            <w:shd w:val="clear" w:color="auto" w:fill="EAF9E8"/>
          </w:tcPr>
          <w:p>
            <w:pPr>
              <w:spacing w:after="0"/>
              <w:rPr>
                <w:sz w:val="12"/>
                <w:szCs w:val="12"/>
                <w:color w:val="auto"/>
              </w:rPr>
            </w:pPr>
          </w:p>
        </w:tc>
        <w:tc>
          <w:tcPr>
            <w:tcW w:w="120" w:type="dxa"/>
            <w:vAlign w:val="bottom"/>
            <w:shd w:val="clear" w:color="auto" w:fill="EAF9E8"/>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40" w:type="dxa"/>
            <w:vAlign w:val="bottom"/>
          </w:tcPr>
          <w:p>
            <w:pPr>
              <w:ind w:left="160"/>
              <w:spacing w:after="0" w:line="149" w:lineRule="exact"/>
              <w:rPr>
                <w:sz w:val="20"/>
                <w:szCs w:val="20"/>
                <w:color w:val="auto"/>
              </w:rPr>
            </w:pPr>
            <w:r>
              <w:rPr>
                <w:rFonts w:ascii="Arial" w:cs="Arial" w:eastAsia="Arial" w:hAnsi="Arial"/>
                <w:sz w:val="14"/>
                <w:szCs w:val="14"/>
                <w:color w:val="auto"/>
              </w:rPr>
              <w:t>Cash</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8</w:t>
            </w:r>
          </w:p>
        </w:tc>
        <w:tc>
          <w:tcPr>
            <w:tcW w:w="2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141</w:t>
            </w:r>
          </w:p>
        </w:tc>
        <w:tc>
          <w:tcPr>
            <w:tcW w:w="32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264</w:t>
            </w:r>
          </w:p>
        </w:tc>
        <w:tc>
          <w:tcPr>
            <w:tcW w:w="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5,189</w:t>
            </w:r>
          </w:p>
        </w:tc>
        <w:tc>
          <w:tcPr>
            <w:tcW w:w="1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153,253</w:t>
            </w:r>
          </w:p>
        </w:tc>
        <w:tc>
          <w:tcPr>
            <w:tcW w:w="1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80" w:type="dxa"/>
            <w:vAlign w:val="bottom"/>
            <w:gridSpan w:val="2"/>
          </w:tcPr>
          <w:p>
            <w:pPr>
              <w:ind w:left="100"/>
              <w:spacing w:after="0" w:line="149" w:lineRule="exact"/>
              <w:rPr>
                <w:sz w:val="20"/>
                <w:szCs w:val="20"/>
                <w:color w:val="auto"/>
              </w:rPr>
            </w:pPr>
            <w:r>
              <w:rPr>
                <w:rFonts w:ascii="Arial" w:cs="Arial" w:eastAsia="Arial" w:hAnsi="Arial"/>
                <w:sz w:val="14"/>
                <w:szCs w:val="14"/>
                <w:color w:val="auto"/>
                <w:w w:val="76"/>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158,855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40" w:type="dxa"/>
            <w:vAlign w:val="bottom"/>
            <w:shd w:val="clear" w:color="auto" w:fill="EAF9E8"/>
          </w:tcPr>
          <w:p>
            <w:pPr>
              <w:ind w:left="160"/>
              <w:spacing w:after="0" w:line="149" w:lineRule="exact"/>
              <w:rPr>
                <w:sz w:val="20"/>
                <w:szCs w:val="20"/>
                <w:color w:val="auto"/>
              </w:rPr>
            </w:pPr>
            <w:r>
              <w:rPr>
                <w:rFonts w:ascii="Arial" w:cs="Arial" w:eastAsia="Arial" w:hAnsi="Arial"/>
                <w:sz w:val="14"/>
                <w:szCs w:val="14"/>
                <w:color w:val="auto"/>
              </w:rPr>
              <w:t>Cash held for clients</w:t>
            </w:r>
          </w:p>
        </w:tc>
        <w:tc>
          <w:tcPr>
            <w:tcW w:w="80" w:type="dxa"/>
            <w:vAlign w:val="bottom"/>
            <w:shd w:val="clear" w:color="auto" w:fill="EAF9E8"/>
          </w:tcPr>
          <w:p>
            <w:pPr>
              <w:spacing w:after="0"/>
              <w:rPr>
                <w:sz w:val="12"/>
                <w:szCs w:val="12"/>
                <w:color w:val="auto"/>
              </w:rPr>
            </w:pPr>
          </w:p>
        </w:tc>
        <w:tc>
          <w:tcPr>
            <w:tcW w:w="620" w:type="dxa"/>
            <w:vAlign w:val="bottom"/>
            <w:gridSpan w:val="2"/>
            <w:shd w:val="clear" w:color="auto" w:fill="EAF9E8"/>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EAF9E8"/>
          </w:tcPr>
          <w:p>
            <w:pPr>
              <w:spacing w:after="0"/>
              <w:rPr>
                <w:sz w:val="12"/>
                <w:szCs w:val="12"/>
                <w:color w:val="auto"/>
              </w:rPr>
            </w:pPr>
          </w:p>
        </w:tc>
        <w:tc>
          <w:tcPr>
            <w:tcW w:w="80" w:type="dxa"/>
            <w:vAlign w:val="bottom"/>
            <w:shd w:val="clear" w:color="auto" w:fill="EAF9E8"/>
          </w:tcPr>
          <w:p>
            <w:pPr>
              <w:spacing w:after="0"/>
              <w:rPr>
                <w:sz w:val="12"/>
                <w:szCs w:val="12"/>
                <w:color w:val="auto"/>
              </w:rPr>
            </w:pPr>
          </w:p>
        </w:tc>
        <w:tc>
          <w:tcPr>
            <w:tcW w:w="60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840" w:type="dxa"/>
            <w:vAlign w:val="bottom"/>
            <w:gridSpan w:val="2"/>
            <w:shd w:val="clear" w:color="auto" w:fill="EAF9E8"/>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EAF9E8"/>
          </w:tcPr>
          <w:p>
            <w:pPr>
              <w:spacing w:after="0"/>
              <w:rPr>
                <w:sz w:val="12"/>
                <w:szCs w:val="12"/>
                <w:color w:val="auto"/>
              </w:rPr>
            </w:pPr>
          </w:p>
        </w:tc>
        <w:tc>
          <w:tcPr>
            <w:tcW w:w="660" w:type="dxa"/>
            <w:vAlign w:val="bottom"/>
            <w:gridSpan w:val="2"/>
            <w:shd w:val="clear" w:color="auto" w:fill="EAF9E8"/>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EAF9E8"/>
          </w:tcPr>
          <w:p>
            <w:pPr>
              <w:spacing w:after="0"/>
              <w:rPr>
                <w:sz w:val="12"/>
                <w:szCs w:val="12"/>
                <w:color w:val="auto"/>
              </w:rPr>
            </w:pPr>
          </w:p>
        </w:tc>
        <w:tc>
          <w:tcPr>
            <w:tcW w:w="80" w:type="dxa"/>
            <w:vAlign w:val="bottom"/>
            <w:shd w:val="clear" w:color="auto" w:fill="EAF9E8"/>
          </w:tcPr>
          <w:p>
            <w:pPr>
              <w:spacing w:after="0"/>
              <w:rPr>
                <w:sz w:val="12"/>
                <w:szCs w:val="12"/>
                <w:color w:val="auto"/>
              </w:rPr>
            </w:pPr>
          </w:p>
        </w:tc>
        <w:tc>
          <w:tcPr>
            <w:tcW w:w="780" w:type="dxa"/>
            <w:vAlign w:val="bottom"/>
            <w:gridSpan w:val="2"/>
            <w:shd w:val="clear" w:color="auto" w:fill="EAF9E8"/>
          </w:tcPr>
          <w:p>
            <w:pPr>
              <w:jc w:val="right"/>
              <w:ind w:right="160"/>
              <w:spacing w:after="0" w:line="149" w:lineRule="exact"/>
              <w:rPr>
                <w:sz w:val="20"/>
                <w:szCs w:val="20"/>
                <w:color w:val="auto"/>
              </w:rPr>
            </w:pPr>
            <w:r>
              <w:rPr>
                <w:rFonts w:ascii="Arial" w:cs="Arial" w:eastAsia="Arial" w:hAnsi="Arial"/>
                <w:sz w:val="14"/>
                <w:szCs w:val="14"/>
                <w:color w:val="auto"/>
              </w:rPr>
              <w:t>414</w:t>
            </w:r>
          </w:p>
        </w:tc>
        <w:tc>
          <w:tcPr>
            <w:tcW w:w="4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60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EAF9E8"/>
          </w:tcPr>
          <w:p>
            <w:pPr>
              <w:spacing w:after="0"/>
              <w:rPr>
                <w:sz w:val="12"/>
                <w:szCs w:val="12"/>
                <w:color w:val="auto"/>
              </w:rPr>
            </w:pPr>
          </w:p>
        </w:tc>
        <w:tc>
          <w:tcPr>
            <w:tcW w:w="60" w:type="dxa"/>
            <w:vAlign w:val="bottom"/>
            <w:shd w:val="clear" w:color="auto" w:fill="EAF9E8"/>
          </w:tcPr>
          <w:p>
            <w:pPr>
              <w:spacing w:after="0"/>
              <w:rPr>
                <w:sz w:val="12"/>
                <w:szCs w:val="12"/>
                <w:color w:val="auto"/>
              </w:rPr>
            </w:pPr>
          </w:p>
        </w:tc>
        <w:tc>
          <w:tcPr>
            <w:tcW w:w="740" w:type="dxa"/>
            <w:vAlign w:val="bottom"/>
            <w:gridSpan w:val="2"/>
            <w:shd w:val="clear" w:color="auto" w:fill="EAF9E8"/>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EAF9E8"/>
          </w:tcPr>
          <w:p>
            <w:pPr>
              <w:spacing w:after="0"/>
              <w:rPr>
                <w:sz w:val="12"/>
                <w:szCs w:val="12"/>
                <w:color w:val="auto"/>
              </w:rPr>
            </w:pPr>
          </w:p>
        </w:tc>
        <w:tc>
          <w:tcPr>
            <w:tcW w:w="60" w:type="dxa"/>
            <w:vAlign w:val="bottom"/>
            <w:shd w:val="clear" w:color="auto" w:fill="EAF9E8"/>
          </w:tcPr>
          <w:p>
            <w:pPr>
              <w:spacing w:after="0"/>
              <w:rPr>
                <w:sz w:val="12"/>
                <w:szCs w:val="12"/>
                <w:color w:val="auto"/>
              </w:rPr>
            </w:pPr>
          </w:p>
        </w:tc>
        <w:tc>
          <w:tcPr>
            <w:tcW w:w="780" w:type="dxa"/>
            <w:vAlign w:val="bottom"/>
            <w:gridSpan w:val="2"/>
            <w:shd w:val="clear" w:color="auto" w:fill="EAF9E8"/>
          </w:tcPr>
          <w:p>
            <w:pPr>
              <w:jc w:val="right"/>
              <w:ind w:right="80"/>
              <w:spacing w:after="0" w:line="149" w:lineRule="exact"/>
              <w:rPr>
                <w:sz w:val="20"/>
                <w:szCs w:val="20"/>
                <w:color w:val="auto"/>
              </w:rPr>
            </w:pPr>
            <w:r>
              <w:rPr>
                <w:rFonts w:ascii="Arial" w:cs="Arial" w:eastAsia="Arial" w:hAnsi="Arial"/>
                <w:sz w:val="14"/>
                <w:szCs w:val="14"/>
                <w:color w:val="auto"/>
              </w:rPr>
              <w:t>(414)</w:t>
            </w:r>
          </w:p>
        </w:tc>
        <w:tc>
          <w:tcPr>
            <w:tcW w:w="100" w:type="dxa"/>
            <w:vAlign w:val="bottom"/>
            <w:shd w:val="clear" w:color="auto" w:fill="EAF9E8"/>
          </w:tcPr>
          <w:p>
            <w:pPr>
              <w:spacing w:after="0"/>
              <w:rPr>
                <w:sz w:val="12"/>
                <w:szCs w:val="12"/>
                <w:color w:val="auto"/>
              </w:rPr>
            </w:pPr>
          </w:p>
        </w:tc>
        <w:tc>
          <w:tcPr>
            <w:tcW w:w="80" w:type="dxa"/>
            <w:vAlign w:val="bottom"/>
            <w:shd w:val="clear" w:color="auto" w:fill="EAF9E8"/>
          </w:tcPr>
          <w:p>
            <w:pPr>
              <w:spacing w:after="0"/>
              <w:rPr>
                <w:sz w:val="12"/>
                <w:szCs w:val="12"/>
                <w:color w:val="auto"/>
              </w:rPr>
            </w:pPr>
          </w:p>
        </w:tc>
        <w:tc>
          <w:tcPr>
            <w:tcW w:w="780" w:type="dxa"/>
            <w:vAlign w:val="bottom"/>
            <w:gridSpan w:val="2"/>
            <w:shd w:val="clear" w:color="auto" w:fill="EAF9E8"/>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240" w:type="dxa"/>
            <w:vAlign w:val="bottom"/>
          </w:tcPr>
          <w:p>
            <w:pPr>
              <w:ind w:left="160"/>
              <w:spacing w:after="0" w:line="149" w:lineRule="exact"/>
              <w:rPr>
                <w:sz w:val="20"/>
                <w:szCs w:val="20"/>
                <w:color w:val="auto"/>
              </w:rPr>
            </w:pPr>
            <w:r>
              <w:rPr>
                <w:rFonts w:ascii="Arial" w:cs="Arial" w:eastAsia="Arial" w:hAnsi="Arial"/>
                <w:sz w:val="14"/>
                <w:szCs w:val="14"/>
                <w:color w:val="auto"/>
              </w:rPr>
              <w:t>Trading securities:</w:t>
            </w: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40" w:type="dxa"/>
            <w:vAlign w:val="bottom"/>
            <w:shd w:val="clear" w:color="auto" w:fill="EAF9E8"/>
          </w:tcPr>
          <w:p>
            <w:pPr>
              <w:ind w:left="320"/>
              <w:spacing w:after="0" w:line="149" w:lineRule="exact"/>
              <w:rPr>
                <w:sz w:val="20"/>
                <w:szCs w:val="20"/>
                <w:color w:val="auto"/>
              </w:rPr>
            </w:pPr>
            <w:r>
              <w:rPr>
                <w:rFonts w:ascii="Arial" w:cs="Arial" w:eastAsia="Arial" w:hAnsi="Arial"/>
                <w:sz w:val="14"/>
                <w:szCs w:val="14"/>
                <w:color w:val="auto"/>
              </w:rPr>
              <w:t>Investment grade auction rate</w:t>
            </w:r>
          </w:p>
        </w:tc>
        <w:tc>
          <w:tcPr>
            <w:tcW w:w="80" w:type="dxa"/>
            <w:vAlign w:val="bottom"/>
            <w:shd w:val="clear" w:color="auto" w:fill="EAF9E8"/>
          </w:tcPr>
          <w:p>
            <w:pPr>
              <w:spacing w:after="0"/>
              <w:rPr>
                <w:sz w:val="12"/>
                <w:szCs w:val="12"/>
                <w:color w:val="auto"/>
              </w:rPr>
            </w:pPr>
          </w:p>
        </w:tc>
        <w:tc>
          <w:tcPr>
            <w:tcW w:w="620" w:type="dxa"/>
            <w:vAlign w:val="bottom"/>
            <w:gridSpan w:val="2"/>
            <w:shd w:val="clear" w:color="auto" w:fill="EAF9E8"/>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EAF9E8"/>
          </w:tcPr>
          <w:p>
            <w:pPr>
              <w:spacing w:after="0"/>
              <w:rPr>
                <w:sz w:val="12"/>
                <w:szCs w:val="12"/>
                <w:color w:val="auto"/>
              </w:rPr>
            </w:pPr>
          </w:p>
        </w:tc>
        <w:tc>
          <w:tcPr>
            <w:tcW w:w="80" w:type="dxa"/>
            <w:vAlign w:val="bottom"/>
            <w:shd w:val="clear" w:color="auto" w:fill="EAF9E8"/>
          </w:tcPr>
          <w:p>
            <w:pPr>
              <w:spacing w:after="0"/>
              <w:rPr>
                <w:sz w:val="12"/>
                <w:szCs w:val="12"/>
                <w:color w:val="auto"/>
              </w:rPr>
            </w:pPr>
          </w:p>
        </w:tc>
        <w:tc>
          <w:tcPr>
            <w:tcW w:w="60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840" w:type="dxa"/>
            <w:vAlign w:val="bottom"/>
            <w:gridSpan w:val="2"/>
            <w:shd w:val="clear" w:color="auto" w:fill="EAF9E8"/>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EAF9E8"/>
          </w:tcPr>
          <w:p>
            <w:pPr>
              <w:spacing w:after="0"/>
              <w:rPr>
                <w:sz w:val="12"/>
                <w:szCs w:val="12"/>
                <w:color w:val="auto"/>
              </w:rPr>
            </w:pPr>
          </w:p>
        </w:tc>
        <w:tc>
          <w:tcPr>
            <w:tcW w:w="660" w:type="dxa"/>
            <w:vAlign w:val="bottom"/>
            <w:gridSpan w:val="2"/>
            <w:shd w:val="clear" w:color="auto" w:fill="EAF9E8"/>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EAF9E8"/>
          </w:tcPr>
          <w:p>
            <w:pPr>
              <w:spacing w:after="0"/>
              <w:rPr>
                <w:sz w:val="12"/>
                <w:szCs w:val="12"/>
                <w:color w:val="auto"/>
              </w:rPr>
            </w:pPr>
          </w:p>
        </w:tc>
        <w:tc>
          <w:tcPr>
            <w:tcW w:w="80" w:type="dxa"/>
            <w:vAlign w:val="bottom"/>
            <w:shd w:val="clear" w:color="auto" w:fill="EAF9E8"/>
          </w:tcPr>
          <w:p>
            <w:pPr>
              <w:spacing w:after="0"/>
              <w:rPr>
                <w:sz w:val="12"/>
                <w:szCs w:val="12"/>
                <w:color w:val="auto"/>
              </w:rPr>
            </w:pPr>
          </w:p>
        </w:tc>
        <w:tc>
          <w:tcPr>
            <w:tcW w:w="780" w:type="dxa"/>
            <w:vAlign w:val="bottom"/>
            <w:gridSpan w:val="2"/>
            <w:shd w:val="clear" w:color="auto" w:fill="EAF9E8"/>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60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EAF9E8"/>
          </w:tcPr>
          <w:p>
            <w:pPr>
              <w:spacing w:after="0"/>
              <w:rPr>
                <w:sz w:val="12"/>
                <w:szCs w:val="12"/>
                <w:color w:val="auto"/>
              </w:rPr>
            </w:pPr>
          </w:p>
        </w:tc>
        <w:tc>
          <w:tcPr>
            <w:tcW w:w="60" w:type="dxa"/>
            <w:vAlign w:val="bottom"/>
            <w:shd w:val="clear" w:color="auto" w:fill="EAF9E8"/>
          </w:tcPr>
          <w:p>
            <w:pPr>
              <w:spacing w:after="0"/>
              <w:rPr>
                <w:sz w:val="12"/>
                <w:szCs w:val="12"/>
                <w:color w:val="auto"/>
              </w:rPr>
            </w:pPr>
          </w:p>
        </w:tc>
        <w:tc>
          <w:tcPr>
            <w:tcW w:w="740" w:type="dxa"/>
            <w:vAlign w:val="bottom"/>
            <w:gridSpan w:val="2"/>
            <w:shd w:val="clear" w:color="auto" w:fill="EAF9E8"/>
          </w:tcPr>
          <w:p>
            <w:pPr>
              <w:jc w:val="right"/>
              <w:ind w:right="100"/>
              <w:spacing w:after="0" w:line="149" w:lineRule="exact"/>
              <w:rPr>
                <w:sz w:val="20"/>
                <w:szCs w:val="20"/>
                <w:color w:val="auto"/>
              </w:rPr>
            </w:pPr>
            <w:r>
              <w:rPr>
                <w:rFonts w:ascii="Arial" w:cs="Arial" w:eastAsia="Arial" w:hAnsi="Arial"/>
                <w:sz w:val="14"/>
                <w:szCs w:val="14"/>
                <w:color w:val="auto"/>
              </w:rPr>
              <w:t>238,161</w:t>
            </w:r>
          </w:p>
        </w:tc>
        <w:tc>
          <w:tcPr>
            <w:tcW w:w="120" w:type="dxa"/>
            <w:vAlign w:val="bottom"/>
            <w:shd w:val="clear" w:color="auto" w:fill="EAF9E8"/>
          </w:tcPr>
          <w:p>
            <w:pPr>
              <w:spacing w:after="0"/>
              <w:rPr>
                <w:sz w:val="12"/>
                <w:szCs w:val="12"/>
                <w:color w:val="auto"/>
              </w:rPr>
            </w:pPr>
          </w:p>
        </w:tc>
        <w:tc>
          <w:tcPr>
            <w:tcW w:w="60" w:type="dxa"/>
            <w:vAlign w:val="bottom"/>
            <w:shd w:val="clear" w:color="auto" w:fill="EAF9E8"/>
          </w:tcPr>
          <w:p>
            <w:pPr>
              <w:spacing w:after="0"/>
              <w:rPr>
                <w:sz w:val="12"/>
                <w:szCs w:val="12"/>
                <w:color w:val="auto"/>
              </w:rPr>
            </w:pPr>
          </w:p>
        </w:tc>
        <w:tc>
          <w:tcPr>
            <w:tcW w:w="780" w:type="dxa"/>
            <w:vAlign w:val="bottom"/>
            <w:gridSpan w:val="2"/>
            <w:shd w:val="clear" w:color="auto" w:fill="EAF9E8"/>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EAF9E8"/>
          </w:tcPr>
          <w:p>
            <w:pPr>
              <w:spacing w:after="0"/>
              <w:rPr>
                <w:sz w:val="12"/>
                <w:szCs w:val="12"/>
                <w:color w:val="auto"/>
              </w:rPr>
            </w:pPr>
          </w:p>
        </w:tc>
        <w:tc>
          <w:tcPr>
            <w:tcW w:w="80" w:type="dxa"/>
            <w:vAlign w:val="bottom"/>
            <w:shd w:val="clear" w:color="auto" w:fill="EAF9E8"/>
          </w:tcPr>
          <w:p>
            <w:pPr>
              <w:spacing w:after="0"/>
              <w:rPr>
                <w:sz w:val="12"/>
                <w:szCs w:val="12"/>
                <w:color w:val="auto"/>
              </w:rPr>
            </w:pPr>
          </w:p>
        </w:tc>
        <w:tc>
          <w:tcPr>
            <w:tcW w:w="66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rPr>
              <w:t>238,161</w:t>
            </w:r>
          </w:p>
        </w:tc>
        <w:tc>
          <w:tcPr>
            <w:tcW w:w="120" w:type="dxa"/>
            <w:vAlign w:val="bottom"/>
            <w:shd w:val="clear" w:color="auto" w:fill="EAF9E8"/>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40" w:type="dxa"/>
            <w:vAlign w:val="bottom"/>
          </w:tcPr>
          <w:p>
            <w:pPr>
              <w:ind w:left="320"/>
              <w:spacing w:after="0" w:line="149" w:lineRule="exact"/>
              <w:rPr>
                <w:sz w:val="20"/>
                <w:szCs w:val="20"/>
                <w:color w:val="auto"/>
              </w:rPr>
            </w:pPr>
            <w:r>
              <w:rPr>
                <w:rFonts w:ascii="Arial" w:cs="Arial" w:eastAsia="Arial" w:hAnsi="Arial"/>
                <w:sz w:val="14"/>
                <w:szCs w:val="14"/>
                <w:color w:val="auto"/>
              </w:rPr>
              <w:t>Subordinates and residuals</w:t>
            </w:r>
          </w:p>
        </w:tc>
        <w:tc>
          <w:tcPr>
            <w:tcW w:w="80" w:type="dxa"/>
            <w:vAlign w:val="bottom"/>
          </w:tcPr>
          <w:p>
            <w:pPr>
              <w:spacing w:after="0"/>
              <w:rPr>
                <w:sz w:val="12"/>
                <w:szCs w:val="12"/>
                <w:color w:val="auto"/>
              </w:rPr>
            </w:pPr>
          </w:p>
        </w:tc>
        <w:tc>
          <w:tcPr>
            <w:tcW w:w="6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3,921</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107</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4,028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40" w:type="dxa"/>
            <w:vAlign w:val="bottom"/>
            <w:shd w:val="clear" w:color="auto" w:fill="EAF9E8"/>
          </w:tcPr>
          <w:p>
            <w:pPr>
              <w:ind w:left="160"/>
              <w:spacing w:after="0" w:line="149" w:lineRule="exact"/>
              <w:rPr>
                <w:sz w:val="20"/>
                <w:szCs w:val="20"/>
                <w:color w:val="auto"/>
              </w:rPr>
            </w:pPr>
            <w:r>
              <w:rPr>
                <w:rFonts w:ascii="Arial" w:cs="Arial" w:eastAsia="Arial" w:hAnsi="Arial"/>
                <w:sz w:val="14"/>
                <w:szCs w:val="14"/>
                <w:color w:val="auto"/>
              </w:rPr>
              <w:t>Loans held for resale</w:t>
            </w:r>
          </w:p>
        </w:tc>
        <w:tc>
          <w:tcPr>
            <w:tcW w:w="80" w:type="dxa"/>
            <w:vAlign w:val="bottom"/>
            <w:shd w:val="clear" w:color="auto" w:fill="EAF9E8"/>
          </w:tcPr>
          <w:p>
            <w:pPr>
              <w:spacing w:after="0"/>
              <w:rPr>
                <w:sz w:val="12"/>
                <w:szCs w:val="12"/>
                <w:color w:val="auto"/>
              </w:rPr>
            </w:pPr>
          </w:p>
        </w:tc>
        <w:tc>
          <w:tcPr>
            <w:tcW w:w="620" w:type="dxa"/>
            <w:vAlign w:val="bottom"/>
            <w:gridSpan w:val="2"/>
            <w:shd w:val="clear" w:color="auto" w:fill="EAF9E8"/>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EAF9E8"/>
          </w:tcPr>
          <w:p>
            <w:pPr>
              <w:spacing w:after="0"/>
              <w:rPr>
                <w:sz w:val="12"/>
                <w:szCs w:val="12"/>
                <w:color w:val="auto"/>
              </w:rPr>
            </w:pPr>
          </w:p>
        </w:tc>
        <w:tc>
          <w:tcPr>
            <w:tcW w:w="80" w:type="dxa"/>
            <w:vAlign w:val="bottom"/>
            <w:shd w:val="clear" w:color="auto" w:fill="EAF9E8"/>
          </w:tcPr>
          <w:p>
            <w:pPr>
              <w:spacing w:after="0"/>
              <w:rPr>
                <w:sz w:val="12"/>
                <w:szCs w:val="12"/>
                <w:color w:val="auto"/>
              </w:rPr>
            </w:pPr>
          </w:p>
        </w:tc>
        <w:tc>
          <w:tcPr>
            <w:tcW w:w="60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rPr>
              <w:t>44,670</w:t>
            </w:r>
          </w:p>
        </w:tc>
        <w:tc>
          <w:tcPr>
            <w:tcW w:w="22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840" w:type="dxa"/>
            <w:vAlign w:val="bottom"/>
            <w:gridSpan w:val="2"/>
            <w:shd w:val="clear" w:color="auto" w:fill="EAF9E8"/>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EAF9E8"/>
          </w:tcPr>
          <w:p>
            <w:pPr>
              <w:spacing w:after="0"/>
              <w:rPr>
                <w:sz w:val="12"/>
                <w:szCs w:val="12"/>
                <w:color w:val="auto"/>
              </w:rPr>
            </w:pPr>
          </w:p>
        </w:tc>
        <w:tc>
          <w:tcPr>
            <w:tcW w:w="660" w:type="dxa"/>
            <w:vAlign w:val="bottom"/>
            <w:gridSpan w:val="2"/>
            <w:shd w:val="clear" w:color="auto" w:fill="EAF9E8"/>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EAF9E8"/>
          </w:tcPr>
          <w:p>
            <w:pPr>
              <w:spacing w:after="0"/>
              <w:rPr>
                <w:sz w:val="12"/>
                <w:szCs w:val="12"/>
                <w:color w:val="auto"/>
              </w:rPr>
            </w:pPr>
          </w:p>
        </w:tc>
        <w:tc>
          <w:tcPr>
            <w:tcW w:w="80" w:type="dxa"/>
            <w:vAlign w:val="bottom"/>
            <w:shd w:val="clear" w:color="auto" w:fill="EAF9E8"/>
          </w:tcPr>
          <w:p>
            <w:pPr>
              <w:spacing w:after="0"/>
              <w:rPr>
                <w:sz w:val="12"/>
                <w:szCs w:val="12"/>
                <w:color w:val="auto"/>
              </w:rPr>
            </w:pPr>
          </w:p>
        </w:tc>
        <w:tc>
          <w:tcPr>
            <w:tcW w:w="780" w:type="dxa"/>
            <w:vAlign w:val="bottom"/>
            <w:gridSpan w:val="2"/>
            <w:shd w:val="clear" w:color="auto" w:fill="EAF9E8"/>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60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EAF9E8"/>
          </w:tcPr>
          <w:p>
            <w:pPr>
              <w:spacing w:after="0"/>
              <w:rPr>
                <w:sz w:val="12"/>
                <w:szCs w:val="12"/>
                <w:color w:val="auto"/>
              </w:rPr>
            </w:pPr>
          </w:p>
        </w:tc>
        <w:tc>
          <w:tcPr>
            <w:tcW w:w="60" w:type="dxa"/>
            <w:vAlign w:val="bottom"/>
            <w:shd w:val="clear" w:color="auto" w:fill="EAF9E8"/>
          </w:tcPr>
          <w:p>
            <w:pPr>
              <w:spacing w:after="0"/>
              <w:rPr>
                <w:sz w:val="12"/>
                <w:szCs w:val="12"/>
                <w:color w:val="auto"/>
              </w:rPr>
            </w:pPr>
          </w:p>
        </w:tc>
        <w:tc>
          <w:tcPr>
            <w:tcW w:w="740" w:type="dxa"/>
            <w:vAlign w:val="bottom"/>
            <w:gridSpan w:val="2"/>
            <w:shd w:val="clear" w:color="auto" w:fill="EAF9E8"/>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EAF9E8"/>
          </w:tcPr>
          <w:p>
            <w:pPr>
              <w:spacing w:after="0"/>
              <w:rPr>
                <w:sz w:val="12"/>
                <w:szCs w:val="12"/>
                <w:color w:val="auto"/>
              </w:rPr>
            </w:pPr>
          </w:p>
        </w:tc>
        <w:tc>
          <w:tcPr>
            <w:tcW w:w="60" w:type="dxa"/>
            <w:vAlign w:val="bottom"/>
            <w:shd w:val="clear" w:color="auto" w:fill="EAF9E8"/>
          </w:tcPr>
          <w:p>
            <w:pPr>
              <w:spacing w:after="0"/>
              <w:rPr>
                <w:sz w:val="12"/>
                <w:szCs w:val="12"/>
                <w:color w:val="auto"/>
              </w:rPr>
            </w:pPr>
          </w:p>
        </w:tc>
        <w:tc>
          <w:tcPr>
            <w:tcW w:w="780" w:type="dxa"/>
            <w:vAlign w:val="bottom"/>
            <w:gridSpan w:val="2"/>
            <w:shd w:val="clear" w:color="auto" w:fill="EAF9E8"/>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EAF9E8"/>
          </w:tcPr>
          <w:p>
            <w:pPr>
              <w:spacing w:after="0"/>
              <w:rPr>
                <w:sz w:val="12"/>
                <w:szCs w:val="12"/>
                <w:color w:val="auto"/>
              </w:rPr>
            </w:pPr>
          </w:p>
        </w:tc>
        <w:tc>
          <w:tcPr>
            <w:tcW w:w="80" w:type="dxa"/>
            <w:vAlign w:val="bottom"/>
            <w:shd w:val="clear" w:color="auto" w:fill="EAF9E8"/>
          </w:tcPr>
          <w:p>
            <w:pPr>
              <w:spacing w:after="0"/>
              <w:rPr>
                <w:sz w:val="12"/>
                <w:szCs w:val="12"/>
                <w:color w:val="auto"/>
              </w:rPr>
            </w:pPr>
          </w:p>
        </w:tc>
        <w:tc>
          <w:tcPr>
            <w:tcW w:w="66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rPr>
              <w:t>44,670</w:t>
            </w:r>
          </w:p>
        </w:tc>
        <w:tc>
          <w:tcPr>
            <w:tcW w:w="120" w:type="dxa"/>
            <w:vAlign w:val="bottom"/>
            <w:shd w:val="clear" w:color="auto" w:fill="EAF9E8"/>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40" w:type="dxa"/>
            <w:vAlign w:val="bottom"/>
          </w:tcPr>
          <w:p>
            <w:pPr>
              <w:ind w:left="160"/>
              <w:spacing w:after="0" w:line="149" w:lineRule="exact"/>
              <w:rPr>
                <w:sz w:val="20"/>
                <w:szCs w:val="20"/>
                <w:color w:val="auto"/>
              </w:rPr>
            </w:pPr>
            <w:r>
              <w:rPr>
                <w:rFonts w:ascii="Arial" w:cs="Arial" w:eastAsia="Arial" w:hAnsi="Arial"/>
                <w:sz w:val="14"/>
                <w:szCs w:val="14"/>
                <w:color w:val="auto"/>
              </w:rPr>
              <w:t>Advances</w:t>
            </w:r>
          </w:p>
        </w:tc>
        <w:tc>
          <w:tcPr>
            <w:tcW w:w="80" w:type="dxa"/>
            <w:vAlign w:val="bottom"/>
          </w:tcPr>
          <w:p>
            <w:pPr>
              <w:spacing w:after="0"/>
              <w:rPr>
                <w:sz w:val="12"/>
                <w:szCs w:val="12"/>
                <w:color w:val="auto"/>
              </w:rPr>
            </w:pPr>
          </w:p>
        </w:tc>
        <w:tc>
          <w:tcPr>
            <w:tcW w:w="6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167,644</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4,689</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126</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172,459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40" w:type="dxa"/>
            <w:vAlign w:val="bottom"/>
            <w:shd w:val="clear" w:color="auto" w:fill="EAF9E8"/>
          </w:tcPr>
          <w:p>
            <w:pPr>
              <w:ind w:left="160"/>
              <w:spacing w:after="0" w:line="149" w:lineRule="exact"/>
              <w:rPr>
                <w:sz w:val="20"/>
                <w:szCs w:val="20"/>
                <w:color w:val="auto"/>
              </w:rPr>
            </w:pPr>
            <w:r>
              <w:rPr>
                <w:rFonts w:ascii="Arial" w:cs="Arial" w:eastAsia="Arial" w:hAnsi="Arial"/>
                <w:sz w:val="14"/>
                <w:szCs w:val="14"/>
                <w:color w:val="auto"/>
              </w:rPr>
              <w:t>Match funded advances</w:t>
            </w:r>
          </w:p>
        </w:tc>
        <w:tc>
          <w:tcPr>
            <w:tcW w:w="80" w:type="dxa"/>
            <w:vAlign w:val="bottom"/>
            <w:shd w:val="clear" w:color="auto" w:fill="EAF9E8"/>
          </w:tcPr>
          <w:p>
            <w:pPr>
              <w:spacing w:after="0"/>
              <w:rPr>
                <w:sz w:val="12"/>
                <w:szCs w:val="12"/>
                <w:color w:val="auto"/>
              </w:rPr>
            </w:pPr>
          </w:p>
        </w:tc>
        <w:tc>
          <w:tcPr>
            <w:tcW w:w="620" w:type="dxa"/>
            <w:vAlign w:val="bottom"/>
            <w:gridSpan w:val="2"/>
            <w:shd w:val="clear" w:color="auto" w:fill="EAF9E8"/>
          </w:tcPr>
          <w:p>
            <w:pPr>
              <w:jc w:val="right"/>
              <w:ind w:right="20"/>
              <w:spacing w:after="0" w:line="149" w:lineRule="exact"/>
              <w:rPr>
                <w:sz w:val="20"/>
                <w:szCs w:val="20"/>
                <w:color w:val="auto"/>
              </w:rPr>
            </w:pPr>
            <w:r>
              <w:rPr>
                <w:rFonts w:ascii="Arial" w:cs="Arial" w:eastAsia="Arial" w:hAnsi="Arial"/>
                <w:sz w:val="14"/>
                <w:szCs w:val="14"/>
                <w:color w:val="auto"/>
              </w:rPr>
              <w:t>881,244</w:t>
            </w:r>
          </w:p>
        </w:tc>
        <w:tc>
          <w:tcPr>
            <w:tcW w:w="200" w:type="dxa"/>
            <w:vAlign w:val="bottom"/>
            <w:shd w:val="clear" w:color="auto" w:fill="EAF9E8"/>
          </w:tcPr>
          <w:p>
            <w:pPr>
              <w:spacing w:after="0"/>
              <w:rPr>
                <w:sz w:val="12"/>
                <w:szCs w:val="12"/>
                <w:color w:val="auto"/>
              </w:rPr>
            </w:pPr>
          </w:p>
        </w:tc>
        <w:tc>
          <w:tcPr>
            <w:tcW w:w="80" w:type="dxa"/>
            <w:vAlign w:val="bottom"/>
            <w:shd w:val="clear" w:color="auto" w:fill="EAF9E8"/>
          </w:tcPr>
          <w:p>
            <w:pPr>
              <w:spacing w:after="0"/>
              <w:rPr>
                <w:sz w:val="12"/>
                <w:szCs w:val="12"/>
                <w:color w:val="auto"/>
              </w:rPr>
            </w:pPr>
          </w:p>
        </w:tc>
        <w:tc>
          <w:tcPr>
            <w:tcW w:w="60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840" w:type="dxa"/>
            <w:vAlign w:val="bottom"/>
            <w:gridSpan w:val="2"/>
            <w:shd w:val="clear" w:color="auto" w:fill="EAF9E8"/>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EAF9E8"/>
          </w:tcPr>
          <w:p>
            <w:pPr>
              <w:spacing w:after="0"/>
              <w:rPr>
                <w:sz w:val="12"/>
                <w:szCs w:val="12"/>
                <w:color w:val="auto"/>
              </w:rPr>
            </w:pPr>
          </w:p>
        </w:tc>
        <w:tc>
          <w:tcPr>
            <w:tcW w:w="660" w:type="dxa"/>
            <w:vAlign w:val="bottom"/>
            <w:gridSpan w:val="2"/>
            <w:shd w:val="clear" w:color="auto" w:fill="EAF9E8"/>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EAF9E8"/>
          </w:tcPr>
          <w:p>
            <w:pPr>
              <w:spacing w:after="0"/>
              <w:rPr>
                <w:sz w:val="12"/>
                <w:szCs w:val="12"/>
                <w:color w:val="auto"/>
              </w:rPr>
            </w:pPr>
          </w:p>
        </w:tc>
        <w:tc>
          <w:tcPr>
            <w:tcW w:w="80" w:type="dxa"/>
            <w:vAlign w:val="bottom"/>
            <w:shd w:val="clear" w:color="auto" w:fill="EAF9E8"/>
          </w:tcPr>
          <w:p>
            <w:pPr>
              <w:spacing w:after="0"/>
              <w:rPr>
                <w:sz w:val="12"/>
                <w:szCs w:val="12"/>
                <w:color w:val="auto"/>
              </w:rPr>
            </w:pPr>
          </w:p>
        </w:tc>
        <w:tc>
          <w:tcPr>
            <w:tcW w:w="780" w:type="dxa"/>
            <w:vAlign w:val="bottom"/>
            <w:gridSpan w:val="2"/>
            <w:shd w:val="clear" w:color="auto" w:fill="EAF9E8"/>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60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EAF9E8"/>
          </w:tcPr>
          <w:p>
            <w:pPr>
              <w:spacing w:after="0"/>
              <w:rPr>
                <w:sz w:val="12"/>
                <w:szCs w:val="12"/>
                <w:color w:val="auto"/>
              </w:rPr>
            </w:pPr>
          </w:p>
        </w:tc>
        <w:tc>
          <w:tcPr>
            <w:tcW w:w="60" w:type="dxa"/>
            <w:vAlign w:val="bottom"/>
            <w:shd w:val="clear" w:color="auto" w:fill="EAF9E8"/>
          </w:tcPr>
          <w:p>
            <w:pPr>
              <w:spacing w:after="0"/>
              <w:rPr>
                <w:sz w:val="12"/>
                <w:szCs w:val="12"/>
                <w:color w:val="auto"/>
              </w:rPr>
            </w:pPr>
          </w:p>
        </w:tc>
        <w:tc>
          <w:tcPr>
            <w:tcW w:w="740" w:type="dxa"/>
            <w:vAlign w:val="bottom"/>
            <w:gridSpan w:val="2"/>
            <w:shd w:val="clear" w:color="auto" w:fill="EAF9E8"/>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EAF9E8"/>
          </w:tcPr>
          <w:p>
            <w:pPr>
              <w:spacing w:after="0"/>
              <w:rPr>
                <w:sz w:val="12"/>
                <w:szCs w:val="12"/>
                <w:color w:val="auto"/>
              </w:rPr>
            </w:pPr>
          </w:p>
        </w:tc>
        <w:tc>
          <w:tcPr>
            <w:tcW w:w="60" w:type="dxa"/>
            <w:vAlign w:val="bottom"/>
            <w:shd w:val="clear" w:color="auto" w:fill="EAF9E8"/>
          </w:tcPr>
          <w:p>
            <w:pPr>
              <w:spacing w:after="0"/>
              <w:rPr>
                <w:sz w:val="12"/>
                <w:szCs w:val="12"/>
                <w:color w:val="auto"/>
              </w:rPr>
            </w:pPr>
          </w:p>
        </w:tc>
        <w:tc>
          <w:tcPr>
            <w:tcW w:w="780" w:type="dxa"/>
            <w:vAlign w:val="bottom"/>
            <w:gridSpan w:val="2"/>
            <w:shd w:val="clear" w:color="auto" w:fill="EAF9E8"/>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EAF9E8"/>
          </w:tcPr>
          <w:p>
            <w:pPr>
              <w:spacing w:after="0"/>
              <w:rPr>
                <w:sz w:val="12"/>
                <w:szCs w:val="12"/>
                <w:color w:val="auto"/>
              </w:rPr>
            </w:pPr>
          </w:p>
        </w:tc>
        <w:tc>
          <w:tcPr>
            <w:tcW w:w="80" w:type="dxa"/>
            <w:vAlign w:val="bottom"/>
            <w:shd w:val="clear" w:color="auto" w:fill="EAF9E8"/>
          </w:tcPr>
          <w:p>
            <w:pPr>
              <w:spacing w:after="0"/>
              <w:rPr>
                <w:sz w:val="12"/>
                <w:szCs w:val="12"/>
                <w:color w:val="auto"/>
              </w:rPr>
            </w:pPr>
          </w:p>
        </w:tc>
        <w:tc>
          <w:tcPr>
            <w:tcW w:w="66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rPr>
              <w:t>881,244</w:t>
            </w:r>
          </w:p>
        </w:tc>
        <w:tc>
          <w:tcPr>
            <w:tcW w:w="120" w:type="dxa"/>
            <w:vAlign w:val="bottom"/>
            <w:shd w:val="clear" w:color="auto" w:fill="EAF9E8"/>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40" w:type="dxa"/>
            <w:vAlign w:val="bottom"/>
          </w:tcPr>
          <w:p>
            <w:pPr>
              <w:ind w:left="160"/>
              <w:spacing w:after="0" w:line="149" w:lineRule="exact"/>
              <w:rPr>
                <w:sz w:val="20"/>
                <w:szCs w:val="20"/>
                <w:color w:val="auto"/>
              </w:rPr>
            </w:pPr>
            <w:r>
              <w:rPr>
                <w:rFonts w:ascii="Arial" w:cs="Arial" w:eastAsia="Arial" w:hAnsi="Arial"/>
                <w:sz w:val="14"/>
                <w:szCs w:val="14"/>
                <w:color w:val="auto"/>
              </w:rPr>
              <w:t>Mortgage servicing rights</w:t>
            </w:r>
          </w:p>
        </w:tc>
        <w:tc>
          <w:tcPr>
            <w:tcW w:w="80" w:type="dxa"/>
            <w:vAlign w:val="bottom"/>
          </w:tcPr>
          <w:p>
            <w:pPr>
              <w:spacing w:after="0"/>
              <w:rPr>
                <w:sz w:val="12"/>
                <w:szCs w:val="12"/>
                <w:color w:val="auto"/>
              </w:rPr>
            </w:pPr>
          </w:p>
        </w:tc>
        <w:tc>
          <w:tcPr>
            <w:tcW w:w="6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140,603</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140,603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40" w:type="dxa"/>
            <w:vAlign w:val="bottom"/>
            <w:shd w:val="clear" w:color="auto" w:fill="EAF9E8"/>
          </w:tcPr>
          <w:p>
            <w:pPr>
              <w:ind w:left="160"/>
              <w:spacing w:after="0" w:line="149" w:lineRule="exact"/>
              <w:rPr>
                <w:sz w:val="20"/>
                <w:szCs w:val="20"/>
                <w:color w:val="auto"/>
              </w:rPr>
            </w:pPr>
            <w:r>
              <w:rPr>
                <w:rFonts w:ascii="Arial" w:cs="Arial" w:eastAsia="Arial" w:hAnsi="Arial"/>
                <w:sz w:val="14"/>
                <w:szCs w:val="14"/>
                <w:color w:val="auto"/>
              </w:rPr>
              <w:t>Receivables</w:t>
            </w:r>
          </w:p>
        </w:tc>
        <w:tc>
          <w:tcPr>
            <w:tcW w:w="80" w:type="dxa"/>
            <w:vAlign w:val="bottom"/>
            <w:shd w:val="clear" w:color="auto" w:fill="EAF9E8"/>
          </w:tcPr>
          <w:p>
            <w:pPr>
              <w:spacing w:after="0"/>
              <w:rPr>
                <w:sz w:val="12"/>
                <w:szCs w:val="12"/>
                <w:color w:val="auto"/>
              </w:rPr>
            </w:pPr>
          </w:p>
        </w:tc>
        <w:tc>
          <w:tcPr>
            <w:tcW w:w="620" w:type="dxa"/>
            <w:vAlign w:val="bottom"/>
            <w:gridSpan w:val="2"/>
            <w:shd w:val="clear" w:color="auto" w:fill="EAF9E8"/>
          </w:tcPr>
          <w:p>
            <w:pPr>
              <w:jc w:val="right"/>
              <w:ind w:right="20"/>
              <w:spacing w:after="0" w:line="149" w:lineRule="exact"/>
              <w:rPr>
                <w:sz w:val="20"/>
                <w:szCs w:val="20"/>
                <w:color w:val="auto"/>
              </w:rPr>
            </w:pPr>
            <w:r>
              <w:rPr>
                <w:rFonts w:ascii="Arial" w:cs="Arial" w:eastAsia="Arial" w:hAnsi="Arial"/>
                <w:sz w:val="14"/>
                <w:szCs w:val="14"/>
                <w:color w:val="auto"/>
              </w:rPr>
              <w:t>15,343</w:t>
            </w:r>
          </w:p>
        </w:tc>
        <w:tc>
          <w:tcPr>
            <w:tcW w:w="200" w:type="dxa"/>
            <w:vAlign w:val="bottom"/>
            <w:shd w:val="clear" w:color="auto" w:fill="EAF9E8"/>
          </w:tcPr>
          <w:p>
            <w:pPr>
              <w:spacing w:after="0"/>
              <w:rPr>
                <w:sz w:val="12"/>
                <w:szCs w:val="12"/>
                <w:color w:val="auto"/>
              </w:rPr>
            </w:pPr>
          </w:p>
        </w:tc>
        <w:tc>
          <w:tcPr>
            <w:tcW w:w="80" w:type="dxa"/>
            <w:vAlign w:val="bottom"/>
            <w:shd w:val="clear" w:color="auto" w:fill="EAF9E8"/>
          </w:tcPr>
          <w:p>
            <w:pPr>
              <w:spacing w:after="0"/>
              <w:rPr>
                <w:sz w:val="12"/>
                <w:szCs w:val="12"/>
                <w:color w:val="auto"/>
              </w:rPr>
            </w:pPr>
          </w:p>
        </w:tc>
        <w:tc>
          <w:tcPr>
            <w:tcW w:w="60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rPr>
              <w:t>1,369</w:t>
            </w:r>
          </w:p>
        </w:tc>
        <w:tc>
          <w:tcPr>
            <w:tcW w:w="22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62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rPr>
              <w:t>854</w:t>
            </w:r>
          </w:p>
        </w:tc>
        <w:tc>
          <w:tcPr>
            <w:tcW w:w="220" w:type="dxa"/>
            <w:vAlign w:val="bottom"/>
            <w:shd w:val="clear" w:color="auto" w:fill="EAF9E8"/>
          </w:tcPr>
          <w:p>
            <w:pPr>
              <w:spacing w:after="0"/>
              <w:rPr>
                <w:sz w:val="12"/>
                <w:szCs w:val="12"/>
                <w:color w:val="auto"/>
              </w:rPr>
            </w:pPr>
          </w:p>
        </w:tc>
        <w:tc>
          <w:tcPr>
            <w:tcW w:w="80" w:type="dxa"/>
            <w:vAlign w:val="bottom"/>
            <w:shd w:val="clear" w:color="auto" w:fill="EAF9E8"/>
          </w:tcPr>
          <w:p>
            <w:pPr>
              <w:spacing w:after="0"/>
              <w:rPr>
                <w:sz w:val="12"/>
                <w:szCs w:val="12"/>
                <w:color w:val="auto"/>
              </w:rPr>
            </w:pPr>
          </w:p>
        </w:tc>
        <w:tc>
          <w:tcPr>
            <w:tcW w:w="660" w:type="dxa"/>
            <w:vAlign w:val="bottom"/>
            <w:gridSpan w:val="2"/>
            <w:shd w:val="clear" w:color="auto" w:fill="EAF9E8"/>
          </w:tcPr>
          <w:p>
            <w:pPr>
              <w:jc w:val="right"/>
              <w:ind w:right="60"/>
              <w:spacing w:after="0" w:line="149" w:lineRule="exact"/>
              <w:rPr>
                <w:sz w:val="20"/>
                <w:szCs w:val="20"/>
                <w:color w:val="auto"/>
              </w:rPr>
            </w:pPr>
            <w:r>
              <w:rPr>
                <w:rFonts w:ascii="Arial" w:cs="Arial" w:eastAsia="Arial" w:hAnsi="Arial"/>
                <w:sz w:val="14"/>
                <w:szCs w:val="14"/>
                <w:color w:val="auto"/>
              </w:rPr>
              <w:t>3,702</w:t>
            </w:r>
          </w:p>
        </w:tc>
        <w:tc>
          <w:tcPr>
            <w:tcW w:w="160" w:type="dxa"/>
            <w:vAlign w:val="bottom"/>
            <w:shd w:val="clear" w:color="auto" w:fill="EAF9E8"/>
          </w:tcPr>
          <w:p>
            <w:pPr>
              <w:spacing w:after="0"/>
              <w:rPr>
                <w:sz w:val="12"/>
                <w:szCs w:val="12"/>
                <w:color w:val="auto"/>
              </w:rPr>
            </w:pPr>
          </w:p>
        </w:tc>
        <w:tc>
          <w:tcPr>
            <w:tcW w:w="80" w:type="dxa"/>
            <w:vAlign w:val="bottom"/>
            <w:shd w:val="clear" w:color="auto" w:fill="EAF9E8"/>
          </w:tcPr>
          <w:p>
            <w:pPr>
              <w:spacing w:after="0"/>
              <w:rPr>
                <w:sz w:val="12"/>
                <w:szCs w:val="12"/>
                <w:color w:val="auto"/>
              </w:rPr>
            </w:pPr>
          </w:p>
        </w:tc>
        <w:tc>
          <w:tcPr>
            <w:tcW w:w="780" w:type="dxa"/>
            <w:vAlign w:val="bottom"/>
            <w:gridSpan w:val="2"/>
            <w:shd w:val="clear" w:color="auto" w:fill="EAF9E8"/>
          </w:tcPr>
          <w:p>
            <w:pPr>
              <w:jc w:val="right"/>
              <w:ind w:right="160"/>
              <w:spacing w:after="0" w:line="149" w:lineRule="exact"/>
              <w:rPr>
                <w:sz w:val="20"/>
                <w:szCs w:val="20"/>
                <w:color w:val="auto"/>
              </w:rPr>
            </w:pPr>
            <w:r>
              <w:rPr>
                <w:rFonts w:ascii="Arial" w:cs="Arial" w:eastAsia="Arial" w:hAnsi="Arial"/>
                <w:sz w:val="14"/>
                <w:szCs w:val="14"/>
                <w:color w:val="auto"/>
              </w:rPr>
              <w:t>5,703</w:t>
            </w:r>
          </w:p>
        </w:tc>
        <w:tc>
          <w:tcPr>
            <w:tcW w:w="4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60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rPr>
              <w:t>776</w:t>
            </w:r>
          </w:p>
        </w:tc>
        <w:tc>
          <w:tcPr>
            <w:tcW w:w="220" w:type="dxa"/>
            <w:vAlign w:val="bottom"/>
            <w:shd w:val="clear" w:color="auto" w:fill="EAF9E8"/>
          </w:tcPr>
          <w:p>
            <w:pPr>
              <w:spacing w:after="0"/>
              <w:rPr>
                <w:sz w:val="12"/>
                <w:szCs w:val="12"/>
                <w:color w:val="auto"/>
              </w:rPr>
            </w:pPr>
          </w:p>
        </w:tc>
        <w:tc>
          <w:tcPr>
            <w:tcW w:w="60" w:type="dxa"/>
            <w:vAlign w:val="bottom"/>
            <w:shd w:val="clear" w:color="auto" w:fill="EAF9E8"/>
          </w:tcPr>
          <w:p>
            <w:pPr>
              <w:spacing w:after="0"/>
              <w:rPr>
                <w:sz w:val="12"/>
                <w:szCs w:val="12"/>
                <w:color w:val="auto"/>
              </w:rPr>
            </w:pPr>
          </w:p>
        </w:tc>
        <w:tc>
          <w:tcPr>
            <w:tcW w:w="740" w:type="dxa"/>
            <w:vAlign w:val="bottom"/>
            <w:gridSpan w:val="2"/>
            <w:shd w:val="clear" w:color="auto" w:fill="EAF9E8"/>
          </w:tcPr>
          <w:p>
            <w:pPr>
              <w:jc w:val="right"/>
              <w:ind w:right="100"/>
              <w:spacing w:after="0" w:line="149" w:lineRule="exact"/>
              <w:rPr>
                <w:sz w:val="20"/>
                <w:szCs w:val="20"/>
                <w:color w:val="auto"/>
              </w:rPr>
            </w:pPr>
            <w:r>
              <w:rPr>
                <w:rFonts w:ascii="Arial" w:cs="Arial" w:eastAsia="Arial" w:hAnsi="Arial"/>
                <w:sz w:val="14"/>
                <w:szCs w:val="14"/>
                <w:color w:val="auto"/>
              </w:rPr>
              <w:t>21,686</w:t>
            </w:r>
          </w:p>
        </w:tc>
        <w:tc>
          <w:tcPr>
            <w:tcW w:w="120" w:type="dxa"/>
            <w:vAlign w:val="bottom"/>
            <w:shd w:val="clear" w:color="auto" w:fill="EAF9E8"/>
          </w:tcPr>
          <w:p>
            <w:pPr>
              <w:spacing w:after="0"/>
              <w:rPr>
                <w:sz w:val="12"/>
                <w:szCs w:val="12"/>
                <w:color w:val="auto"/>
              </w:rPr>
            </w:pPr>
          </w:p>
        </w:tc>
        <w:tc>
          <w:tcPr>
            <w:tcW w:w="60" w:type="dxa"/>
            <w:vAlign w:val="bottom"/>
            <w:shd w:val="clear" w:color="auto" w:fill="EAF9E8"/>
          </w:tcPr>
          <w:p>
            <w:pPr>
              <w:spacing w:after="0"/>
              <w:rPr>
                <w:sz w:val="12"/>
                <w:szCs w:val="12"/>
                <w:color w:val="auto"/>
              </w:rPr>
            </w:pPr>
          </w:p>
        </w:tc>
        <w:tc>
          <w:tcPr>
            <w:tcW w:w="780" w:type="dxa"/>
            <w:vAlign w:val="bottom"/>
            <w:gridSpan w:val="2"/>
            <w:shd w:val="clear" w:color="auto" w:fill="EAF9E8"/>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EAF9E8"/>
          </w:tcPr>
          <w:p>
            <w:pPr>
              <w:spacing w:after="0"/>
              <w:rPr>
                <w:sz w:val="12"/>
                <w:szCs w:val="12"/>
                <w:color w:val="auto"/>
              </w:rPr>
            </w:pPr>
          </w:p>
        </w:tc>
        <w:tc>
          <w:tcPr>
            <w:tcW w:w="80" w:type="dxa"/>
            <w:vAlign w:val="bottom"/>
            <w:shd w:val="clear" w:color="auto" w:fill="EAF9E8"/>
          </w:tcPr>
          <w:p>
            <w:pPr>
              <w:spacing w:after="0"/>
              <w:rPr>
                <w:sz w:val="12"/>
                <w:szCs w:val="12"/>
                <w:color w:val="auto"/>
              </w:rPr>
            </w:pPr>
          </w:p>
        </w:tc>
        <w:tc>
          <w:tcPr>
            <w:tcW w:w="66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rPr>
              <w:t>49,433</w:t>
            </w:r>
          </w:p>
        </w:tc>
        <w:tc>
          <w:tcPr>
            <w:tcW w:w="120" w:type="dxa"/>
            <w:vAlign w:val="bottom"/>
            <w:shd w:val="clear" w:color="auto" w:fill="EAF9E8"/>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40" w:type="dxa"/>
            <w:vAlign w:val="bottom"/>
          </w:tcPr>
          <w:p>
            <w:pPr>
              <w:ind w:left="160"/>
              <w:spacing w:after="0" w:line="149" w:lineRule="exact"/>
              <w:rPr>
                <w:sz w:val="20"/>
                <w:szCs w:val="20"/>
                <w:color w:val="auto"/>
              </w:rPr>
            </w:pPr>
            <w:r>
              <w:rPr>
                <w:rFonts w:ascii="Arial" w:cs="Arial" w:eastAsia="Arial" w:hAnsi="Arial"/>
                <w:sz w:val="14"/>
                <w:szCs w:val="14"/>
                <w:color w:val="auto"/>
              </w:rPr>
              <w:t>Deferred tax asset, net</w:t>
            </w:r>
          </w:p>
        </w:tc>
        <w:tc>
          <w:tcPr>
            <w:tcW w:w="80" w:type="dxa"/>
            <w:vAlign w:val="bottom"/>
          </w:tcPr>
          <w:p>
            <w:pPr>
              <w:spacing w:after="0"/>
              <w:rPr>
                <w:sz w:val="12"/>
                <w:szCs w:val="12"/>
                <w:color w:val="auto"/>
              </w:rPr>
            </w:pPr>
          </w:p>
        </w:tc>
        <w:tc>
          <w:tcPr>
            <w:tcW w:w="6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167,913</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167,913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40" w:type="dxa"/>
            <w:vAlign w:val="bottom"/>
            <w:shd w:val="clear" w:color="auto" w:fill="EAF9E8"/>
          </w:tcPr>
          <w:p>
            <w:pPr>
              <w:ind w:left="160"/>
              <w:spacing w:after="0" w:line="149" w:lineRule="exact"/>
              <w:rPr>
                <w:sz w:val="20"/>
                <w:szCs w:val="20"/>
                <w:color w:val="auto"/>
              </w:rPr>
            </w:pPr>
            <w:r>
              <w:rPr>
                <w:rFonts w:ascii="Arial" w:cs="Arial" w:eastAsia="Arial" w:hAnsi="Arial"/>
                <w:sz w:val="14"/>
                <w:szCs w:val="14"/>
                <w:color w:val="auto"/>
              </w:rPr>
              <w:t>Goodwill and intangibles</w:t>
            </w:r>
          </w:p>
        </w:tc>
        <w:tc>
          <w:tcPr>
            <w:tcW w:w="80" w:type="dxa"/>
            <w:vAlign w:val="bottom"/>
            <w:shd w:val="clear" w:color="auto" w:fill="EAF9E8"/>
          </w:tcPr>
          <w:p>
            <w:pPr>
              <w:spacing w:after="0"/>
              <w:rPr>
                <w:sz w:val="12"/>
                <w:szCs w:val="12"/>
                <w:color w:val="auto"/>
              </w:rPr>
            </w:pPr>
          </w:p>
        </w:tc>
        <w:tc>
          <w:tcPr>
            <w:tcW w:w="620" w:type="dxa"/>
            <w:vAlign w:val="bottom"/>
            <w:gridSpan w:val="2"/>
            <w:shd w:val="clear" w:color="auto" w:fill="EAF9E8"/>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EAF9E8"/>
          </w:tcPr>
          <w:p>
            <w:pPr>
              <w:spacing w:after="0"/>
              <w:rPr>
                <w:sz w:val="12"/>
                <w:szCs w:val="12"/>
                <w:color w:val="auto"/>
              </w:rPr>
            </w:pPr>
          </w:p>
        </w:tc>
        <w:tc>
          <w:tcPr>
            <w:tcW w:w="80" w:type="dxa"/>
            <w:vAlign w:val="bottom"/>
            <w:shd w:val="clear" w:color="auto" w:fill="EAF9E8"/>
          </w:tcPr>
          <w:p>
            <w:pPr>
              <w:spacing w:after="0"/>
              <w:rPr>
                <w:sz w:val="12"/>
                <w:szCs w:val="12"/>
                <w:color w:val="auto"/>
              </w:rPr>
            </w:pPr>
          </w:p>
        </w:tc>
        <w:tc>
          <w:tcPr>
            <w:tcW w:w="60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840" w:type="dxa"/>
            <w:vAlign w:val="bottom"/>
            <w:gridSpan w:val="2"/>
            <w:shd w:val="clear" w:color="auto" w:fill="EAF9E8"/>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EAF9E8"/>
          </w:tcPr>
          <w:p>
            <w:pPr>
              <w:spacing w:after="0"/>
              <w:rPr>
                <w:sz w:val="12"/>
                <w:szCs w:val="12"/>
                <w:color w:val="auto"/>
              </w:rPr>
            </w:pPr>
          </w:p>
        </w:tc>
        <w:tc>
          <w:tcPr>
            <w:tcW w:w="660" w:type="dxa"/>
            <w:vAlign w:val="bottom"/>
            <w:gridSpan w:val="2"/>
            <w:shd w:val="clear" w:color="auto" w:fill="EAF9E8"/>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EAF9E8"/>
          </w:tcPr>
          <w:p>
            <w:pPr>
              <w:spacing w:after="0"/>
              <w:rPr>
                <w:sz w:val="12"/>
                <w:szCs w:val="12"/>
                <w:color w:val="auto"/>
              </w:rPr>
            </w:pPr>
          </w:p>
        </w:tc>
        <w:tc>
          <w:tcPr>
            <w:tcW w:w="80" w:type="dxa"/>
            <w:vAlign w:val="bottom"/>
            <w:shd w:val="clear" w:color="auto" w:fill="EAF9E8"/>
          </w:tcPr>
          <w:p>
            <w:pPr>
              <w:spacing w:after="0"/>
              <w:rPr>
                <w:sz w:val="12"/>
                <w:szCs w:val="12"/>
                <w:color w:val="auto"/>
              </w:rPr>
            </w:pPr>
          </w:p>
        </w:tc>
        <w:tc>
          <w:tcPr>
            <w:tcW w:w="780" w:type="dxa"/>
            <w:vAlign w:val="bottom"/>
            <w:gridSpan w:val="2"/>
            <w:shd w:val="clear" w:color="auto" w:fill="EAF9E8"/>
          </w:tcPr>
          <w:p>
            <w:pPr>
              <w:jc w:val="right"/>
              <w:ind w:right="160"/>
              <w:spacing w:after="0" w:line="149" w:lineRule="exact"/>
              <w:rPr>
                <w:sz w:val="20"/>
                <w:szCs w:val="20"/>
                <w:color w:val="auto"/>
              </w:rPr>
            </w:pPr>
            <w:r>
              <w:rPr>
                <w:rFonts w:ascii="Arial" w:cs="Arial" w:eastAsia="Arial" w:hAnsi="Arial"/>
                <w:sz w:val="14"/>
                <w:szCs w:val="14"/>
                <w:color w:val="auto"/>
              </w:rPr>
              <w:t>43,971</w:t>
            </w:r>
          </w:p>
        </w:tc>
        <w:tc>
          <w:tcPr>
            <w:tcW w:w="4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60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rPr>
              <w:t>1,618</w:t>
            </w:r>
          </w:p>
        </w:tc>
        <w:tc>
          <w:tcPr>
            <w:tcW w:w="220" w:type="dxa"/>
            <w:vAlign w:val="bottom"/>
            <w:shd w:val="clear" w:color="auto" w:fill="EAF9E8"/>
          </w:tcPr>
          <w:p>
            <w:pPr>
              <w:spacing w:after="0"/>
              <w:rPr>
                <w:sz w:val="12"/>
                <w:szCs w:val="12"/>
                <w:color w:val="auto"/>
              </w:rPr>
            </w:pPr>
          </w:p>
        </w:tc>
        <w:tc>
          <w:tcPr>
            <w:tcW w:w="60" w:type="dxa"/>
            <w:vAlign w:val="bottom"/>
            <w:shd w:val="clear" w:color="auto" w:fill="EAF9E8"/>
          </w:tcPr>
          <w:p>
            <w:pPr>
              <w:spacing w:after="0"/>
              <w:rPr>
                <w:sz w:val="12"/>
                <w:szCs w:val="12"/>
                <w:color w:val="auto"/>
              </w:rPr>
            </w:pPr>
          </w:p>
        </w:tc>
        <w:tc>
          <w:tcPr>
            <w:tcW w:w="740" w:type="dxa"/>
            <w:vAlign w:val="bottom"/>
            <w:gridSpan w:val="2"/>
            <w:shd w:val="clear" w:color="auto" w:fill="EAF9E8"/>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EAF9E8"/>
          </w:tcPr>
          <w:p>
            <w:pPr>
              <w:spacing w:after="0"/>
              <w:rPr>
                <w:sz w:val="12"/>
                <w:szCs w:val="12"/>
                <w:color w:val="auto"/>
              </w:rPr>
            </w:pPr>
          </w:p>
        </w:tc>
        <w:tc>
          <w:tcPr>
            <w:tcW w:w="60" w:type="dxa"/>
            <w:vAlign w:val="bottom"/>
            <w:shd w:val="clear" w:color="auto" w:fill="EAF9E8"/>
          </w:tcPr>
          <w:p>
            <w:pPr>
              <w:spacing w:after="0"/>
              <w:rPr>
                <w:sz w:val="12"/>
                <w:szCs w:val="12"/>
                <w:color w:val="auto"/>
              </w:rPr>
            </w:pPr>
          </w:p>
        </w:tc>
        <w:tc>
          <w:tcPr>
            <w:tcW w:w="780" w:type="dxa"/>
            <w:vAlign w:val="bottom"/>
            <w:gridSpan w:val="2"/>
            <w:shd w:val="clear" w:color="auto" w:fill="EAF9E8"/>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EAF9E8"/>
          </w:tcPr>
          <w:p>
            <w:pPr>
              <w:spacing w:after="0"/>
              <w:rPr>
                <w:sz w:val="12"/>
                <w:szCs w:val="12"/>
                <w:color w:val="auto"/>
              </w:rPr>
            </w:pPr>
          </w:p>
        </w:tc>
        <w:tc>
          <w:tcPr>
            <w:tcW w:w="80" w:type="dxa"/>
            <w:vAlign w:val="bottom"/>
            <w:shd w:val="clear" w:color="auto" w:fill="EAF9E8"/>
          </w:tcPr>
          <w:p>
            <w:pPr>
              <w:spacing w:after="0"/>
              <w:rPr>
                <w:sz w:val="12"/>
                <w:szCs w:val="12"/>
                <w:color w:val="auto"/>
              </w:rPr>
            </w:pPr>
          </w:p>
        </w:tc>
        <w:tc>
          <w:tcPr>
            <w:tcW w:w="66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rPr>
              <w:t>45,589</w:t>
            </w:r>
          </w:p>
        </w:tc>
        <w:tc>
          <w:tcPr>
            <w:tcW w:w="120" w:type="dxa"/>
            <w:vAlign w:val="bottom"/>
            <w:shd w:val="clear" w:color="auto" w:fill="EAF9E8"/>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40" w:type="dxa"/>
            <w:vAlign w:val="bottom"/>
          </w:tcPr>
          <w:p>
            <w:pPr>
              <w:ind w:left="160"/>
              <w:spacing w:after="0" w:line="149" w:lineRule="exact"/>
              <w:rPr>
                <w:sz w:val="20"/>
                <w:szCs w:val="20"/>
                <w:color w:val="auto"/>
              </w:rPr>
            </w:pPr>
            <w:r>
              <w:rPr>
                <w:rFonts w:ascii="Arial" w:cs="Arial" w:eastAsia="Arial" w:hAnsi="Arial"/>
                <w:sz w:val="14"/>
                <w:szCs w:val="14"/>
                <w:color w:val="auto"/>
              </w:rPr>
              <w:t>Premises and equipment</w:t>
            </w:r>
          </w:p>
        </w:tc>
        <w:tc>
          <w:tcPr>
            <w:tcW w:w="80" w:type="dxa"/>
            <w:vAlign w:val="bottom"/>
          </w:tcPr>
          <w:p>
            <w:pPr>
              <w:spacing w:after="0"/>
              <w:rPr>
                <w:sz w:val="12"/>
                <w:szCs w:val="12"/>
                <w:color w:val="auto"/>
              </w:rPr>
            </w:pPr>
          </w:p>
        </w:tc>
        <w:tc>
          <w:tcPr>
            <w:tcW w:w="6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55</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12</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3,802</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4,950</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2,980</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11,799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40" w:type="dxa"/>
            <w:vAlign w:val="bottom"/>
            <w:shd w:val="clear" w:color="auto" w:fill="EAF9E8"/>
          </w:tcPr>
          <w:p>
            <w:pPr>
              <w:ind w:left="160"/>
              <w:spacing w:after="0" w:line="149" w:lineRule="exact"/>
              <w:rPr>
                <w:sz w:val="20"/>
                <w:szCs w:val="20"/>
                <w:color w:val="auto"/>
              </w:rPr>
            </w:pPr>
            <w:r>
              <w:rPr>
                <w:rFonts w:ascii="Arial" w:cs="Arial" w:eastAsia="Arial" w:hAnsi="Arial"/>
                <w:sz w:val="14"/>
                <w:szCs w:val="14"/>
                <w:color w:val="auto"/>
              </w:rPr>
              <w:t>Investment in unconsolidated entities</w:t>
            </w:r>
          </w:p>
        </w:tc>
        <w:tc>
          <w:tcPr>
            <w:tcW w:w="80" w:type="dxa"/>
            <w:vAlign w:val="bottom"/>
            <w:shd w:val="clear" w:color="auto" w:fill="EAF9E8"/>
          </w:tcPr>
          <w:p>
            <w:pPr>
              <w:spacing w:after="0"/>
              <w:rPr>
                <w:sz w:val="12"/>
                <w:szCs w:val="12"/>
                <w:color w:val="auto"/>
              </w:rPr>
            </w:pPr>
          </w:p>
        </w:tc>
        <w:tc>
          <w:tcPr>
            <w:tcW w:w="620" w:type="dxa"/>
            <w:vAlign w:val="bottom"/>
            <w:gridSpan w:val="2"/>
            <w:shd w:val="clear" w:color="auto" w:fill="EAF9E8"/>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EAF9E8"/>
          </w:tcPr>
          <w:p>
            <w:pPr>
              <w:spacing w:after="0"/>
              <w:rPr>
                <w:sz w:val="12"/>
                <w:szCs w:val="12"/>
                <w:color w:val="auto"/>
              </w:rPr>
            </w:pPr>
          </w:p>
        </w:tc>
        <w:tc>
          <w:tcPr>
            <w:tcW w:w="80" w:type="dxa"/>
            <w:vAlign w:val="bottom"/>
            <w:shd w:val="clear" w:color="auto" w:fill="EAF9E8"/>
          </w:tcPr>
          <w:p>
            <w:pPr>
              <w:spacing w:after="0"/>
              <w:rPr>
                <w:sz w:val="12"/>
                <w:szCs w:val="12"/>
                <w:color w:val="auto"/>
              </w:rPr>
            </w:pPr>
          </w:p>
        </w:tc>
        <w:tc>
          <w:tcPr>
            <w:tcW w:w="60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62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rPr>
              <w:t>22,036</w:t>
            </w:r>
          </w:p>
        </w:tc>
        <w:tc>
          <w:tcPr>
            <w:tcW w:w="220" w:type="dxa"/>
            <w:vAlign w:val="bottom"/>
            <w:shd w:val="clear" w:color="auto" w:fill="EAF9E8"/>
          </w:tcPr>
          <w:p>
            <w:pPr>
              <w:spacing w:after="0"/>
              <w:rPr>
                <w:sz w:val="12"/>
                <w:szCs w:val="12"/>
                <w:color w:val="auto"/>
              </w:rPr>
            </w:pPr>
          </w:p>
        </w:tc>
        <w:tc>
          <w:tcPr>
            <w:tcW w:w="80" w:type="dxa"/>
            <w:vAlign w:val="bottom"/>
            <w:shd w:val="clear" w:color="auto" w:fill="EAF9E8"/>
          </w:tcPr>
          <w:p>
            <w:pPr>
              <w:spacing w:after="0"/>
              <w:rPr>
                <w:sz w:val="12"/>
                <w:szCs w:val="12"/>
                <w:color w:val="auto"/>
              </w:rPr>
            </w:pPr>
          </w:p>
        </w:tc>
        <w:tc>
          <w:tcPr>
            <w:tcW w:w="660" w:type="dxa"/>
            <w:vAlign w:val="bottom"/>
            <w:gridSpan w:val="2"/>
            <w:shd w:val="clear" w:color="auto" w:fill="EAF9E8"/>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EAF9E8"/>
          </w:tcPr>
          <w:p>
            <w:pPr>
              <w:spacing w:after="0"/>
              <w:rPr>
                <w:sz w:val="12"/>
                <w:szCs w:val="12"/>
                <w:color w:val="auto"/>
              </w:rPr>
            </w:pPr>
          </w:p>
        </w:tc>
        <w:tc>
          <w:tcPr>
            <w:tcW w:w="80" w:type="dxa"/>
            <w:vAlign w:val="bottom"/>
            <w:shd w:val="clear" w:color="auto" w:fill="EAF9E8"/>
          </w:tcPr>
          <w:p>
            <w:pPr>
              <w:spacing w:after="0"/>
              <w:rPr>
                <w:sz w:val="12"/>
                <w:szCs w:val="12"/>
                <w:color w:val="auto"/>
              </w:rPr>
            </w:pPr>
          </w:p>
        </w:tc>
        <w:tc>
          <w:tcPr>
            <w:tcW w:w="780" w:type="dxa"/>
            <w:vAlign w:val="bottom"/>
            <w:gridSpan w:val="2"/>
            <w:shd w:val="clear" w:color="auto" w:fill="EAF9E8"/>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60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EAF9E8"/>
          </w:tcPr>
          <w:p>
            <w:pPr>
              <w:spacing w:after="0"/>
              <w:rPr>
                <w:sz w:val="12"/>
                <w:szCs w:val="12"/>
                <w:color w:val="auto"/>
              </w:rPr>
            </w:pPr>
          </w:p>
        </w:tc>
        <w:tc>
          <w:tcPr>
            <w:tcW w:w="60" w:type="dxa"/>
            <w:vAlign w:val="bottom"/>
            <w:shd w:val="clear" w:color="auto" w:fill="EAF9E8"/>
          </w:tcPr>
          <w:p>
            <w:pPr>
              <w:spacing w:after="0"/>
              <w:rPr>
                <w:sz w:val="12"/>
                <w:szCs w:val="12"/>
                <w:color w:val="auto"/>
              </w:rPr>
            </w:pPr>
          </w:p>
        </w:tc>
        <w:tc>
          <w:tcPr>
            <w:tcW w:w="740" w:type="dxa"/>
            <w:vAlign w:val="bottom"/>
            <w:gridSpan w:val="2"/>
            <w:shd w:val="clear" w:color="auto" w:fill="EAF9E8"/>
          </w:tcPr>
          <w:p>
            <w:pPr>
              <w:jc w:val="right"/>
              <w:ind w:right="100"/>
              <w:spacing w:after="0" w:line="149" w:lineRule="exact"/>
              <w:rPr>
                <w:sz w:val="20"/>
                <w:szCs w:val="20"/>
                <w:color w:val="auto"/>
              </w:rPr>
            </w:pPr>
            <w:r>
              <w:rPr>
                <w:rFonts w:ascii="Arial" w:cs="Arial" w:eastAsia="Arial" w:hAnsi="Arial"/>
                <w:sz w:val="14"/>
                <w:szCs w:val="14"/>
                <w:color w:val="auto"/>
              </w:rPr>
              <w:t>79</w:t>
            </w:r>
          </w:p>
        </w:tc>
        <w:tc>
          <w:tcPr>
            <w:tcW w:w="120" w:type="dxa"/>
            <w:vAlign w:val="bottom"/>
            <w:shd w:val="clear" w:color="auto" w:fill="EAF9E8"/>
          </w:tcPr>
          <w:p>
            <w:pPr>
              <w:spacing w:after="0"/>
              <w:rPr>
                <w:sz w:val="12"/>
                <w:szCs w:val="12"/>
                <w:color w:val="auto"/>
              </w:rPr>
            </w:pPr>
          </w:p>
        </w:tc>
        <w:tc>
          <w:tcPr>
            <w:tcW w:w="60" w:type="dxa"/>
            <w:vAlign w:val="bottom"/>
            <w:shd w:val="clear" w:color="auto" w:fill="EAF9E8"/>
          </w:tcPr>
          <w:p>
            <w:pPr>
              <w:spacing w:after="0"/>
              <w:rPr>
                <w:sz w:val="12"/>
                <w:szCs w:val="12"/>
                <w:color w:val="auto"/>
              </w:rPr>
            </w:pPr>
          </w:p>
        </w:tc>
        <w:tc>
          <w:tcPr>
            <w:tcW w:w="780" w:type="dxa"/>
            <w:vAlign w:val="bottom"/>
            <w:gridSpan w:val="2"/>
            <w:shd w:val="clear" w:color="auto" w:fill="EAF9E8"/>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EAF9E8"/>
          </w:tcPr>
          <w:p>
            <w:pPr>
              <w:spacing w:after="0"/>
              <w:rPr>
                <w:sz w:val="12"/>
                <w:szCs w:val="12"/>
                <w:color w:val="auto"/>
              </w:rPr>
            </w:pPr>
          </w:p>
        </w:tc>
        <w:tc>
          <w:tcPr>
            <w:tcW w:w="80" w:type="dxa"/>
            <w:vAlign w:val="bottom"/>
            <w:shd w:val="clear" w:color="auto" w:fill="EAF9E8"/>
          </w:tcPr>
          <w:p>
            <w:pPr>
              <w:spacing w:after="0"/>
              <w:rPr>
                <w:sz w:val="12"/>
                <w:szCs w:val="12"/>
                <w:color w:val="auto"/>
              </w:rPr>
            </w:pPr>
          </w:p>
        </w:tc>
        <w:tc>
          <w:tcPr>
            <w:tcW w:w="66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rPr>
              <w:t>22,115</w:t>
            </w:r>
          </w:p>
        </w:tc>
        <w:tc>
          <w:tcPr>
            <w:tcW w:w="120" w:type="dxa"/>
            <w:vAlign w:val="bottom"/>
            <w:shd w:val="clear" w:color="auto" w:fill="EAF9E8"/>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3240" w:type="dxa"/>
            <w:vAlign w:val="bottom"/>
          </w:tcPr>
          <w:p>
            <w:pPr>
              <w:ind w:left="160"/>
              <w:spacing w:after="0"/>
              <w:rPr>
                <w:sz w:val="20"/>
                <w:szCs w:val="20"/>
                <w:color w:val="auto"/>
              </w:rPr>
            </w:pPr>
            <w:r>
              <w:rPr>
                <w:rFonts w:ascii="Arial" w:cs="Arial" w:eastAsia="Arial" w:hAnsi="Arial"/>
                <w:sz w:val="14"/>
                <w:szCs w:val="14"/>
                <w:color w:val="auto"/>
              </w:rPr>
              <w:t>Other assets</w:t>
            </w:r>
          </w:p>
        </w:tc>
        <w:tc>
          <w:tcPr>
            <w:tcW w:w="80" w:type="dxa"/>
            <w:vAlign w:val="bottom"/>
          </w:tcPr>
          <w:p>
            <w:pPr>
              <w:spacing w:after="0"/>
              <w:rPr>
                <w:sz w:val="14"/>
                <w:szCs w:val="14"/>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4"/>
                <w:szCs w:val="14"/>
                <w:color w:val="auto"/>
              </w:rPr>
              <w:t>74,237</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5,235</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(100)</w:t>
            </w:r>
          </w:p>
        </w:tc>
        <w:tc>
          <w:tcPr>
            <w:tcW w:w="80" w:type="dxa"/>
            <w:vAlign w:val="bottom"/>
          </w:tcPr>
          <w:p>
            <w:pPr>
              <w:spacing w:after="0"/>
              <w:rPr>
                <w:sz w:val="14"/>
                <w:szCs w:val="14"/>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4"/>
                <w:szCs w:val="14"/>
                <w:color w:val="auto"/>
              </w:rPr>
              <w:t>24</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807</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1,145</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4"/>
                <w:szCs w:val="14"/>
                <w:color w:val="auto"/>
              </w:rPr>
              <w:t>11,130</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169</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92,647</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3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gridSpan w:val="2"/>
          </w:tcPr>
          <w:p>
            <w:pPr>
              <w:spacing w:after="0"/>
              <w:rPr>
                <w:sz w:val="19"/>
                <w:szCs w:val="19"/>
                <w:color w:val="auto"/>
              </w:rPr>
            </w:pPr>
          </w:p>
        </w:tc>
        <w:tc>
          <w:tcPr>
            <w:tcW w:w="280" w:type="dxa"/>
            <w:vAlign w:val="bottom"/>
            <w:gridSpan w:val="2"/>
          </w:tcPr>
          <w:p>
            <w:pPr>
              <w:spacing w:after="0"/>
              <w:rPr>
                <w:sz w:val="19"/>
                <w:szCs w:val="19"/>
                <w:color w:val="auto"/>
              </w:rPr>
            </w:pPr>
          </w:p>
        </w:tc>
        <w:tc>
          <w:tcPr>
            <w:tcW w:w="600" w:type="dxa"/>
            <w:vAlign w:val="bottom"/>
          </w:tcPr>
          <w:p>
            <w:pPr>
              <w:spacing w:after="0"/>
              <w:rPr>
                <w:sz w:val="19"/>
                <w:szCs w:val="19"/>
                <w:color w:val="auto"/>
              </w:rPr>
            </w:pPr>
          </w:p>
        </w:tc>
        <w:tc>
          <w:tcPr>
            <w:tcW w:w="320" w:type="dxa"/>
            <w:vAlign w:val="bottom"/>
            <w:gridSpan w:val="2"/>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gridSpan w:val="2"/>
          </w:tcPr>
          <w:p>
            <w:pPr>
              <w:spacing w:after="0"/>
              <w:rPr>
                <w:sz w:val="19"/>
                <w:szCs w:val="19"/>
                <w:color w:val="auto"/>
              </w:rPr>
            </w:pPr>
          </w:p>
        </w:tc>
        <w:tc>
          <w:tcPr>
            <w:tcW w:w="240" w:type="dxa"/>
            <w:vAlign w:val="bottom"/>
            <w:gridSpan w:val="2"/>
          </w:tcPr>
          <w:p>
            <w:pPr>
              <w:spacing w:after="0"/>
              <w:rPr>
                <w:sz w:val="19"/>
                <w:szCs w:val="19"/>
                <w:color w:val="auto"/>
              </w:rPr>
            </w:pPr>
          </w:p>
        </w:tc>
        <w:tc>
          <w:tcPr>
            <w:tcW w:w="780" w:type="dxa"/>
            <w:vAlign w:val="bottom"/>
            <w:gridSpan w:val="2"/>
          </w:tcPr>
          <w:p>
            <w:pPr>
              <w:spacing w:after="0"/>
              <w:rPr>
                <w:sz w:val="19"/>
                <w:szCs w:val="19"/>
                <w:color w:val="auto"/>
              </w:rPr>
            </w:pPr>
          </w:p>
        </w:tc>
        <w:tc>
          <w:tcPr>
            <w:tcW w:w="140" w:type="dxa"/>
            <w:vAlign w:val="bottom"/>
            <w:gridSpan w:val="2"/>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gridSpan w:val="2"/>
          </w:tcPr>
          <w:p>
            <w:pPr>
              <w:spacing w:after="0"/>
              <w:rPr>
                <w:sz w:val="19"/>
                <w:szCs w:val="19"/>
                <w:color w:val="auto"/>
              </w:rPr>
            </w:pPr>
          </w:p>
        </w:tc>
        <w:tc>
          <w:tcPr>
            <w:tcW w:w="740" w:type="dxa"/>
            <w:vAlign w:val="bottom"/>
            <w:gridSpan w:val="2"/>
          </w:tcPr>
          <w:p>
            <w:pPr>
              <w:spacing w:after="0"/>
              <w:rPr>
                <w:sz w:val="19"/>
                <w:szCs w:val="19"/>
                <w:color w:val="auto"/>
              </w:rPr>
            </w:pPr>
          </w:p>
        </w:tc>
        <w:tc>
          <w:tcPr>
            <w:tcW w:w="180" w:type="dxa"/>
            <w:vAlign w:val="bottom"/>
            <w:gridSpan w:val="2"/>
          </w:tcPr>
          <w:p>
            <w:pPr>
              <w:spacing w:after="0"/>
              <w:rPr>
                <w:sz w:val="19"/>
                <w:szCs w:val="19"/>
                <w:color w:val="auto"/>
              </w:rPr>
            </w:pPr>
          </w:p>
        </w:tc>
        <w:tc>
          <w:tcPr>
            <w:tcW w:w="780" w:type="dxa"/>
            <w:vAlign w:val="bottom"/>
            <w:gridSpan w:val="2"/>
          </w:tcPr>
          <w:p>
            <w:pPr>
              <w:spacing w:after="0"/>
              <w:rPr>
                <w:sz w:val="19"/>
                <w:szCs w:val="19"/>
                <w:color w:val="auto"/>
              </w:rPr>
            </w:pPr>
          </w:p>
        </w:tc>
        <w:tc>
          <w:tcPr>
            <w:tcW w:w="180" w:type="dxa"/>
            <w:vAlign w:val="bottom"/>
            <w:gridSpan w:val="2"/>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2"/>
        </w:trPr>
        <w:tc>
          <w:tcPr>
            <w:tcW w:w="3240" w:type="dxa"/>
            <w:vAlign w:val="bottom"/>
            <w:shd w:val="clear" w:color="auto" w:fill="EAF9E8"/>
          </w:tcPr>
          <w:p>
            <w:pPr>
              <w:ind w:left="320"/>
              <w:spacing w:after="0" w:line="142" w:lineRule="exact"/>
              <w:rPr>
                <w:sz w:val="20"/>
                <w:szCs w:val="20"/>
                <w:color w:val="auto"/>
              </w:rPr>
            </w:pPr>
            <w:r>
              <w:rPr>
                <w:rFonts w:ascii="Arial" w:cs="Arial" w:eastAsia="Arial" w:hAnsi="Arial"/>
                <w:sz w:val="14"/>
                <w:szCs w:val="14"/>
                <w:color w:val="auto"/>
              </w:rPr>
              <w:t>Total assets</w:t>
            </w:r>
          </w:p>
        </w:tc>
        <w:tc>
          <w:tcPr>
            <w:tcW w:w="8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tcBorders>
            <w:gridSpan w:val="2"/>
            <w:shd w:val="clear" w:color="auto" w:fill="EAF9E8"/>
          </w:tcPr>
          <w:p>
            <w:pPr>
              <w:jc w:val="right"/>
              <w:ind w:right="20"/>
              <w:spacing w:after="0" w:line="142" w:lineRule="exact"/>
              <w:rPr>
                <w:sz w:val="20"/>
                <w:szCs w:val="20"/>
                <w:color w:val="auto"/>
              </w:rPr>
            </w:pPr>
            <w:r>
              <w:rPr>
                <w:rFonts w:ascii="Arial" w:cs="Arial" w:eastAsia="Arial" w:hAnsi="Arial"/>
                <w:sz w:val="14"/>
                <w:szCs w:val="14"/>
                <w:color w:val="auto"/>
                <w:w w:val="93"/>
              </w:rPr>
              <w:t>1,279,134</w:t>
            </w:r>
          </w:p>
        </w:tc>
        <w:tc>
          <w:tcPr>
            <w:tcW w:w="200" w:type="dxa"/>
            <w:vAlign w:val="bottom"/>
            <w:shd w:val="clear" w:color="auto" w:fill="EAF9E8"/>
          </w:tcPr>
          <w:p>
            <w:pPr>
              <w:spacing w:after="0"/>
              <w:rPr>
                <w:sz w:val="12"/>
                <w:szCs w:val="12"/>
                <w:color w:val="auto"/>
              </w:rPr>
            </w:pPr>
          </w:p>
        </w:tc>
        <w:tc>
          <w:tcPr>
            <w:tcW w:w="8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tcBorders>
            <w:shd w:val="clear" w:color="auto" w:fill="EAF9E8"/>
          </w:tcPr>
          <w:p>
            <w:pPr>
              <w:jc w:val="right"/>
              <w:spacing w:after="0" w:line="142" w:lineRule="exact"/>
              <w:rPr>
                <w:sz w:val="20"/>
                <w:szCs w:val="20"/>
                <w:color w:val="auto"/>
              </w:rPr>
            </w:pPr>
            <w:r>
              <w:rPr>
                <w:rFonts w:ascii="Arial" w:cs="Arial" w:eastAsia="Arial" w:hAnsi="Arial"/>
                <w:sz w:val="14"/>
                <w:szCs w:val="14"/>
                <w:color w:val="auto"/>
              </w:rPr>
              <w:t>60,025</w:t>
            </w:r>
          </w:p>
        </w:tc>
        <w:tc>
          <w:tcPr>
            <w:tcW w:w="220" w:type="dxa"/>
            <w:vAlign w:val="bottom"/>
            <w:shd w:val="clear" w:color="auto" w:fill="EAF9E8"/>
          </w:tcPr>
          <w:p>
            <w:pPr>
              <w:spacing w:after="0"/>
              <w:rPr>
                <w:sz w:val="12"/>
                <w:szCs w:val="12"/>
                <w:color w:val="auto"/>
              </w:rPr>
            </w:pPr>
          </w:p>
        </w:tc>
        <w:tc>
          <w:tcPr>
            <w:tcW w:w="100" w:type="dxa"/>
            <w:vAlign w:val="bottom"/>
            <w:tcBorders>
              <w:top w:val="single" w:sz="8" w:color="auto"/>
            </w:tcBorders>
            <w:shd w:val="clear" w:color="auto" w:fill="EAF9E8"/>
          </w:tcPr>
          <w:p>
            <w:pPr>
              <w:spacing w:after="0" w:line="142" w:lineRule="exact"/>
              <w:rPr>
                <w:sz w:val="20"/>
                <w:szCs w:val="20"/>
                <w:color w:val="auto"/>
              </w:rPr>
            </w:pPr>
            <w:r>
              <w:rPr>
                <w:rFonts w:ascii="Arial" w:cs="Arial" w:eastAsia="Arial" w:hAnsi="Arial"/>
                <w:sz w:val="14"/>
                <w:szCs w:val="14"/>
                <w:color w:val="auto"/>
              </w:rPr>
              <w:t>$</w:t>
            </w:r>
          </w:p>
        </w:tc>
        <w:tc>
          <w:tcPr>
            <w:tcW w:w="620" w:type="dxa"/>
            <w:vAlign w:val="bottom"/>
            <w:tcBorders>
              <w:top w:val="single" w:sz="8" w:color="auto"/>
            </w:tcBorders>
            <w:shd w:val="clear" w:color="auto" w:fill="EAF9E8"/>
          </w:tcPr>
          <w:p>
            <w:pPr>
              <w:jc w:val="right"/>
              <w:spacing w:after="0" w:line="142" w:lineRule="exact"/>
              <w:rPr>
                <w:sz w:val="20"/>
                <w:szCs w:val="20"/>
                <w:color w:val="auto"/>
              </w:rPr>
            </w:pPr>
            <w:r>
              <w:rPr>
                <w:rFonts w:ascii="Arial" w:cs="Arial" w:eastAsia="Arial" w:hAnsi="Arial"/>
                <w:sz w:val="14"/>
                <w:szCs w:val="14"/>
                <w:color w:val="auto"/>
              </w:rPr>
              <w:t>22,790</w:t>
            </w:r>
          </w:p>
        </w:tc>
        <w:tc>
          <w:tcPr>
            <w:tcW w:w="220" w:type="dxa"/>
            <w:vAlign w:val="bottom"/>
            <w:shd w:val="clear" w:color="auto" w:fill="EAF9E8"/>
          </w:tcPr>
          <w:p>
            <w:pPr>
              <w:spacing w:after="0"/>
              <w:rPr>
                <w:sz w:val="12"/>
                <w:szCs w:val="12"/>
                <w:color w:val="auto"/>
              </w:rPr>
            </w:pPr>
          </w:p>
        </w:tc>
        <w:tc>
          <w:tcPr>
            <w:tcW w:w="8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tcBorders>
            <w:shd w:val="clear" w:color="auto" w:fill="EAF9E8"/>
          </w:tcPr>
          <w:p>
            <w:pPr>
              <w:jc w:val="right"/>
              <w:spacing w:after="0" w:line="142" w:lineRule="exact"/>
              <w:rPr>
                <w:sz w:val="20"/>
                <w:szCs w:val="20"/>
                <w:color w:val="auto"/>
              </w:rPr>
            </w:pPr>
            <w:r>
              <w:rPr>
                <w:rFonts w:ascii="Arial" w:cs="Arial" w:eastAsia="Arial" w:hAnsi="Arial"/>
                <w:sz w:val="14"/>
                <w:szCs w:val="14"/>
                <w:color w:val="auto"/>
              </w:rPr>
              <w:t>4,002</w:t>
            </w:r>
          </w:p>
        </w:tc>
        <w:tc>
          <w:tcPr>
            <w:tcW w:w="60" w:type="dxa"/>
            <w:vAlign w:val="bottom"/>
            <w:shd w:val="clear" w:color="auto" w:fill="EAF9E8"/>
          </w:tcPr>
          <w:p>
            <w:pPr>
              <w:spacing w:after="0"/>
              <w:rPr>
                <w:sz w:val="12"/>
                <w:szCs w:val="12"/>
                <w:color w:val="auto"/>
              </w:rPr>
            </w:pPr>
          </w:p>
        </w:tc>
        <w:tc>
          <w:tcPr>
            <w:tcW w:w="160" w:type="dxa"/>
            <w:vAlign w:val="bottom"/>
            <w:shd w:val="clear" w:color="auto" w:fill="EAF9E8"/>
          </w:tcPr>
          <w:p>
            <w:pPr>
              <w:spacing w:after="0"/>
              <w:rPr>
                <w:sz w:val="12"/>
                <w:szCs w:val="12"/>
                <w:color w:val="auto"/>
              </w:rPr>
            </w:pPr>
          </w:p>
        </w:tc>
        <w:tc>
          <w:tcPr>
            <w:tcW w:w="8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tcBorders>
            <w:shd w:val="clear" w:color="auto" w:fill="EAF9E8"/>
          </w:tcPr>
          <w:p>
            <w:pPr>
              <w:jc w:val="right"/>
              <w:spacing w:after="0" w:line="142" w:lineRule="exact"/>
              <w:rPr>
                <w:sz w:val="20"/>
                <w:szCs w:val="20"/>
                <w:color w:val="auto"/>
              </w:rPr>
            </w:pPr>
            <w:r>
              <w:rPr>
                <w:rFonts w:ascii="Arial" w:cs="Arial" w:eastAsia="Arial" w:hAnsi="Arial"/>
                <w:sz w:val="14"/>
                <w:szCs w:val="14"/>
                <w:color w:val="auto"/>
              </w:rPr>
              <w:t>59,886</w:t>
            </w:r>
          </w:p>
        </w:tc>
        <w:tc>
          <w:tcPr>
            <w:tcW w:w="160" w:type="dxa"/>
            <w:vAlign w:val="bottom"/>
            <w:shd w:val="clear" w:color="auto" w:fill="EAF9E8"/>
          </w:tcPr>
          <w:p>
            <w:pPr>
              <w:spacing w:after="0"/>
              <w:rPr>
                <w:sz w:val="12"/>
                <w:szCs w:val="12"/>
                <w:color w:val="auto"/>
              </w:rPr>
            </w:pPr>
          </w:p>
        </w:tc>
        <w:tc>
          <w:tcPr>
            <w:tcW w:w="40" w:type="dxa"/>
            <w:vAlign w:val="bottom"/>
            <w:shd w:val="clear" w:color="auto" w:fill="EAF9E8"/>
          </w:tcPr>
          <w:p>
            <w:pPr>
              <w:spacing w:after="0"/>
              <w:rPr>
                <w:sz w:val="12"/>
                <w:szCs w:val="12"/>
                <w:color w:val="auto"/>
              </w:rPr>
            </w:pPr>
          </w:p>
        </w:tc>
        <w:tc>
          <w:tcPr>
            <w:tcW w:w="100" w:type="dxa"/>
            <w:vAlign w:val="bottom"/>
            <w:tcBorders>
              <w:top w:val="single" w:sz="8" w:color="auto"/>
            </w:tcBorders>
            <w:shd w:val="clear" w:color="auto" w:fill="EAF9E8"/>
          </w:tcPr>
          <w:p>
            <w:pPr>
              <w:jc w:val="right"/>
              <w:spacing w:after="0" w:line="142" w:lineRule="exact"/>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tcBorders>
            <w:shd w:val="clear" w:color="auto" w:fill="EAF9E8"/>
          </w:tcPr>
          <w:p>
            <w:pPr>
              <w:jc w:val="right"/>
              <w:spacing w:after="0" w:line="142" w:lineRule="exact"/>
              <w:rPr>
                <w:sz w:val="20"/>
                <w:szCs w:val="20"/>
                <w:color w:val="auto"/>
              </w:rPr>
            </w:pPr>
            <w:r>
              <w:rPr>
                <w:rFonts w:ascii="Arial" w:cs="Arial" w:eastAsia="Arial" w:hAnsi="Arial"/>
                <w:sz w:val="14"/>
                <w:szCs w:val="14"/>
                <w:color w:val="auto"/>
              </w:rPr>
              <w:t>8,489</w:t>
            </w:r>
          </w:p>
        </w:tc>
        <w:tc>
          <w:tcPr>
            <w:tcW w:w="220" w:type="dxa"/>
            <w:vAlign w:val="bottom"/>
            <w:shd w:val="clear" w:color="auto" w:fill="EAF9E8"/>
          </w:tcPr>
          <w:p>
            <w:pPr>
              <w:spacing w:after="0"/>
              <w:rPr>
                <w:sz w:val="12"/>
                <w:szCs w:val="12"/>
                <w:color w:val="auto"/>
              </w:rPr>
            </w:pPr>
          </w:p>
        </w:tc>
        <w:tc>
          <w:tcPr>
            <w:tcW w:w="6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tcBorders>
            <w:shd w:val="clear" w:color="auto" w:fill="EAF9E8"/>
          </w:tcPr>
          <w:p>
            <w:pPr>
              <w:jc w:val="right"/>
              <w:spacing w:after="0" w:line="142" w:lineRule="exact"/>
              <w:rPr>
                <w:sz w:val="20"/>
                <w:szCs w:val="20"/>
                <w:color w:val="auto"/>
              </w:rPr>
            </w:pPr>
            <w:r>
              <w:rPr>
                <w:rFonts w:ascii="Arial" w:cs="Arial" w:eastAsia="Arial" w:hAnsi="Arial"/>
                <w:sz w:val="14"/>
                <w:szCs w:val="14"/>
                <w:color w:val="auto"/>
              </w:rPr>
              <w:t>595,435</w:t>
            </w:r>
          </w:p>
        </w:tc>
        <w:tc>
          <w:tcPr>
            <w:tcW w:w="100" w:type="dxa"/>
            <w:vAlign w:val="bottom"/>
            <w:shd w:val="clear" w:color="auto" w:fill="EAF9E8"/>
          </w:tcPr>
          <w:p>
            <w:pPr>
              <w:spacing w:after="0"/>
              <w:rPr>
                <w:sz w:val="12"/>
                <w:szCs w:val="12"/>
                <w:color w:val="auto"/>
              </w:rPr>
            </w:pPr>
          </w:p>
        </w:tc>
        <w:tc>
          <w:tcPr>
            <w:tcW w:w="120" w:type="dxa"/>
            <w:vAlign w:val="bottom"/>
            <w:shd w:val="clear" w:color="auto" w:fill="EAF9E8"/>
          </w:tcPr>
          <w:p>
            <w:pPr>
              <w:spacing w:after="0"/>
              <w:rPr>
                <w:sz w:val="12"/>
                <w:szCs w:val="12"/>
                <w:color w:val="auto"/>
              </w:rPr>
            </w:pPr>
          </w:p>
        </w:tc>
        <w:tc>
          <w:tcPr>
            <w:tcW w:w="6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tcBorders>
            <w:shd w:val="clear" w:color="auto" w:fill="EAF9E8"/>
          </w:tcPr>
          <w:p>
            <w:pPr>
              <w:jc w:val="right"/>
              <w:spacing w:after="0" w:line="142" w:lineRule="exact"/>
              <w:rPr>
                <w:sz w:val="20"/>
                <w:szCs w:val="20"/>
                <w:color w:val="auto"/>
              </w:rPr>
            </w:pPr>
            <w:r>
              <w:rPr>
                <w:rFonts w:ascii="Arial" w:cs="Arial" w:eastAsia="Arial" w:hAnsi="Arial"/>
                <w:sz w:val="14"/>
                <w:szCs w:val="14"/>
                <w:color w:val="auto"/>
              </w:rPr>
              <w:t>(245)</w:t>
            </w:r>
          </w:p>
        </w:tc>
        <w:tc>
          <w:tcPr>
            <w:tcW w:w="14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80" w:type="dxa"/>
            <w:vAlign w:val="bottom"/>
            <w:tcBorders>
              <w:top w:val="single" w:sz="8" w:color="auto"/>
            </w:tcBorders>
            <w:shd w:val="clear" w:color="auto" w:fill="EAF9E8"/>
          </w:tcPr>
          <w:p>
            <w:pPr>
              <w:spacing w:after="0" w:line="142" w:lineRule="exact"/>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tcBorders>
            <w:shd w:val="clear" w:color="auto" w:fill="EAF9E8"/>
          </w:tcPr>
          <w:p>
            <w:pPr>
              <w:jc w:val="right"/>
              <w:spacing w:after="0" w:line="142" w:lineRule="exact"/>
              <w:rPr>
                <w:sz w:val="20"/>
                <w:szCs w:val="20"/>
                <w:color w:val="auto"/>
              </w:rPr>
            </w:pPr>
            <w:r>
              <w:rPr>
                <w:rFonts w:ascii="Arial" w:cs="Arial" w:eastAsia="Arial" w:hAnsi="Arial"/>
                <w:sz w:val="14"/>
                <w:szCs w:val="14"/>
                <w:color w:val="auto"/>
              </w:rPr>
              <w:t>2,029,516</w:t>
            </w:r>
          </w:p>
        </w:tc>
        <w:tc>
          <w:tcPr>
            <w:tcW w:w="120" w:type="dxa"/>
            <w:vAlign w:val="bottom"/>
            <w:shd w:val="clear" w:color="auto" w:fill="EAF9E8"/>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3240" w:type="dxa"/>
            <w:vAlign w:val="bottom"/>
            <w:vMerge w:val="restart"/>
          </w:tcPr>
          <w:p>
            <w:pPr>
              <w:spacing w:after="0"/>
              <w:rPr>
                <w:sz w:val="20"/>
                <w:szCs w:val="20"/>
                <w:color w:val="auto"/>
              </w:rPr>
            </w:pPr>
            <w:r>
              <w:rPr>
                <w:rFonts w:ascii="Arial" w:cs="Arial" w:eastAsia="Arial" w:hAnsi="Arial"/>
                <w:sz w:val="14"/>
                <w:szCs w:val="14"/>
                <w:b w:val="1"/>
                <w:bCs w:val="1"/>
                <w:color w:val="auto"/>
              </w:rPr>
              <w:t>Liabilities</w:t>
            </w:r>
          </w:p>
        </w:tc>
        <w:tc>
          <w:tcPr>
            <w:tcW w:w="8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240" w:type="dxa"/>
            <w:vAlign w:val="bottom"/>
            <w:vMerge w:val="continue"/>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324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3240" w:type="dxa"/>
            <w:vAlign w:val="bottom"/>
            <w:shd w:val="clear" w:color="auto" w:fill="EAF9E8"/>
          </w:tcPr>
          <w:p>
            <w:pPr>
              <w:ind w:left="160"/>
              <w:spacing w:after="0" w:line="149" w:lineRule="exact"/>
              <w:rPr>
                <w:sz w:val="20"/>
                <w:szCs w:val="20"/>
                <w:color w:val="auto"/>
              </w:rPr>
            </w:pPr>
            <w:r>
              <w:rPr>
                <w:rFonts w:ascii="Arial" w:cs="Arial" w:eastAsia="Arial" w:hAnsi="Arial"/>
                <w:sz w:val="14"/>
                <w:szCs w:val="14"/>
                <w:color w:val="auto"/>
              </w:rPr>
              <w:t>Match funded liabilities</w:t>
            </w:r>
          </w:p>
        </w:tc>
        <w:tc>
          <w:tcPr>
            <w:tcW w:w="80" w:type="dxa"/>
            <w:vAlign w:val="bottom"/>
            <w:shd w:val="clear" w:color="auto" w:fill="EAF9E8"/>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EAF9E8"/>
          </w:tcPr>
          <w:p>
            <w:pPr>
              <w:jc w:val="right"/>
              <w:ind w:right="20"/>
              <w:spacing w:after="0" w:line="149" w:lineRule="exact"/>
              <w:rPr>
                <w:sz w:val="20"/>
                <w:szCs w:val="20"/>
                <w:color w:val="auto"/>
              </w:rPr>
            </w:pPr>
            <w:r>
              <w:rPr>
                <w:rFonts w:ascii="Arial" w:cs="Arial" w:eastAsia="Arial" w:hAnsi="Arial"/>
                <w:sz w:val="14"/>
                <w:szCs w:val="14"/>
                <w:color w:val="auto"/>
              </w:rPr>
              <w:t>790,300</w:t>
            </w:r>
          </w:p>
        </w:tc>
        <w:tc>
          <w:tcPr>
            <w:tcW w:w="280" w:type="dxa"/>
            <w:vAlign w:val="bottom"/>
            <w:gridSpan w:val="2"/>
            <w:shd w:val="clear" w:color="auto" w:fill="EAF9E8"/>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rPr>
              <w:t>—</w:t>
            </w:r>
          </w:p>
        </w:tc>
        <w:tc>
          <w:tcPr>
            <w:tcW w:w="320" w:type="dxa"/>
            <w:vAlign w:val="bottom"/>
            <w:gridSpan w:val="2"/>
            <w:shd w:val="clear" w:color="auto" w:fill="EAF9E8"/>
          </w:tcPr>
          <w:p>
            <w:pPr>
              <w:ind w:left="22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EAF9E8"/>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EAF9E8"/>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gridSpan w:val="2"/>
            <w:shd w:val="clear" w:color="auto" w:fill="EAF9E8"/>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240" w:type="dxa"/>
            <w:vAlign w:val="bottom"/>
            <w:gridSpan w:val="2"/>
            <w:shd w:val="clear" w:color="auto" w:fill="EAF9E8"/>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EAF9E8"/>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40" w:type="dxa"/>
            <w:vAlign w:val="bottom"/>
            <w:gridSpan w:val="2"/>
            <w:shd w:val="clear" w:color="auto" w:fill="EAF9E8"/>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gridSpan w:val="2"/>
            <w:shd w:val="clear" w:color="auto" w:fill="EAF9E8"/>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EAF9E8"/>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80" w:type="dxa"/>
            <w:vAlign w:val="bottom"/>
            <w:gridSpan w:val="2"/>
            <w:shd w:val="clear" w:color="auto" w:fill="EAF9E8"/>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EAF9E8"/>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80" w:type="dxa"/>
            <w:vAlign w:val="bottom"/>
            <w:gridSpan w:val="2"/>
            <w:shd w:val="clear" w:color="auto" w:fill="EAF9E8"/>
          </w:tcPr>
          <w:p>
            <w:pPr>
              <w:ind w:left="100"/>
              <w:spacing w:after="0" w:line="149" w:lineRule="exact"/>
              <w:rPr>
                <w:sz w:val="20"/>
                <w:szCs w:val="20"/>
                <w:color w:val="auto"/>
              </w:rPr>
            </w:pPr>
            <w:r>
              <w:rPr>
                <w:rFonts w:ascii="Arial" w:cs="Arial" w:eastAsia="Arial" w:hAnsi="Arial"/>
                <w:sz w:val="14"/>
                <w:szCs w:val="14"/>
                <w:color w:val="auto"/>
                <w:w w:val="76"/>
              </w:rPr>
              <w:t>$</w:t>
            </w:r>
          </w:p>
        </w:tc>
        <w:tc>
          <w:tcPr>
            <w:tcW w:w="66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rPr>
              <w:t>790,300</w:t>
            </w:r>
          </w:p>
        </w:tc>
        <w:tc>
          <w:tcPr>
            <w:tcW w:w="120" w:type="dxa"/>
            <w:vAlign w:val="bottom"/>
            <w:shd w:val="clear" w:color="auto" w:fill="EAF9E8"/>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40" w:type="dxa"/>
            <w:vAlign w:val="bottom"/>
          </w:tcPr>
          <w:p>
            <w:pPr>
              <w:ind w:left="320"/>
              <w:spacing w:after="0" w:line="149" w:lineRule="exact"/>
              <w:rPr>
                <w:sz w:val="20"/>
                <w:szCs w:val="20"/>
                <w:color w:val="auto"/>
              </w:rPr>
            </w:pPr>
            <w:r>
              <w:rPr>
                <w:rFonts w:ascii="Arial" w:cs="Arial" w:eastAsia="Arial" w:hAnsi="Arial"/>
                <w:sz w:val="14"/>
                <w:szCs w:val="14"/>
                <w:color w:val="auto"/>
              </w:rPr>
              <w:t>Lines of credit and other secured borrowings</w:t>
            </w:r>
          </w:p>
        </w:tc>
        <w:tc>
          <w:tcPr>
            <w:tcW w:w="80" w:type="dxa"/>
            <w:vAlign w:val="bottom"/>
          </w:tcPr>
          <w:p>
            <w:pPr>
              <w:spacing w:after="0"/>
              <w:rPr>
                <w:sz w:val="12"/>
                <w:szCs w:val="12"/>
                <w:color w:val="auto"/>
              </w:rPr>
            </w:pPr>
          </w:p>
        </w:tc>
        <w:tc>
          <w:tcPr>
            <w:tcW w:w="6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129,363</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14,702</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144,065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40" w:type="dxa"/>
            <w:vAlign w:val="bottom"/>
            <w:shd w:val="clear" w:color="auto" w:fill="EAF9E8"/>
          </w:tcPr>
          <w:p>
            <w:pPr>
              <w:ind w:left="160"/>
              <w:spacing w:after="0" w:line="149" w:lineRule="exact"/>
              <w:rPr>
                <w:sz w:val="20"/>
                <w:szCs w:val="20"/>
                <w:color w:val="auto"/>
              </w:rPr>
            </w:pPr>
            <w:r>
              <w:rPr>
                <w:rFonts w:ascii="Arial" w:cs="Arial" w:eastAsia="Arial" w:hAnsi="Arial"/>
                <w:sz w:val="14"/>
                <w:szCs w:val="14"/>
                <w:color w:val="auto"/>
              </w:rPr>
              <w:t>Investment line</w:t>
            </w:r>
          </w:p>
        </w:tc>
        <w:tc>
          <w:tcPr>
            <w:tcW w:w="80" w:type="dxa"/>
            <w:vAlign w:val="bottom"/>
            <w:shd w:val="clear" w:color="auto" w:fill="EAF9E8"/>
          </w:tcPr>
          <w:p>
            <w:pPr>
              <w:spacing w:after="0"/>
              <w:rPr>
                <w:sz w:val="12"/>
                <w:szCs w:val="12"/>
                <w:color w:val="auto"/>
              </w:rPr>
            </w:pPr>
          </w:p>
        </w:tc>
        <w:tc>
          <w:tcPr>
            <w:tcW w:w="620" w:type="dxa"/>
            <w:vAlign w:val="bottom"/>
            <w:gridSpan w:val="2"/>
            <w:shd w:val="clear" w:color="auto" w:fill="EAF9E8"/>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EAF9E8"/>
          </w:tcPr>
          <w:p>
            <w:pPr>
              <w:spacing w:after="0"/>
              <w:rPr>
                <w:sz w:val="12"/>
                <w:szCs w:val="12"/>
                <w:color w:val="auto"/>
              </w:rPr>
            </w:pPr>
          </w:p>
        </w:tc>
        <w:tc>
          <w:tcPr>
            <w:tcW w:w="80" w:type="dxa"/>
            <w:vAlign w:val="bottom"/>
            <w:shd w:val="clear" w:color="auto" w:fill="EAF9E8"/>
          </w:tcPr>
          <w:p>
            <w:pPr>
              <w:spacing w:after="0"/>
              <w:rPr>
                <w:sz w:val="12"/>
                <w:szCs w:val="12"/>
                <w:color w:val="auto"/>
              </w:rPr>
            </w:pPr>
          </w:p>
        </w:tc>
        <w:tc>
          <w:tcPr>
            <w:tcW w:w="60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840" w:type="dxa"/>
            <w:vAlign w:val="bottom"/>
            <w:gridSpan w:val="2"/>
            <w:shd w:val="clear" w:color="auto" w:fill="EAF9E8"/>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EAF9E8"/>
          </w:tcPr>
          <w:p>
            <w:pPr>
              <w:spacing w:after="0"/>
              <w:rPr>
                <w:sz w:val="12"/>
                <w:szCs w:val="12"/>
                <w:color w:val="auto"/>
              </w:rPr>
            </w:pPr>
          </w:p>
        </w:tc>
        <w:tc>
          <w:tcPr>
            <w:tcW w:w="660" w:type="dxa"/>
            <w:vAlign w:val="bottom"/>
            <w:gridSpan w:val="2"/>
            <w:shd w:val="clear" w:color="auto" w:fill="EAF9E8"/>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EAF9E8"/>
          </w:tcPr>
          <w:p>
            <w:pPr>
              <w:spacing w:after="0"/>
              <w:rPr>
                <w:sz w:val="12"/>
                <w:szCs w:val="12"/>
                <w:color w:val="auto"/>
              </w:rPr>
            </w:pPr>
          </w:p>
        </w:tc>
        <w:tc>
          <w:tcPr>
            <w:tcW w:w="80" w:type="dxa"/>
            <w:vAlign w:val="bottom"/>
            <w:shd w:val="clear" w:color="auto" w:fill="EAF9E8"/>
          </w:tcPr>
          <w:p>
            <w:pPr>
              <w:spacing w:after="0"/>
              <w:rPr>
                <w:sz w:val="12"/>
                <w:szCs w:val="12"/>
                <w:color w:val="auto"/>
              </w:rPr>
            </w:pPr>
          </w:p>
        </w:tc>
        <w:tc>
          <w:tcPr>
            <w:tcW w:w="780" w:type="dxa"/>
            <w:vAlign w:val="bottom"/>
            <w:gridSpan w:val="2"/>
            <w:shd w:val="clear" w:color="auto" w:fill="EAF9E8"/>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60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EAF9E8"/>
          </w:tcPr>
          <w:p>
            <w:pPr>
              <w:spacing w:after="0"/>
              <w:rPr>
                <w:sz w:val="12"/>
                <w:szCs w:val="12"/>
                <w:color w:val="auto"/>
              </w:rPr>
            </w:pPr>
          </w:p>
        </w:tc>
        <w:tc>
          <w:tcPr>
            <w:tcW w:w="60" w:type="dxa"/>
            <w:vAlign w:val="bottom"/>
            <w:shd w:val="clear" w:color="auto" w:fill="EAF9E8"/>
          </w:tcPr>
          <w:p>
            <w:pPr>
              <w:spacing w:after="0"/>
              <w:rPr>
                <w:sz w:val="12"/>
                <w:szCs w:val="12"/>
                <w:color w:val="auto"/>
              </w:rPr>
            </w:pPr>
          </w:p>
        </w:tc>
        <w:tc>
          <w:tcPr>
            <w:tcW w:w="740" w:type="dxa"/>
            <w:vAlign w:val="bottom"/>
            <w:gridSpan w:val="2"/>
            <w:shd w:val="clear" w:color="auto" w:fill="EAF9E8"/>
          </w:tcPr>
          <w:p>
            <w:pPr>
              <w:jc w:val="right"/>
              <w:ind w:right="100"/>
              <w:spacing w:after="0" w:line="149" w:lineRule="exact"/>
              <w:rPr>
                <w:sz w:val="20"/>
                <w:szCs w:val="20"/>
                <w:color w:val="auto"/>
              </w:rPr>
            </w:pPr>
            <w:r>
              <w:rPr>
                <w:rFonts w:ascii="Arial" w:cs="Arial" w:eastAsia="Arial" w:hAnsi="Arial"/>
                <w:sz w:val="14"/>
                <w:szCs w:val="14"/>
                <w:color w:val="auto"/>
              </w:rPr>
              <w:t>186,568</w:t>
            </w:r>
          </w:p>
        </w:tc>
        <w:tc>
          <w:tcPr>
            <w:tcW w:w="120" w:type="dxa"/>
            <w:vAlign w:val="bottom"/>
            <w:shd w:val="clear" w:color="auto" w:fill="EAF9E8"/>
          </w:tcPr>
          <w:p>
            <w:pPr>
              <w:spacing w:after="0"/>
              <w:rPr>
                <w:sz w:val="12"/>
                <w:szCs w:val="12"/>
                <w:color w:val="auto"/>
              </w:rPr>
            </w:pPr>
          </w:p>
        </w:tc>
        <w:tc>
          <w:tcPr>
            <w:tcW w:w="60" w:type="dxa"/>
            <w:vAlign w:val="bottom"/>
            <w:shd w:val="clear" w:color="auto" w:fill="EAF9E8"/>
          </w:tcPr>
          <w:p>
            <w:pPr>
              <w:spacing w:after="0"/>
              <w:rPr>
                <w:sz w:val="12"/>
                <w:szCs w:val="12"/>
                <w:color w:val="auto"/>
              </w:rPr>
            </w:pPr>
          </w:p>
        </w:tc>
        <w:tc>
          <w:tcPr>
            <w:tcW w:w="780" w:type="dxa"/>
            <w:vAlign w:val="bottom"/>
            <w:gridSpan w:val="2"/>
            <w:shd w:val="clear" w:color="auto" w:fill="EAF9E8"/>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EAF9E8"/>
          </w:tcPr>
          <w:p>
            <w:pPr>
              <w:spacing w:after="0"/>
              <w:rPr>
                <w:sz w:val="12"/>
                <w:szCs w:val="12"/>
                <w:color w:val="auto"/>
              </w:rPr>
            </w:pPr>
          </w:p>
        </w:tc>
        <w:tc>
          <w:tcPr>
            <w:tcW w:w="80" w:type="dxa"/>
            <w:vAlign w:val="bottom"/>
            <w:shd w:val="clear" w:color="auto" w:fill="EAF9E8"/>
          </w:tcPr>
          <w:p>
            <w:pPr>
              <w:spacing w:after="0"/>
              <w:rPr>
                <w:sz w:val="12"/>
                <w:szCs w:val="12"/>
                <w:color w:val="auto"/>
              </w:rPr>
            </w:pPr>
          </w:p>
        </w:tc>
        <w:tc>
          <w:tcPr>
            <w:tcW w:w="66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rPr>
              <w:t>186,568</w:t>
            </w:r>
          </w:p>
        </w:tc>
        <w:tc>
          <w:tcPr>
            <w:tcW w:w="120" w:type="dxa"/>
            <w:vAlign w:val="bottom"/>
            <w:shd w:val="clear" w:color="auto" w:fill="EAF9E8"/>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40" w:type="dxa"/>
            <w:vAlign w:val="bottom"/>
          </w:tcPr>
          <w:p>
            <w:pPr>
              <w:ind w:left="160"/>
              <w:spacing w:after="0" w:line="149" w:lineRule="exact"/>
              <w:rPr>
                <w:sz w:val="20"/>
                <w:szCs w:val="20"/>
                <w:color w:val="auto"/>
              </w:rPr>
            </w:pPr>
            <w:r>
              <w:rPr>
                <w:rFonts w:ascii="Arial" w:cs="Arial" w:eastAsia="Arial" w:hAnsi="Arial"/>
                <w:sz w:val="14"/>
                <w:szCs w:val="14"/>
                <w:color w:val="auto"/>
              </w:rPr>
              <w:t>Servicer liabilities</w:t>
            </w:r>
          </w:p>
        </w:tc>
        <w:tc>
          <w:tcPr>
            <w:tcW w:w="80" w:type="dxa"/>
            <w:vAlign w:val="bottom"/>
          </w:tcPr>
          <w:p>
            <w:pPr>
              <w:spacing w:after="0"/>
              <w:rPr>
                <w:sz w:val="12"/>
                <w:szCs w:val="12"/>
                <w:color w:val="auto"/>
              </w:rPr>
            </w:pPr>
          </w:p>
        </w:tc>
        <w:tc>
          <w:tcPr>
            <w:tcW w:w="6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90,262</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103</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90,365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40" w:type="dxa"/>
            <w:vAlign w:val="bottom"/>
            <w:shd w:val="clear" w:color="auto" w:fill="EAF9E8"/>
          </w:tcPr>
          <w:p>
            <w:pPr>
              <w:ind w:left="160"/>
              <w:spacing w:after="0" w:line="149" w:lineRule="exact"/>
              <w:rPr>
                <w:sz w:val="20"/>
                <w:szCs w:val="20"/>
                <w:color w:val="auto"/>
              </w:rPr>
            </w:pPr>
            <w:r>
              <w:rPr>
                <w:rFonts w:ascii="Arial" w:cs="Arial" w:eastAsia="Arial" w:hAnsi="Arial"/>
                <w:sz w:val="14"/>
                <w:szCs w:val="14"/>
                <w:color w:val="auto"/>
              </w:rPr>
              <w:t>Cash due to clients</w:t>
            </w:r>
          </w:p>
        </w:tc>
        <w:tc>
          <w:tcPr>
            <w:tcW w:w="80" w:type="dxa"/>
            <w:vAlign w:val="bottom"/>
            <w:shd w:val="clear" w:color="auto" w:fill="EAF9E8"/>
          </w:tcPr>
          <w:p>
            <w:pPr>
              <w:spacing w:after="0"/>
              <w:rPr>
                <w:sz w:val="12"/>
                <w:szCs w:val="12"/>
                <w:color w:val="auto"/>
              </w:rPr>
            </w:pPr>
          </w:p>
        </w:tc>
        <w:tc>
          <w:tcPr>
            <w:tcW w:w="620" w:type="dxa"/>
            <w:vAlign w:val="bottom"/>
            <w:gridSpan w:val="2"/>
            <w:shd w:val="clear" w:color="auto" w:fill="EAF9E8"/>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EAF9E8"/>
          </w:tcPr>
          <w:p>
            <w:pPr>
              <w:spacing w:after="0"/>
              <w:rPr>
                <w:sz w:val="12"/>
                <w:szCs w:val="12"/>
                <w:color w:val="auto"/>
              </w:rPr>
            </w:pPr>
          </w:p>
        </w:tc>
        <w:tc>
          <w:tcPr>
            <w:tcW w:w="80" w:type="dxa"/>
            <w:vAlign w:val="bottom"/>
            <w:shd w:val="clear" w:color="auto" w:fill="EAF9E8"/>
          </w:tcPr>
          <w:p>
            <w:pPr>
              <w:spacing w:after="0"/>
              <w:rPr>
                <w:sz w:val="12"/>
                <w:szCs w:val="12"/>
                <w:color w:val="auto"/>
              </w:rPr>
            </w:pPr>
          </w:p>
        </w:tc>
        <w:tc>
          <w:tcPr>
            <w:tcW w:w="60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840" w:type="dxa"/>
            <w:vAlign w:val="bottom"/>
            <w:gridSpan w:val="2"/>
            <w:shd w:val="clear" w:color="auto" w:fill="EAF9E8"/>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EAF9E8"/>
          </w:tcPr>
          <w:p>
            <w:pPr>
              <w:spacing w:after="0"/>
              <w:rPr>
                <w:sz w:val="12"/>
                <w:szCs w:val="12"/>
                <w:color w:val="auto"/>
              </w:rPr>
            </w:pPr>
          </w:p>
        </w:tc>
        <w:tc>
          <w:tcPr>
            <w:tcW w:w="660" w:type="dxa"/>
            <w:vAlign w:val="bottom"/>
            <w:gridSpan w:val="2"/>
            <w:shd w:val="clear" w:color="auto" w:fill="EAF9E8"/>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EAF9E8"/>
          </w:tcPr>
          <w:p>
            <w:pPr>
              <w:spacing w:after="0"/>
              <w:rPr>
                <w:sz w:val="12"/>
                <w:szCs w:val="12"/>
                <w:color w:val="auto"/>
              </w:rPr>
            </w:pPr>
          </w:p>
        </w:tc>
        <w:tc>
          <w:tcPr>
            <w:tcW w:w="80" w:type="dxa"/>
            <w:vAlign w:val="bottom"/>
            <w:shd w:val="clear" w:color="auto" w:fill="EAF9E8"/>
          </w:tcPr>
          <w:p>
            <w:pPr>
              <w:spacing w:after="0"/>
              <w:rPr>
                <w:sz w:val="12"/>
                <w:szCs w:val="12"/>
                <w:color w:val="auto"/>
              </w:rPr>
            </w:pPr>
          </w:p>
        </w:tc>
        <w:tc>
          <w:tcPr>
            <w:tcW w:w="780" w:type="dxa"/>
            <w:vAlign w:val="bottom"/>
            <w:gridSpan w:val="2"/>
            <w:shd w:val="clear" w:color="auto" w:fill="EAF9E8"/>
          </w:tcPr>
          <w:p>
            <w:pPr>
              <w:jc w:val="right"/>
              <w:ind w:right="160"/>
              <w:spacing w:after="0" w:line="149" w:lineRule="exact"/>
              <w:rPr>
                <w:sz w:val="20"/>
                <w:szCs w:val="20"/>
                <w:color w:val="auto"/>
              </w:rPr>
            </w:pPr>
            <w:r>
              <w:rPr>
                <w:rFonts w:ascii="Arial" w:cs="Arial" w:eastAsia="Arial" w:hAnsi="Arial"/>
                <w:sz w:val="14"/>
                <w:szCs w:val="14"/>
                <w:color w:val="auto"/>
              </w:rPr>
              <w:t>414</w:t>
            </w:r>
          </w:p>
        </w:tc>
        <w:tc>
          <w:tcPr>
            <w:tcW w:w="4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60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EAF9E8"/>
          </w:tcPr>
          <w:p>
            <w:pPr>
              <w:spacing w:after="0"/>
              <w:rPr>
                <w:sz w:val="12"/>
                <w:szCs w:val="12"/>
                <w:color w:val="auto"/>
              </w:rPr>
            </w:pPr>
          </w:p>
        </w:tc>
        <w:tc>
          <w:tcPr>
            <w:tcW w:w="60" w:type="dxa"/>
            <w:vAlign w:val="bottom"/>
            <w:shd w:val="clear" w:color="auto" w:fill="EAF9E8"/>
          </w:tcPr>
          <w:p>
            <w:pPr>
              <w:spacing w:after="0"/>
              <w:rPr>
                <w:sz w:val="12"/>
                <w:szCs w:val="12"/>
                <w:color w:val="auto"/>
              </w:rPr>
            </w:pPr>
          </w:p>
        </w:tc>
        <w:tc>
          <w:tcPr>
            <w:tcW w:w="740" w:type="dxa"/>
            <w:vAlign w:val="bottom"/>
            <w:gridSpan w:val="2"/>
            <w:shd w:val="clear" w:color="auto" w:fill="EAF9E8"/>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EAF9E8"/>
          </w:tcPr>
          <w:p>
            <w:pPr>
              <w:spacing w:after="0"/>
              <w:rPr>
                <w:sz w:val="12"/>
                <w:szCs w:val="12"/>
                <w:color w:val="auto"/>
              </w:rPr>
            </w:pPr>
          </w:p>
        </w:tc>
        <w:tc>
          <w:tcPr>
            <w:tcW w:w="60" w:type="dxa"/>
            <w:vAlign w:val="bottom"/>
            <w:shd w:val="clear" w:color="auto" w:fill="EAF9E8"/>
          </w:tcPr>
          <w:p>
            <w:pPr>
              <w:spacing w:after="0"/>
              <w:rPr>
                <w:sz w:val="12"/>
                <w:szCs w:val="12"/>
                <w:color w:val="auto"/>
              </w:rPr>
            </w:pPr>
          </w:p>
        </w:tc>
        <w:tc>
          <w:tcPr>
            <w:tcW w:w="780" w:type="dxa"/>
            <w:vAlign w:val="bottom"/>
            <w:gridSpan w:val="2"/>
            <w:shd w:val="clear" w:color="auto" w:fill="EAF9E8"/>
          </w:tcPr>
          <w:p>
            <w:pPr>
              <w:jc w:val="right"/>
              <w:ind w:right="80"/>
              <w:spacing w:after="0" w:line="149" w:lineRule="exact"/>
              <w:rPr>
                <w:sz w:val="20"/>
                <w:szCs w:val="20"/>
                <w:color w:val="auto"/>
              </w:rPr>
            </w:pPr>
            <w:r>
              <w:rPr>
                <w:rFonts w:ascii="Arial" w:cs="Arial" w:eastAsia="Arial" w:hAnsi="Arial"/>
                <w:sz w:val="14"/>
                <w:szCs w:val="14"/>
                <w:color w:val="auto"/>
              </w:rPr>
              <w:t>(414)</w:t>
            </w:r>
          </w:p>
        </w:tc>
        <w:tc>
          <w:tcPr>
            <w:tcW w:w="100" w:type="dxa"/>
            <w:vAlign w:val="bottom"/>
            <w:shd w:val="clear" w:color="auto" w:fill="EAF9E8"/>
          </w:tcPr>
          <w:p>
            <w:pPr>
              <w:spacing w:after="0"/>
              <w:rPr>
                <w:sz w:val="12"/>
                <w:szCs w:val="12"/>
                <w:color w:val="auto"/>
              </w:rPr>
            </w:pPr>
          </w:p>
        </w:tc>
        <w:tc>
          <w:tcPr>
            <w:tcW w:w="80" w:type="dxa"/>
            <w:vAlign w:val="bottom"/>
            <w:shd w:val="clear" w:color="auto" w:fill="EAF9E8"/>
          </w:tcPr>
          <w:p>
            <w:pPr>
              <w:spacing w:after="0"/>
              <w:rPr>
                <w:sz w:val="12"/>
                <w:szCs w:val="12"/>
                <w:color w:val="auto"/>
              </w:rPr>
            </w:pPr>
          </w:p>
        </w:tc>
        <w:tc>
          <w:tcPr>
            <w:tcW w:w="780" w:type="dxa"/>
            <w:vAlign w:val="bottom"/>
            <w:gridSpan w:val="2"/>
            <w:shd w:val="clear" w:color="auto" w:fill="EAF9E8"/>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240" w:type="dxa"/>
            <w:vAlign w:val="bottom"/>
          </w:tcPr>
          <w:p>
            <w:pPr>
              <w:ind w:left="160"/>
              <w:spacing w:after="0" w:line="149" w:lineRule="exact"/>
              <w:rPr>
                <w:sz w:val="20"/>
                <w:szCs w:val="20"/>
                <w:color w:val="auto"/>
              </w:rPr>
            </w:pPr>
            <w:r>
              <w:rPr>
                <w:rFonts w:ascii="Arial" w:cs="Arial" w:eastAsia="Arial" w:hAnsi="Arial"/>
                <w:sz w:val="14"/>
                <w:szCs w:val="14"/>
                <w:color w:val="auto"/>
              </w:rPr>
              <w:t>Debt securities</w:t>
            </w:r>
          </w:p>
        </w:tc>
        <w:tc>
          <w:tcPr>
            <w:tcW w:w="80" w:type="dxa"/>
            <w:vAlign w:val="bottom"/>
          </w:tcPr>
          <w:p>
            <w:pPr>
              <w:spacing w:after="0"/>
              <w:rPr>
                <w:sz w:val="12"/>
                <w:szCs w:val="12"/>
                <w:color w:val="auto"/>
              </w:rPr>
            </w:pPr>
          </w:p>
        </w:tc>
        <w:tc>
          <w:tcPr>
            <w:tcW w:w="6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108,843</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108,843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40" w:type="dxa"/>
            <w:vAlign w:val="bottom"/>
            <w:shd w:val="clear" w:color="auto" w:fill="EAF9E8"/>
          </w:tcPr>
          <w:p>
            <w:pPr>
              <w:ind w:left="160"/>
              <w:spacing w:after="0" w:line="149" w:lineRule="exact"/>
              <w:rPr>
                <w:sz w:val="20"/>
                <w:szCs w:val="20"/>
                <w:color w:val="auto"/>
              </w:rPr>
            </w:pPr>
            <w:r>
              <w:rPr>
                <w:rFonts w:ascii="Arial" w:cs="Arial" w:eastAsia="Arial" w:hAnsi="Arial"/>
                <w:sz w:val="14"/>
                <w:szCs w:val="14"/>
                <w:color w:val="auto"/>
              </w:rPr>
              <w:t>Other liabilities</w:t>
            </w:r>
          </w:p>
        </w:tc>
        <w:tc>
          <w:tcPr>
            <w:tcW w:w="80" w:type="dxa"/>
            <w:vAlign w:val="bottom"/>
            <w:shd w:val="clear" w:color="auto" w:fill="EAF9E8"/>
          </w:tcPr>
          <w:p>
            <w:pPr>
              <w:spacing w:after="0"/>
              <w:rPr>
                <w:sz w:val="12"/>
                <w:szCs w:val="12"/>
                <w:color w:val="auto"/>
              </w:rPr>
            </w:pPr>
          </w:p>
        </w:tc>
        <w:tc>
          <w:tcPr>
            <w:tcW w:w="620" w:type="dxa"/>
            <w:vAlign w:val="bottom"/>
            <w:gridSpan w:val="2"/>
            <w:shd w:val="clear" w:color="auto" w:fill="EAF9E8"/>
          </w:tcPr>
          <w:p>
            <w:pPr>
              <w:jc w:val="right"/>
              <w:ind w:right="20"/>
              <w:spacing w:after="0" w:line="149" w:lineRule="exact"/>
              <w:rPr>
                <w:sz w:val="20"/>
                <w:szCs w:val="20"/>
                <w:color w:val="auto"/>
              </w:rPr>
            </w:pPr>
            <w:r>
              <w:rPr>
                <w:rFonts w:ascii="Arial" w:cs="Arial" w:eastAsia="Arial" w:hAnsi="Arial"/>
                <w:sz w:val="14"/>
                <w:szCs w:val="14"/>
                <w:color w:val="auto"/>
              </w:rPr>
              <w:t>37,536</w:t>
            </w:r>
          </w:p>
        </w:tc>
        <w:tc>
          <w:tcPr>
            <w:tcW w:w="200" w:type="dxa"/>
            <w:vAlign w:val="bottom"/>
            <w:shd w:val="clear" w:color="auto" w:fill="EAF9E8"/>
          </w:tcPr>
          <w:p>
            <w:pPr>
              <w:spacing w:after="0"/>
              <w:rPr>
                <w:sz w:val="12"/>
                <w:szCs w:val="12"/>
                <w:color w:val="auto"/>
              </w:rPr>
            </w:pPr>
          </w:p>
        </w:tc>
        <w:tc>
          <w:tcPr>
            <w:tcW w:w="80" w:type="dxa"/>
            <w:vAlign w:val="bottom"/>
            <w:shd w:val="clear" w:color="auto" w:fill="EAF9E8"/>
          </w:tcPr>
          <w:p>
            <w:pPr>
              <w:spacing w:after="0"/>
              <w:rPr>
                <w:sz w:val="12"/>
                <w:szCs w:val="12"/>
                <w:color w:val="auto"/>
              </w:rPr>
            </w:pPr>
          </w:p>
        </w:tc>
        <w:tc>
          <w:tcPr>
            <w:tcW w:w="60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rPr>
              <w:t>1,322</w:t>
            </w:r>
          </w:p>
        </w:tc>
        <w:tc>
          <w:tcPr>
            <w:tcW w:w="22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840" w:type="dxa"/>
            <w:vAlign w:val="bottom"/>
            <w:gridSpan w:val="2"/>
            <w:shd w:val="clear" w:color="auto" w:fill="EAF9E8"/>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EAF9E8"/>
          </w:tcPr>
          <w:p>
            <w:pPr>
              <w:spacing w:after="0"/>
              <w:rPr>
                <w:sz w:val="12"/>
                <w:szCs w:val="12"/>
                <w:color w:val="auto"/>
              </w:rPr>
            </w:pPr>
          </w:p>
        </w:tc>
        <w:tc>
          <w:tcPr>
            <w:tcW w:w="660" w:type="dxa"/>
            <w:vAlign w:val="bottom"/>
            <w:gridSpan w:val="2"/>
            <w:shd w:val="clear" w:color="auto" w:fill="EAF9E8"/>
          </w:tcPr>
          <w:p>
            <w:pPr>
              <w:jc w:val="right"/>
              <w:ind w:right="60"/>
              <w:spacing w:after="0" w:line="149" w:lineRule="exact"/>
              <w:rPr>
                <w:sz w:val="20"/>
                <w:szCs w:val="20"/>
                <w:color w:val="auto"/>
              </w:rPr>
            </w:pPr>
            <w:r>
              <w:rPr>
                <w:rFonts w:ascii="Arial" w:cs="Arial" w:eastAsia="Arial" w:hAnsi="Arial"/>
                <w:sz w:val="14"/>
                <w:szCs w:val="14"/>
                <w:color w:val="auto"/>
              </w:rPr>
              <w:t>1,898</w:t>
            </w:r>
          </w:p>
        </w:tc>
        <w:tc>
          <w:tcPr>
            <w:tcW w:w="160" w:type="dxa"/>
            <w:vAlign w:val="bottom"/>
            <w:shd w:val="clear" w:color="auto" w:fill="EAF9E8"/>
          </w:tcPr>
          <w:p>
            <w:pPr>
              <w:spacing w:after="0"/>
              <w:rPr>
                <w:sz w:val="12"/>
                <w:szCs w:val="12"/>
                <w:color w:val="auto"/>
              </w:rPr>
            </w:pPr>
          </w:p>
        </w:tc>
        <w:tc>
          <w:tcPr>
            <w:tcW w:w="80" w:type="dxa"/>
            <w:vAlign w:val="bottom"/>
            <w:shd w:val="clear" w:color="auto" w:fill="EAF9E8"/>
          </w:tcPr>
          <w:p>
            <w:pPr>
              <w:spacing w:after="0"/>
              <w:rPr>
                <w:sz w:val="12"/>
                <w:szCs w:val="12"/>
                <w:color w:val="auto"/>
              </w:rPr>
            </w:pPr>
          </w:p>
        </w:tc>
        <w:tc>
          <w:tcPr>
            <w:tcW w:w="780" w:type="dxa"/>
            <w:vAlign w:val="bottom"/>
            <w:gridSpan w:val="2"/>
            <w:shd w:val="clear" w:color="auto" w:fill="EAF9E8"/>
          </w:tcPr>
          <w:p>
            <w:pPr>
              <w:jc w:val="right"/>
              <w:ind w:right="160"/>
              <w:spacing w:after="0" w:line="149" w:lineRule="exact"/>
              <w:rPr>
                <w:sz w:val="20"/>
                <w:szCs w:val="20"/>
                <w:color w:val="auto"/>
              </w:rPr>
            </w:pPr>
            <w:r>
              <w:rPr>
                <w:rFonts w:ascii="Arial" w:cs="Arial" w:eastAsia="Arial" w:hAnsi="Arial"/>
                <w:sz w:val="14"/>
                <w:szCs w:val="14"/>
                <w:color w:val="auto"/>
              </w:rPr>
              <w:t>6,972</w:t>
            </w:r>
          </w:p>
        </w:tc>
        <w:tc>
          <w:tcPr>
            <w:tcW w:w="4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60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rPr>
              <w:t>2,500</w:t>
            </w:r>
          </w:p>
        </w:tc>
        <w:tc>
          <w:tcPr>
            <w:tcW w:w="220" w:type="dxa"/>
            <w:vAlign w:val="bottom"/>
            <w:shd w:val="clear" w:color="auto" w:fill="EAF9E8"/>
          </w:tcPr>
          <w:p>
            <w:pPr>
              <w:spacing w:after="0"/>
              <w:rPr>
                <w:sz w:val="12"/>
                <w:szCs w:val="12"/>
                <w:color w:val="auto"/>
              </w:rPr>
            </w:pPr>
          </w:p>
        </w:tc>
        <w:tc>
          <w:tcPr>
            <w:tcW w:w="60" w:type="dxa"/>
            <w:vAlign w:val="bottom"/>
            <w:shd w:val="clear" w:color="auto" w:fill="EAF9E8"/>
          </w:tcPr>
          <w:p>
            <w:pPr>
              <w:spacing w:after="0"/>
              <w:rPr>
                <w:sz w:val="12"/>
                <w:szCs w:val="12"/>
                <w:color w:val="auto"/>
              </w:rPr>
            </w:pPr>
          </w:p>
        </w:tc>
        <w:tc>
          <w:tcPr>
            <w:tcW w:w="740" w:type="dxa"/>
            <w:vAlign w:val="bottom"/>
            <w:gridSpan w:val="2"/>
            <w:shd w:val="clear" w:color="auto" w:fill="EAF9E8"/>
          </w:tcPr>
          <w:p>
            <w:pPr>
              <w:jc w:val="right"/>
              <w:ind w:right="100"/>
              <w:spacing w:after="0" w:line="149" w:lineRule="exact"/>
              <w:rPr>
                <w:sz w:val="20"/>
                <w:szCs w:val="20"/>
                <w:color w:val="auto"/>
              </w:rPr>
            </w:pPr>
            <w:r>
              <w:rPr>
                <w:rFonts w:ascii="Arial" w:cs="Arial" w:eastAsia="Arial" w:hAnsi="Arial"/>
                <w:sz w:val="14"/>
                <w:szCs w:val="14"/>
                <w:color w:val="auto"/>
              </w:rPr>
              <w:t>32,188</w:t>
            </w:r>
          </w:p>
        </w:tc>
        <w:tc>
          <w:tcPr>
            <w:tcW w:w="120" w:type="dxa"/>
            <w:vAlign w:val="bottom"/>
            <w:shd w:val="clear" w:color="auto" w:fill="EAF9E8"/>
          </w:tcPr>
          <w:p>
            <w:pPr>
              <w:spacing w:after="0"/>
              <w:rPr>
                <w:sz w:val="12"/>
                <w:szCs w:val="12"/>
                <w:color w:val="auto"/>
              </w:rPr>
            </w:pPr>
          </w:p>
        </w:tc>
        <w:tc>
          <w:tcPr>
            <w:tcW w:w="60" w:type="dxa"/>
            <w:vAlign w:val="bottom"/>
            <w:shd w:val="clear" w:color="auto" w:fill="EAF9E8"/>
          </w:tcPr>
          <w:p>
            <w:pPr>
              <w:spacing w:after="0"/>
              <w:rPr>
                <w:sz w:val="12"/>
                <w:szCs w:val="12"/>
                <w:color w:val="auto"/>
              </w:rPr>
            </w:pPr>
          </w:p>
        </w:tc>
        <w:tc>
          <w:tcPr>
            <w:tcW w:w="64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rPr>
              <w:t>281</w:t>
            </w:r>
          </w:p>
        </w:tc>
        <w:tc>
          <w:tcPr>
            <w:tcW w:w="14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80" w:type="dxa"/>
            <w:vAlign w:val="bottom"/>
            <w:shd w:val="clear" w:color="auto" w:fill="EAF9E8"/>
          </w:tcPr>
          <w:p>
            <w:pPr>
              <w:spacing w:after="0"/>
              <w:rPr>
                <w:sz w:val="12"/>
                <w:szCs w:val="12"/>
                <w:color w:val="auto"/>
              </w:rPr>
            </w:pPr>
          </w:p>
        </w:tc>
        <w:tc>
          <w:tcPr>
            <w:tcW w:w="66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rPr>
              <w:t>82,697</w:t>
            </w:r>
          </w:p>
        </w:tc>
        <w:tc>
          <w:tcPr>
            <w:tcW w:w="120" w:type="dxa"/>
            <w:vAlign w:val="bottom"/>
            <w:shd w:val="clear" w:color="auto" w:fill="EAF9E8"/>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3240" w:type="dxa"/>
            <w:vAlign w:val="bottom"/>
            <w:vMerge w:val="restart"/>
          </w:tcPr>
          <w:p>
            <w:pPr>
              <w:ind w:left="320"/>
              <w:spacing w:after="0"/>
              <w:rPr>
                <w:sz w:val="20"/>
                <w:szCs w:val="20"/>
                <w:color w:val="auto"/>
              </w:rPr>
            </w:pPr>
            <w:r>
              <w:rPr>
                <w:rFonts w:ascii="Arial" w:cs="Arial" w:eastAsia="Arial" w:hAnsi="Arial"/>
                <w:sz w:val="14"/>
                <w:szCs w:val="14"/>
                <w:color w:val="auto"/>
              </w:rPr>
              <w:t>Total liabilities</w:t>
            </w:r>
          </w:p>
        </w:tc>
        <w:tc>
          <w:tcPr>
            <w:tcW w:w="80" w:type="dxa"/>
            <w:vAlign w:val="bottom"/>
          </w:tcPr>
          <w:p>
            <w:pPr>
              <w:spacing w:after="0"/>
              <w:rPr>
                <w:sz w:val="21"/>
                <w:szCs w:val="21"/>
                <w:color w:val="auto"/>
              </w:rPr>
            </w:pPr>
          </w:p>
        </w:tc>
        <w:tc>
          <w:tcPr>
            <w:tcW w:w="620" w:type="dxa"/>
            <w:vAlign w:val="bottom"/>
            <w:gridSpan w:val="2"/>
          </w:tcPr>
          <w:p>
            <w:pPr>
              <w:spacing w:after="0"/>
              <w:rPr>
                <w:sz w:val="21"/>
                <w:szCs w:val="21"/>
                <w:color w:val="auto"/>
              </w:rPr>
            </w:pPr>
          </w:p>
        </w:tc>
        <w:tc>
          <w:tcPr>
            <w:tcW w:w="280" w:type="dxa"/>
            <w:vAlign w:val="bottom"/>
            <w:gridSpan w:val="2"/>
          </w:tcPr>
          <w:p>
            <w:pPr>
              <w:spacing w:after="0"/>
              <w:rPr>
                <w:sz w:val="21"/>
                <w:szCs w:val="21"/>
                <w:color w:val="auto"/>
              </w:rPr>
            </w:pPr>
          </w:p>
        </w:tc>
        <w:tc>
          <w:tcPr>
            <w:tcW w:w="600" w:type="dxa"/>
            <w:vAlign w:val="bottom"/>
          </w:tcPr>
          <w:p>
            <w:pPr>
              <w:spacing w:after="0"/>
              <w:rPr>
                <w:sz w:val="21"/>
                <w:szCs w:val="21"/>
                <w:color w:val="auto"/>
              </w:rPr>
            </w:pPr>
          </w:p>
        </w:tc>
        <w:tc>
          <w:tcPr>
            <w:tcW w:w="320" w:type="dxa"/>
            <w:vAlign w:val="bottom"/>
            <w:gridSpan w:val="2"/>
          </w:tcPr>
          <w:p>
            <w:pPr>
              <w:spacing w:after="0"/>
              <w:rPr>
                <w:sz w:val="21"/>
                <w:szCs w:val="21"/>
                <w:color w:val="auto"/>
              </w:rPr>
            </w:pPr>
          </w:p>
        </w:tc>
        <w:tc>
          <w:tcPr>
            <w:tcW w:w="840" w:type="dxa"/>
            <w:vAlign w:val="bottom"/>
            <w:gridSpan w:val="2"/>
          </w:tcPr>
          <w:p>
            <w:pPr>
              <w:spacing w:after="0"/>
              <w:rPr>
                <w:sz w:val="21"/>
                <w:szCs w:val="21"/>
                <w:color w:val="auto"/>
              </w:rPr>
            </w:pPr>
          </w:p>
        </w:tc>
        <w:tc>
          <w:tcPr>
            <w:tcW w:w="80" w:type="dxa"/>
            <w:vAlign w:val="bottom"/>
          </w:tcPr>
          <w:p>
            <w:pPr>
              <w:spacing w:after="0"/>
              <w:rPr>
                <w:sz w:val="21"/>
                <w:szCs w:val="21"/>
                <w:color w:val="auto"/>
              </w:rPr>
            </w:pPr>
          </w:p>
        </w:tc>
        <w:tc>
          <w:tcPr>
            <w:tcW w:w="660" w:type="dxa"/>
            <w:vAlign w:val="bottom"/>
            <w:gridSpan w:val="2"/>
          </w:tcPr>
          <w:p>
            <w:pPr>
              <w:spacing w:after="0"/>
              <w:rPr>
                <w:sz w:val="21"/>
                <w:szCs w:val="21"/>
                <w:color w:val="auto"/>
              </w:rPr>
            </w:pPr>
          </w:p>
        </w:tc>
        <w:tc>
          <w:tcPr>
            <w:tcW w:w="240" w:type="dxa"/>
            <w:vAlign w:val="bottom"/>
            <w:gridSpan w:val="2"/>
          </w:tcPr>
          <w:p>
            <w:pPr>
              <w:spacing w:after="0"/>
              <w:rPr>
                <w:sz w:val="21"/>
                <w:szCs w:val="21"/>
                <w:color w:val="auto"/>
              </w:rPr>
            </w:pPr>
          </w:p>
        </w:tc>
        <w:tc>
          <w:tcPr>
            <w:tcW w:w="780" w:type="dxa"/>
            <w:vAlign w:val="bottom"/>
            <w:gridSpan w:val="2"/>
          </w:tcPr>
          <w:p>
            <w:pPr>
              <w:spacing w:after="0"/>
              <w:rPr>
                <w:sz w:val="21"/>
                <w:szCs w:val="21"/>
                <w:color w:val="auto"/>
              </w:rPr>
            </w:pPr>
          </w:p>
        </w:tc>
        <w:tc>
          <w:tcPr>
            <w:tcW w:w="140" w:type="dxa"/>
            <w:vAlign w:val="bottom"/>
            <w:gridSpan w:val="2"/>
          </w:tcPr>
          <w:p>
            <w:pPr>
              <w:spacing w:after="0"/>
              <w:rPr>
                <w:sz w:val="21"/>
                <w:szCs w:val="21"/>
                <w:color w:val="auto"/>
              </w:rPr>
            </w:pPr>
          </w:p>
        </w:tc>
        <w:tc>
          <w:tcPr>
            <w:tcW w:w="600" w:type="dxa"/>
            <w:vAlign w:val="bottom"/>
          </w:tcPr>
          <w:p>
            <w:pPr>
              <w:spacing w:after="0"/>
              <w:rPr>
                <w:sz w:val="21"/>
                <w:szCs w:val="21"/>
                <w:color w:val="auto"/>
              </w:rPr>
            </w:pPr>
          </w:p>
        </w:tc>
        <w:tc>
          <w:tcPr>
            <w:tcW w:w="280" w:type="dxa"/>
            <w:vAlign w:val="bottom"/>
            <w:gridSpan w:val="2"/>
          </w:tcPr>
          <w:p>
            <w:pPr>
              <w:spacing w:after="0"/>
              <w:rPr>
                <w:sz w:val="21"/>
                <w:szCs w:val="21"/>
                <w:color w:val="auto"/>
              </w:rPr>
            </w:pPr>
          </w:p>
        </w:tc>
        <w:tc>
          <w:tcPr>
            <w:tcW w:w="740" w:type="dxa"/>
            <w:vAlign w:val="bottom"/>
            <w:gridSpan w:val="2"/>
          </w:tcPr>
          <w:p>
            <w:pPr>
              <w:spacing w:after="0"/>
              <w:rPr>
                <w:sz w:val="21"/>
                <w:szCs w:val="21"/>
                <w:color w:val="auto"/>
              </w:rPr>
            </w:pPr>
          </w:p>
        </w:tc>
        <w:tc>
          <w:tcPr>
            <w:tcW w:w="180" w:type="dxa"/>
            <w:vAlign w:val="bottom"/>
            <w:gridSpan w:val="2"/>
          </w:tcPr>
          <w:p>
            <w:pPr>
              <w:spacing w:after="0"/>
              <w:rPr>
                <w:sz w:val="21"/>
                <w:szCs w:val="21"/>
                <w:color w:val="auto"/>
              </w:rPr>
            </w:pPr>
          </w:p>
        </w:tc>
        <w:tc>
          <w:tcPr>
            <w:tcW w:w="780" w:type="dxa"/>
            <w:vAlign w:val="bottom"/>
            <w:gridSpan w:val="2"/>
          </w:tcPr>
          <w:p>
            <w:pPr>
              <w:spacing w:after="0"/>
              <w:rPr>
                <w:sz w:val="21"/>
                <w:szCs w:val="21"/>
                <w:color w:val="auto"/>
              </w:rPr>
            </w:pPr>
          </w:p>
        </w:tc>
        <w:tc>
          <w:tcPr>
            <w:tcW w:w="180" w:type="dxa"/>
            <w:vAlign w:val="bottom"/>
            <w:gridSpan w:val="2"/>
          </w:tcPr>
          <w:p>
            <w:pPr>
              <w:spacing w:after="0"/>
              <w:rPr>
                <w:sz w:val="21"/>
                <w:szCs w:val="21"/>
                <w:color w:val="auto"/>
              </w:rPr>
            </w:pP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6"/>
        </w:trPr>
        <w:tc>
          <w:tcPr>
            <w:tcW w:w="3240" w:type="dxa"/>
            <w:vAlign w:val="bottom"/>
            <w:vMerge w:val="continue"/>
          </w:tcPr>
          <w:p>
            <w:pPr>
              <w:spacing w:after="0"/>
              <w:rPr>
                <w:sz w:val="14"/>
                <w:szCs w:val="14"/>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93"/>
              </w:rPr>
              <w:t>1,047,461</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16,024</w:t>
            </w:r>
          </w:p>
        </w:tc>
        <w:tc>
          <w:tcPr>
            <w:tcW w:w="220" w:type="dxa"/>
            <w:vAlign w:val="bottom"/>
          </w:tcPr>
          <w:p>
            <w:pPr>
              <w:spacing w:after="0"/>
              <w:rPr>
                <w:sz w:val="14"/>
                <w:szCs w:val="14"/>
                <w:color w:val="auto"/>
              </w:rPr>
            </w:pPr>
          </w:p>
        </w:tc>
        <w:tc>
          <w:tcPr>
            <w:tcW w:w="10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1,898</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7,386</w:t>
            </w: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2,500</w:t>
            </w:r>
          </w:p>
        </w:tc>
        <w:tc>
          <w:tcPr>
            <w:tcW w:w="220" w:type="dxa"/>
            <w:vAlign w:val="bottom"/>
          </w:tcPr>
          <w:p>
            <w:pPr>
              <w:spacing w:after="0"/>
              <w:rPr>
                <w:sz w:val="14"/>
                <w:szCs w:val="14"/>
                <w:color w:val="auto"/>
              </w:rPr>
            </w:pPr>
          </w:p>
        </w:tc>
        <w:tc>
          <w:tcPr>
            <w:tcW w:w="6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327,702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(133)</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Borders>
              <w:top w:val="single" w:sz="8" w:color="auto"/>
            </w:tcBorders>
          </w:tcPr>
          <w:p>
            <w:pPr>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1,402,838</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2054860</wp:posOffset>
            </wp:positionH>
            <wp:positionV relativeFrom="paragraph">
              <wp:posOffset>139065</wp:posOffset>
            </wp:positionV>
            <wp:extent cx="5120005"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120005" cy="2603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6" w:name="page37"/>
    <w:bookmarkEnd w:id="36"/>
    <w:p>
      <w:pPr>
        <w:ind w:left="560"/>
        <w:spacing w:after="0"/>
        <w:rPr>
          <w:sz w:val="20"/>
          <w:szCs w:val="20"/>
          <w:color w:val="auto"/>
        </w:rPr>
      </w:pPr>
      <w:r>
        <w:rPr>
          <w:rFonts w:ascii="Arial" w:cs="Arial" w:eastAsia="Arial" w:hAnsi="Arial"/>
          <w:sz w:val="16"/>
          <w:szCs w:val="16"/>
          <w:color w:val="auto"/>
        </w:rPr>
        <w:t>The following table presents the statements of continuing operations before income taxes for each of our business segments for the three months ended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March 31, 2009:</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60" w:type="dxa"/>
            <w:vAlign w:val="bottom"/>
            <w:gridSpan w:val="11"/>
          </w:tcPr>
          <w:p>
            <w:pPr>
              <w:jc w:val="center"/>
              <w:ind w:right="300"/>
              <w:spacing w:after="0"/>
              <w:rPr>
                <w:sz w:val="20"/>
                <w:szCs w:val="20"/>
                <w:color w:val="auto"/>
              </w:rPr>
            </w:pPr>
            <w:r>
              <w:rPr>
                <w:rFonts w:ascii="Arial" w:cs="Arial" w:eastAsia="Arial" w:hAnsi="Arial"/>
                <w:sz w:val="14"/>
                <w:szCs w:val="14"/>
                <w:color w:val="auto"/>
                <w:w w:val="85"/>
              </w:rPr>
              <w:t>Ocwen Asset Management</w:t>
            </w: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4"/>
          </w:tcPr>
          <w:p>
            <w:pPr>
              <w:jc w:val="center"/>
              <w:ind w:right="40"/>
              <w:spacing w:after="0"/>
              <w:rPr>
                <w:sz w:val="20"/>
                <w:szCs w:val="20"/>
                <w:color w:val="auto"/>
              </w:rPr>
            </w:pPr>
            <w:r>
              <w:rPr>
                <w:rFonts w:ascii="Arial" w:cs="Arial" w:eastAsia="Arial" w:hAnsi="Arial"/>
                <w:sz w:val="14"/>
                <w:szCs w:val="14"/>
                <w:color w:val="auto"/>
                <w:w w:val="87"/>
              </w:rPr>
              <w:t>Ocwen Solutions</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gridSpan w:val="2"/>
            <w:vMerge w:val="restart"/>
          </w:tcPr>
          <w:p>
            <w:pPr>
              <w:jc w:val="center"/>
              <w:ind w:right="180"/>
              <w:spacing w:after="0"/>
              <w:rPr>
                <w:sz w:val="20"/>
                <w:szCs w:val="20"/>
                <w:color w:val="auto"/>
              </w:rPr>
            </w:pPr>
            <w:r>
              <w:rPr>
                <w:rFonts w:ascii="Arial" w:cs="Arial" w:eastAsia="Arial" w:hAnsi="Arial"/>
                <w:sz w:val="14"/>
                <w:szCs w:val="14"/>
                <w:color w:val="auto"/>
                <w:w w:val="86"/>
              </w:rPr>
              <w:t>Corporate</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gridSpan w:val="2"/>
            <w:vMerge w:val="restart"/>
          </w:tcPr>
          <w:p>
            <w:pPr>
              <w:jc w:val="right"/>
              <w:ind w:right="260"/>
              <w:spacing w:after="0"/>
              <w:rPr>
                <w:sz w:val="20"/>
                <w:szCs w:val="20"/>
                <w:color w:val="auto"/>
              </w:rPr>
            </w:pPr>
            <w:r>
              <w:rPr>
                <w:rFonts w:ascii="Arial" w:cs="Arial" w:eastAsia="Arial" w:hAnsi="Arial"/>
                <w:sz w:val="14"/>
                <w:szCs w:val="14"/>
                <w:color w:val="auto"/>
                <w:w w:val="87"/>
              </w:rPr>
              <w:t>Business</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32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jc w:val="right"/>
              <w:ind w:right="132"/>
              <w:spacing w:after="0" w:line="131" w:lineRule="exact"/>
              <w:rPr>
                <w:sz w:val="20"/>
                <w:szCs w:val="20"/>
                <w:color w:val="auto"/>
              </w:rPr>
            </w:pPr>
            <w:r>
              <w:rPr>
                <w:rFonts w:ascii="Arial" w:cs="Arial" w:eastAsia="Arial" w:hAnsi="Arial"/>
                <w:sz w:val="14"/>
                <w:szCs w:val="14"/>
                <w:color w:val="auto"/>
              </w:rPr>
              <w:t>Asset</w:t>
            </w:r>
          </w:p>
        </w:tc>
        <w:tc>
          <w:tcPr>
            <w:tcW w:w="2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3"/>
          </w:tcPr>
          <w:p>
            <w:pPr>
              <w:jc w:val="center"/>
              <w:ind w:right="140"/>
              <w:spacing w:after="0" w:line="149" w:lineRule="exact"/>
              <w:rPr>
                <w:sz w:val="20"/>
                <w:szCs w:val="20"/>
                <w:color w:val="auto"/>
              </w:rPr>
            </w:pPr>
            <w:r>
              <w:rPr>
                <w:rFonts w:ascii="Arial" w:cs="Arial" w:eastAsia="Arial" w:hAnsi="Arial"/>
                <w:sz w:val="14"/>
                <w:szCs w:val="14"/>
                <w:color w:val="auto"/>
                <w:w w:val="85"/>
              </w:rPr>
              <w:t>Loans and</w:t>
            </w:r>
          </w:p>
        </w:tc>
        <w:tc>
          <w:tcPr>
            <w:tcW w:w="80" w:type="dxa"/>
            <w:vAlign w:val="bottom"/>
          </w:tcPr>
          <w:p>
            <w:pPr>
              <w:spacing w:after="0"/>
              <w:rPr>
                <w:sz w:val="12"/>
                <w:szCs w:val="12"/>
                <w:color w:val="auto"/>
              </w:rPr>
            </w:pPr>
          </w:p>
        </w:tc>
        <w:tc>
          <w:tcPr>
            <w:tcW w:w="94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Management</w:t>
            </w:r>
          </w:p>
        </w:tc>
        <w:tc>
          <w:tcPr>
            <w:tcW w:w="80" w:type="dxa"/>
            <w:vAlign w:val="bottom"/>
          </w:tcPr>
          <w:p>
            <w:pPr>
              <w:spacing w:after="0"/>
              <w:rPr>
                <w:sz w:val="12"/>
                <w:szCs w:val="12"/>
                <w:color w:val="auto"/>
              </w:rPr>
            </w:pPr>
          </w:p>
        </w:tc>
        <w:tc>
          <w:tcPr>
            <w:tcW w:w="6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w w:val="84"/>
              </w:rPr>
              <w:t>Mortgage</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89"/>
              </w:rPr>
              <w:t>Financial</w:t>
            </w:r>
          </w:p>
        </w:tc>
        <w:tc>
          <w:tcPr>
            <w:tcW w:w="40" w:type="dxa"/>
            <w:vAlign w:val="bottom"/>
          </w:tcPr>
          <w:p>
            <w:pPr>
              <w:spacing w:after="0"/>
              <w:rPr>
                <w:sz w:val="12"/>
                <w:szCs w:val="12"/>
                <w:color w:val="auto"/>
              </w:rPr>
            </w:pPr>
          </w:p>
        </w:tc>
        <w:tc>
          <w:tcPr>
            <w:tcW w:w="920" w:type="dxa"/>
            <w:vAlign w:val="bottom"/>
            <w:gridSpan w:val="3"/>
          </w:tcPr>
          <w:p>
            <w:pPr>
              <w:jc w:val="right"/>
              <w:ind w:right="260"/>
              <w:spacing w:after="0" w:line="149" w:lineRule="exact"/>
              <w:rPr>
                <w:sz w:val="20"/>
                <w:szCs w:val="20"/>
                <w:color w:val="auto"/>
              </w:rPr>
            </w:pPr>
            <w:r>
              <w:rPr>
                <w:rFonts w:ascii="Arial" w:cs="Arial" w:eastAsia="Arial" w:hAnsi="Arial"/>
                <w:sz w:val="14"/>
                <w:szCs w:val="14"/>
                <w:color w:val="auto"/>
                <w:w w:val="88"/>
              </w:rPr>
              <w:t>Technology</w:t>
            </w:r>
          </w:p>
        </w:tc>
        <w:tc>
          <w:tcPr>
            <w:tcW w:w="60" w:type="dxa"/>
            <w:vAlign w:val="bottom"/>
          </w:tcPr>
          <w:p>
            <w:pPr>
              <w:spacing w:after="0"/>
              <w:rPr>
                <w:sz w:val="12"/>
                <w:szCs w:val="12"/>
                <w:color w:val="auto"/>
              </w:rPr>
            </w:pPr>
          </w:p>
        </w:tc>
        <w:tc>
          <w:tcPr>
            <w:tcW w:w="76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84"/>
              </w:rPr>
              <w:t>Items and</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w w:val="86"/>
              </w:rPr>
              <w:t>Corporate</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w w:val="82"/>
              </w:rPr>
              <w:t>Segments</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3"/>
          </w:tcPr>
          <w:p>
            <w:pPr>
              <w:jc w:val="right"/>
              <w:ind w:right="220"/>
              <w:spacing w:after="0"/>
              <w:rPr>
                <w:sz w:val="20"/>
                <w:szCs w:val="20"/>
                <w:color w:val="auto"/>
              </w:rPr>
            </w:pPr>
            <w:r>
              <w:rPr>
                <w:rFonts w:ascii="Arial" w:cs="Arial" w:eastAsia="Arial" w:hAnsi="Arial"/>
                <w:sz w:val="14"/>
                <w:szCs w:val="14"/>
                <w:color w:val="auto"/>
                <w:w w:val="86"/>
              </w:rPr>
              <w:t>Servicing</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jc w:val="center"/>
              <w:ind w:right="220"/>
              <w:spacing w:after="0"/>
              <w:rPr>
                <w:sz w:val="20"/>
                <w:szCs w:val="20"/>
                <w:color w:val="auto"/>
              </w:rPr>
            </w:pPr>
            <w:r>
              <w:rPr>
                <w:rFonts w:ascii="Arial" w:cs="Arial" w:eastAsia="Arial" w:hAnsi="Arial"/>
                <w:sz w:val="14"/>
                <w:szCs w:val="14"/>
                <w:color w:val="auto"/>
                <w:w w:val="84"/>
              </w:rPr>
              <w:t>Residuals</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4"/>
                <w:szCs w:val="14"/>
                <w:color w:val="auto"/>
                <w:w w:val="90"/>
              </w:rPr>
              <w:t>Vehicles</w:t>
            </w:r>
          </w:p>
        </w:tc>
        <w:tc>
          <w:tcPr>
            <w:tcW w:w="80" w:type="dxa"/>
            <w:vAlign w:val="bottom"/>
          </w:tcPr>
          <w:p>
            <w:pPr>
              <w:spacing w:after="0"/>
              <w:rPr>
                <w:sz w:val="14"/>
                <w:szCs w:val="14"/>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4"/>
                <w:szCs w:val="14"/>
                <w:color w:val="auto"/>
                <w:w w:val="89"/>
              </w:rPr>
              <w:t>Services</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center"/>
              <w:ind w:right="240"/>
              <w:spacing w:after="0"/>
              <w:rPr>
                <w:sz w:val="20"/>
                <w:szCs w:val="20"/>
                <w:color w:val="auto"/>
              </w:rPr>
            </w:pPr>
            <w:r>
              <w:rPr>
                <w:rFonts w:ascii="Arial" w:cs="Arial" w:eastAsia="Arial" w:hAnsi="Arial"/>
                <w:sz w:val="14"/>
                <w:szCs w:val="14"/>
                <w:color w:val="auto"/>
                <w:w w:val="85"/>
              </w:rPr>
              <w:t>Services</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4"/>
                <w:szCs w:val="14"/>
                <w:color w:val="auto"/>
                <w:w w:val="83"/>
              </w:rPr>
              <w:t>Products</w:t>
            </w:r>
          </w:p>
        </w:tc>
        <w:tc>
          <w:tcPr>
            <w:tcW w:w="60" w:type="dxa"/>
            <w:vAlign w:val="bottom"/>
          </w:tcPr>
          <w:p>
            <w:pPr>
              <w:spacing w:after="0"/>
              <w:rPr>
                <w:sz w:val="14"/>
                <w:szCs w:val="14"/>
                <w:color w:val="auto"/>
              </w:rPr>
            </w:pPr>
          </w:p>
        </w:tc>
        <w:tc>
          <w:tcPr>
            <w:tcW w:w="760" w:type="dxa"/>
            <w:vAlign w:val="bottom"/>
            <w:gridSpan w:val="2"/>
          </w:tcPr>
          <w:p>
            <w:pPr>
              <w:jc w:val="center"/>
              <w:ind w:right="200"/>
              <w:spacing w:after="0"/>
              <w:rPr>
                <w:sz w:val="20"/>
                <w:szCs w:val="20"/>
                <w:color w:val="auto"/>
              </w:rPr>
            </w:pPr>
            <w:r>
              <w:rPr>
                <w:rFonts w:ascii="Arial" w:cs="Arial" w:eastAsia="Arial" w:hAnsi="Arial"/>
                <w:sz w:val="14"/>
                <w:szCs w:val="14"/>
                <w:color w:val="auto"/>
                <w:w w:val="91"/>
              </w:rPr>
              <w:t>Other</w:t>
            </w:r>
          </w:p>
        </w:tc>
        <w:tc>
          <w:tcPr>
            <w:tcW w:w="100" w:type="dxa"/>
            <w:vAlign w:val="bottom"/>
          </w:tcPr>
          <w:p>
            <w:pPr>
              <w:spacing w:after="0"/>
              <w:rPr>
                <w:sz w:val="14"/>
                <w:szCs w:val="14"/>
                <w:color w:val="auto"/>
              </w:rPr>
            </w:pPr>
          </w:p>
        </w:tc>
        <w:tc>
          <w:tcPr>
            <w:tcW w:w="840" w:type="dxa"/>
            <w:vAlign w:val="bottom"/>
            <w:gridSpan w:val="3"/>
          </w:tcPr>
          <w:p>
            <w:pPr>
              <w:spacing w:after="0"/>
              <w:rPr>
                <w:sz w:val="20"/>
                <w:szCs w:val="20"/>
                <w:color w:val="auto"/>
              </w:rPr>
            </w:pPr>
            <w:r>
              <w:rPr>
                <w:rFonts w:ascii="Arial" w:cs="Arial" w:eastAsia="Arial" w:hAnsi="Arial"/>
                <w:sz w:val="14"/>
                <w:szCs w:val="14"/>
                <w:color w:val="auto"/>
              </w:rPr>
              <w:t>Eliminations</w:t>
            </w:r>
          </w:p>
        </w:tc>
        <w:tc>
          <w:tcPr>
            <w:tcW w:w="100" w:type="dxa"/>
            <w:vAlign w:val="bottom"/>
          </w:tcPr>
          <w:p>
            <w:pPr>
              <w:spacing w:after="0"/>
              <w:rPr>
                <w:sz w:val="14"/>
                <w:szCs w:val="14"/>
                <w:color w:val="auto"/>
              </w:rPr>
            </w:pPr>
          </w:p>
        </w:tc>
        <w:tc>
          <w:tcPr>
            <w:tcW w:w="860" w:type="dxa"/>
            <w:vAlign w:val="bottom"/>
            <w:gridSpan w:val="3"/>
          </w:tcPr>
          <w:p>
            <w:pPr>
              <w:ind w:left="20"/>
              <w:spacing w:after="0"/>
              <w:rPr>
                <w:sz w:val="20"/>
                <w:szCs w:val="20"/>
                <w:color w:val="auto"/>
              </w:rPr>
            </w:pPr>
            <w:r>
              <w:rPr>
                <w:rFonts w:ascii="Arial" w:cs="Arial" w:eastAsia="Arial" w:hAnsi="Arial"/>
                <w:sz w:val="14"/>
                <w:szCs w:val="14"/>
                <w:color w:val="auto"/>
              </w:rPr>
              <w:t>Consolidated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220" w:type="dxa"/>
            <w:vAlign w:val="bottom"/>
            <w:shd w:val="clear" w:color="auto" w:fill="EAF9E8"/>
          </w:tcPr>
          <w:p>
            <w:pPr>
              <w:spacing w:after="0" w:line="142" w:lineRule="exact"/>
              <w:rPr>
                <w:sz w:val="20"/>
                <w:szCs w:val="20"/>
                <w:color w:val="auto"/>
              </w:rPr>
            </w:pPr>
            <w:r>
              <w:rPr>
                <w:rFonts w:ascii="Arial" w:cs="Arial" w:eastAsia="Arial" w:hAnsi="Arial"/>
                <w:sz w:val="14"/>
                <w:szCs w:val="14"/>
                <w:b w:val="1"/>
                <w:bCs w:val="1"/>
                <w:color w:val="auto"/>
              </w:rPr>
              <w:t>Revenue</w:t>
            </w:r>
          </w:p>
        </w:tc>
        <w:tc>
          <w:tcPr>
            <w:tcW w:w="80" w:type="dxa"/>
            <w:vAlign w:val="bottom"/>
            <w:shd w:val="clear" w:color="auto" w:fill="EAF9E8"/>
          </w:tcPr>
          <w:p>
            <w:pPr>
              <w:spacing w:after="0"/>
              <w:rPr>
                <w:sz w:val="12"/>
                <w:szCs w:val="12"/>
                <w:color w:val="auto"/>
              </w:rPr>
            </w:pPr>
          </w:p>
        </w:tc>
        <w:tc>
          <w:tcPr>
            <w:tcW w:w="600" w:type="dxa"/>
            <w:vAlign w:val="bottom"/>
            <w:shd w:val="clear" w:color="auto" w:fill="EAF9E8"/>
          </w:tcPr>
          <w:p>
            <w:pPr>
              <w:spacing w:after="0"/>
              <w:rPr>
                <w:sz w:val="12"/>
                <w:szCs w:val="12"/>
                <w:color w:val="auto"/>
              </w:rPr>
            </w:pPr>
          </w:p>
        </w:tc>
        <w:tc>
          <w:tcPr>
            <w:tcW w:w="20" w:type="dxa"/>
            <w:vAlign w:val="bottom"/>
            <w:shd w:val="clear" w:color="auto" w:fill="EAF9E8"/>
          </w:tcPr>
          <w:p>
            <w:pPr>
              <w:spacing w:after="0"/>
              <w:rPr>
                <w:sz w:val="12"/>
                <w:szCs w:val="12"/>
                <w:color w:val="auto"/>
              </w:rPr>
            </w:pPr>
          </w:p>
        </w:tc>
        <w:tc>
          <w:tcPr>
            <w:tcW w:w="120" w:type="dxa"/>
            <w:vAlign w:val="bottom"/>
            <w:shd w:val="clear" w:color="auto" w:fill="EAF9E8"/>
          </w:tcPr>
          <w:p>
            <w:pPr>
              <w:spacing w:after="0"/>
              <w:rPr>
                <w:sz w:val="12"/>
                <w:szCs w:val="12"/>
                <w:color w:val="auto"/>
              </w:rPr>
            </w:pPr>
          </w:p>
        </w:tc>
        <w:tc>
          <w:tcPr>
            <w:tcW w:w="80" w:type="dxa"/>
            <w:vAlign w:val="bottom"/>
            <w:shd w:val="clear" w:color="auto" w:fill="EAF9E8"/>
          </w:tcPr>
          <w:p>
            <w:pPr>
              <w:spacing w:after="0"/>
              <w:rPr>
                <w:sz w:val="12"/>
                <w:szCs w:val="12"/>
                <w:color w:val="auto"/>
              </w:rPr>
            </w:pPr>
          </w:p>
        </w:tc>
        <w:tc>
          <w:tcPr>
            <w:tcW w:w="80" w:type="dxa"/>
            <w:vAlign w:val="bottom"/>
            <w:shd w:val="clear" w:color="auto" w:fill="EAF9E8"/>
          </w:tcPr>
          <w:p>
            <w:pPr>
              <w:spacing w:after="0"/>
              <w:rPr>
                <w:sz w:val="12"/>
                <w:szCs w:val="12"/>
                <w:color w:val="auto"/>
              </w:rPr>
            </w:pPr>
          </w:p>
        </w:tc>
        <w:tc>
          <w:tcPr>
            <w:tcW w:w="600" w:type="dxa"/>
            <w:vAlign w:val="bottom"/>
            <w:shd w:val="clear" w:color="auto" w:fill="EAF9E8"/>
          </w:tcPr>
          <w:p>
            <w:pPr>
              <w:spacing w:after="0"/>
              <w:rPr>
                <w:sz w:val="12"/>
                <w:szCs w:val="12"/>
                <w:color w:val="auto"/>
              </w:rPr>
            </w:pPr>
          </w:p>
        </w:tc>
        <w:tc>
          <w:tcPr>
            <w:tcW w:w="140" w:type="dxa"/>
            <w:vAlign w:val="bottom"/>
            <w:shd w:val="clear" w:color="auto" w:fill="EAF9E8"/>
          </w:tcPr>
          <w:p>
            <w:pPr>
              <w:spacing w:after="0"/>
              <w:rPr>
                <w:sz w:val="12"/>
                <w:szCs w:val="12"/>
                <w:color w:val="auto"/>
              </w:rPr>
            </w:pPr>
          </w:p>
        </w:tc>
        <w:tc>
          <w:tcPr>
            <w:tcW w:w="8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620" w:type="dxa"/>
            <w:vAlign w:val="bottom"/>
            <w:shd w:val="clear" w:color="auto" w:fill="EAF9E8"/>
          </w:tcPr>
          <w:p>
            <w:pPr>
              <w:spacing w:after="0"/>
              <w:rPr>
                <w:sz w:val="12"/>
                <w:szCs w:val="12"/>
                <w:color w:val="auto"/>
              </w:rPr>
            </w:pPr>
          </w:p>
        </w:tc>
        <w:tc>
          <w:tcPr>
            <w:tcW w:w="220" w:type="dxa"/>
            <w:vAlign w:val="bottom"/>
            <w:shd w:val="clear" w:color="auto" w:fill="EAF9E8"/>
          </w:tcPr>
          <w:p>
            <w:pPr>
              <w:spacing w:after="0"/>
              <w:rPr>
                <w:sz w:val="12"/>
                <w:szCs w:val="12"/>
                <w:color w:val="auto"/>
              </w:rPr>
            </w:pPr>
          </w:p>
        </w:tc>
        <w:tc>
          <w:tcPr>
            <w:tcW w:w="80" w:type="dxa"/>
            <w:vAlign w:val="bottom"/>
            <w:shd w:val="clear" w:color="auto" w:fill="EAF9E8"/>
          </w:tcPr>
          <w:p>
            <w:pPr>
              <w:spacing w:after="0"/>
              <w:rPr>
                <w:sz w:val="12"/>
                <w:szCs w:val="12"/>
                <w:color w:val="auto"/>
              </w:rPr>
            </w:pPr>
          </w:p>
        </w:tc>
        <w:tc>
          <w:tcPr>
            <w:tcW w:w="600" w:type="dxa"/>
            <w:vAlign w:val="bottom"/>
            <w:shd w:val="clear" w:color="auto" w:fill="EAF9E8"/>
          </w:tcPr>
          <w:p>
            <w:pPr>
              <w:spacing w:after="0"/>
              <w:rPr>
                <w:sz w:val="12"/>
                <w:szCs w:val="12"/>
                <w:color w:val="auto"/>
              </w:rPr>
            </w:pPr>
          </w:p>
        </w:tc>
        <w:tc>
          <w:tcPr>
            <w:tcW w:w="80" w:type="dxa"/>
            <w:vAlign w:val="bottom"/>
            <w:shd w:val="clear" w:color="auto" w:fill="EAF9E8"/>
          </w:tcPr>
          <w:p>
            <w:pPr>
              <w:spacing w:after="0"/>
              <w:rPr>
                <w:sz w:val="12"/>
                <w:szCs w:val="12"/>
                <w:color w:val="auto"/>
              </w:rPr>
            </w:pPr>
          </w:p>
        </w:tc>
        <w:tc>
          <w:tcPr>
            <w:tcW w:w="140" w:type="dxa"/>
            <w:vAlign w:val="bottom"/>
            <w:shd w:val="clear" w:color="auto" w:fill="EAF9E8"/>
          </w:tcPr>
          <w:p>
            <w:pPr>
              <w:spacing w:after="0"/>
              <w:rPr>
                <w:sz w:val="12"/>
                <w:szCs w:val="12"/>
                <w:color w:val="auto"/>
              </w:rPr>
            </w:pPr>
          </w:p>
        </w:tc>
        <w:tc>
          <w:tcPr>
            <w:tcW w:w="80" w:type="dxa"/>
            <w:vAlign w:val="bottom"/>
            <w:shd w:val="clear" w:color="auto" w:fill="EAF9E8"/>
          </w:tcPr>
          <w:p>
            <w:pPr>
              <w:spacing w:after="0"/>
              <w:rPr>
                <w:sz w:val="12"/>
                <w:szCs w:val="12"/>
                <w:color w:val="auto"/>
              </w:rPr>
            </w:pPr>
          </w:p>
        </w:tc>
        <w:tc>
          <w:tcPr>
            <w:tcW w:w="620" w:type="dxa"/>
            <w:vAlign w:val="bottom"/>
            <w:shd w:val="clear" w:color="auto" w:fill="EAF9E8"/>
          </w:tcPr>
          <w:p>
            <w:pPr>
              <w:spacing w:after="0"/>
              <w:rPr>
                <w:sz w:val="12"/>
                <w:szCs w:val="12"/>
                <w:color w:val="auto"/>
              </w:rPr>
            </w:pPr>
          </w:p>
        </w:tc>
        <w:tc>
          <w:tcPr>
            <w:tcW w:w="160" w:type="dxa"/>
            <w:vAlign w:val="bottom"/>
            <w:shd w:val="clear" w:color="auto" w:fill="EAF9E8"/>
          </w:tcPr>
          <w:p>
            <w:pPr>
              <w:spacing w:after="0"/>
              <w:rPr>
                <w:sz w:val="12"/>
                <w:szCs w:val="12"/>
                <w:color w:val="auto"/>
              </w:rPr>
            </w:pPr>
          </w:p>
        </w:tc>
        <w:tc>
          <w:tcPr>
            <w:tcW w:w="4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600" w:type="dxa"/>
            <w:vAlign w:val="bottom"/>
            <w:shd w:val="clear" w:color="auto" w:fill="EAF9E8"/>
          </w:tcPr>
          <w:p>
            <w:pPr>
              <w:spacing w:after="0"/>
              <w:rPr>
                <w:sz w:val="12"/>
                <w:szCs w:val="12"/>
                <w:color w:val="auto"/>
              </w:rPr>
            </w:pPr>
          </w:p>
        </w:tc>
        <w:tc>
          <w:tcPr>
            <w:tcW w:w="220" w:type="dxa"/>
            <w:vAlign w:val="bottom"/>
            <w:shd w:val="clear" w:color="auto" w:fill="EAF9E8"/>
          </w:tcPr>
          <w:p>
            <w:pPr>
              <w:spacing w:after="0"/>
              <w:rPr>
                <w:sz w:val="12"/>
                <w:szCs w:val="12"/>
                <w:color w:val="auto"/>
              </w:rPr>
            </w:pPr>
          </w:p>
        </w:tc>
        <w:tc>
          <w:tcPr>
            <w:tcW w:w="60" w:type="dxa"/>
            <w:vAlign w:val="bottom"/>
            <w:shd w:val="clear" w:color="auto" w:fill="EAF9E8"/>
          </w:tcPr>
          <w:p>
            <w:pPr>
              <w:spacing w:after="0"/>
              <w:rPr>
                <w:sz w:val="12"/>
                <w:szCs w:val="12"/>
                <w:color w:val="auto"/>
              </w:rPr>
            </w:pPr>
          </w:p>
        </w:tc>
        <w:tc>
          <w:tcPr>
            <w:tcW w:w="640" w:type="dxa"/>
            <w:vAlign w:val="bottom"/>
            <w:shd w:val="clear" w:color="auto" w:fill="EAF9E8"/>
          </w:tcPr>
          <w:p>
            <w:pPr>
              <w:spacing w:after="0"/>
              <w:rPr>
                <w:sz w:val="12"/>
                <w:szCs w:val="12"/>
                <w:color w:val="auto"/>
              </w:rPr>
            </w:pPr>
          </w:p>
        </w:tc>
        <w:tc>
          <w:tcPr>
            <w:tcW w:w="12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60" w:type="dxa"/>
            <w:vAlign w:val="bottom"/>
            <w:shd w:val="clear" w:color="auto" w:fill="EAF9E8"/>
          </w:tcPr>
          <w:p>
            <w:pPr>
              <w:spacing w:after="0"/>
              <w:rPr>
                <w:sz w:val="12"/>
                <w:szCs w:val="12"/>
                <w:color w:val="auto"/>
              </w:rPr>
            </w:pPr>
          </w:p>
        </w:tc>
        <w:tc>
          <w:tcPr>
            <w:tcW w:w="640" w:type="dxa"/>
            <w:vAlign w:val="bottom"/>
            <w:shd w:val="clear" w:color="auto" w:fill="EAF9E8"/>
          </w:tcPr>
          <w:p>
            <w:pPr>
              <w:spacing w:after="0"/>
              <w:rPr>
                <w:sz w:val="12"/>
                <w:szCs w:val="12"/>
                <w:color w:val="auto"/>
              </w:rPr>
            </w:pPr>
          </w:p>
        </w:tc>
        <w:tc>
          <w:tcPr>
            <w:tcW w:w="14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80" w:type="dxa"/>
            <w:vAlign w:val="bottom"/>
            <w:shd w:val="clear" w:color="auto" w:fill="EAF9E8"/>
          </w:tcPr>
          <w:p>
            <w:pPr>
              <w:spacing w:after="0"/>
              <w:rPr>
                <w:sz w:val="12"/>
                <w:szCs w:val="12"/>
                <w:color w:val="auto"/>
              </w:rPr>
            </w:pPr>
          </w:p>
        </w:tc>
        <w:tc>
          <w:tcPr>
            <w:tcW w:w="660" w:type="dxa"/>
            <w:vAlign w:val="bottom"/>
            <w:shd w:val="clear" w:color="auto" w:fill="EAF9E8"/>
          </w:tcPr>
          <w:p>
            <w:pPr>
              <w:spacing w:after="0"/>
              <w:rPr>
                <w:sz w:val="12"/>
                <w:szCs w:val="12"/>
                <w:color w:val="auto"/>
              </w:rPr>
            </w:pPr>
          </w:p>
        </w:tc>
        <w:tc>
          <w:tcPr>
            <w:tcW w:w="120" w:type="dxa"/>
            <w:vAlign w:val="bottom"/>
            <w:shd w:val="clear" w:color="auto" w:fill="EAF9E8"/>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tcPr>
          <w:p>
            <w:pPr>
              <w:ind w:left="140"/>
              <w:spacing w:after="0" w:line="149" w:lineRule="exact"/>
              <w:rPr>
                <w:sz w:val="20"/>
                <w:szCs w:val="20"/>
                <w:color w:val="auto"/>
              </w:rPr>
            </w:pPr>
            <w:r>
              <w:rPr>
                <w:rFonts w:ascii="Arial" w:cs="Arial" w:eastAsia="Arial" w:hAnsi="Arial"/>
                <w:sz w:val="14"/>
                <w:szCs w:val="14"/>
                <w:color w:val="auto"/>
              </w:rPr>
              <w:t>Servicing and subservicing fees</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64,979</w:t>
            </w:r>
          </w:p>
        </w:tc>
        <w:tc>
          <w:tcPr>
            <w:tcW w:w="120" w:type="dxa"/>
            <w:vAlign w:val="bottom"/>
          </w:tcPr>
          <w:p>
            <w:pPr>
              <w:spacing w:after="0"/>
              <w:rPr>
                <w:sz w:val="12"/>
                <w:szCs w:val="12"/>
                <w:color w:val="auto"/>
              </w:rPr>
            </w:pPr>
          </w:p>
        </w:tc>
        <w:tc>
          <w:tcPr>
            <w:tcW w:w="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8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321</w:t>
            </w:r>
          </w:p>
        </w:tc>
        <w:tc>
          <w:tcPr>
            <w:tcW w:w="2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13,831</w:t>
            </w:r>
          </w:p>
        </w:tc>
        <w:tc>
          <w:tcPr>
            <w:tcW w:w="1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w:t>
            </w:r>
          </w:p>
        </w:tc>
        <w:tc>
          <w:tcPr>
            <w:tcW w:w="160" w:type="dxa"/>
            <w:vAlign w:val="bottom"/>
            <w:gridSpan w:val="2"/>
          </w:tcPr>
          <w:p>
            <w:pPr>
              <w:ind w:left="100"/>
              <w:spacing w:after="0"/>
              <w:rPr>
                <w:sz w:val="20"/>
                <w:szCs w:val="20"/>
                <w:color w:val="auto"/>
              </w:rPr>
            </w:pPr>
            <w:r>
              <w:rPr>
                <w:rFonts w:ascii="Arial" w:cs="Arial" w:eastAsia="Arial" w:hAnsi="Arial"/>
                <w:sz w:val="10"/>
                <w:szCs w:val="10"/>
                <w:color w:val="auto"/>
                <w:w w:val="71"/>
              </w:rPr>
              <w:t>$</w:t>
            </w:r>
          </w:p>
        </w:tc>
        <w:tc>
          <w:tcPr>
            <w:tcW w:w="7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(324)</w:t>
            </w:r>
          </w:p>
        </w:tc>
        <w:tc>
          <w:tcPr>
            <w:tcW w:w="180" w:type="dxa"/>
            <w:vAlign w:val="bottom"/>
            <w:gridSpan w:val="2"/>
          </w:tcPr>
          <w:p>
            <w:pPr>
              <w:ind w:left="100"/>
              <w:spacing w:after="0" w:line="149" w:lineRule="exact"/>
              <w:rPr>
                <w:sz w:val="20"/>
                <w:szCs w:val="20"/>
                <w:color w:val="auto"/>
              </w:rPr>
            </w:pPr>
            <w:r>
              <w:rPr>
                <w:rFonts w:ascii="Arial" w:cs="Arial" w:eastAsia="Arial" w:hAnsi="Arial"/>
                <w:sz w:val="14"/>
                <w:szCs w:val="14"/>
                <w:color w:val="auto"/>
                <w:w w:val="76"/>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78,810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shd w:val="clear" w:color="auto" w:fill="EAF9E8"/>
          </w:tcPr>
          <w:p>
            <w:pPr>
              <w:ind w:left="140"/>
              <w:spacing w:after="0" w:line="149" w:lineRule="exact"/>
              <w:rPr>
                <w:sz w:val="20"/>
                <w:szCs w:val="20"/>
                <w:color w:val="auto"/>
              </w:rPr>
            </w:pPr>
            <w:r>
              <w:rPr>
                <w:rFonts w:ascii="Arial" w:cs="Arial" w:eastAsia="Arial" w:hAnsi="Arial"/>
                <w:sz w:val="14"/>
                <w:szCs w:val="14"/>
                <w:color w:val="auto"/>
              </w:rPr>
              <w:t>Process management fees</w:t>
            </w:r>
          </w:p>
        </w:tc>
        <w:tc>
          <w:tcPr>
            <w:tcW w:w="80" w:type="dxa"/>
            <w:vAlign w:val="bottom"/>
            <w:shd w:val="clear" w:color="auto" w:fill="EAF9E8"/>
          </w:tcPr>
          <w:p>
            <w:pPr>
              <w:spacing w:after="0"/>
              <w:rPr>
                <w:sz w:val="12"/>
                <w:szCs w:val="12"/>
                <w:color w:val="auto"/>
              </w:rPr>
            </w:pPr>
          </w:p>
        </w:tc>
        <w:tc>
          <w:tcPr>
            <w:tcW w:w="620" w:type="dxa"/>
            <w:vAlign w:val="bottom"/>
            <w:gridSpan w:val="2"/>
            <w:shd w:val="clear" w:color="auto" w:fill="EAF9E8"/>
          </w:tcPr>
          <w:p>
            <w:pPr>
              <w:jc w:val="right"/>
              <w:ind w:right="20"/>
              <w:spacing w:after="0" w:line="149" w:lineRule="exact"/>
              <w:rPr>
                <w:sz w:val="20"/>
                <w:szCs w:val="20"/>
                <w:color w:val="auto"/>
              </w:rPr>
            </w:pPr>
            <w:r>
              <w:rPr>
                <w:rFonts w:ascii="Arial" w:cs="Arial" w:eastAsia="Arial" w:hAnsi="Arial"/>
                <w:sz w:val="14"/>
                <w:szCs w:val="14"/>
                <w:color w:val="auto"/>
              </w:rPr>
              <w:t>9,715</w:t>
            </w:r>
          </w:p>
        </w:tc>
        <w:tc>
          <w:tcPr>
            <w:tcW w:w="120" w:type="dxa"/>
            <w:vAlign w:val="bottom"/>
            <w:shd w:val="clear" w:color="auto" w:fill="EAF9E8"/>
          </w:tcPr>
          <w:p>
            <w:pPr>
              <w:spacing w:after="0"/>
              <w:rPr>
                <w:sz w:val="12"/>
                <w:szCs w:val="12"/>
                <w:color w:val="auto"/>
              </w:rPr>
            </w:pPr>
          </w:p>
        </w:tc>
        <w:tc>
          <w:tcPr>
            <w:tcW w:w="80" w:type="dxa"/>
            <w:vAlign w:val="bottom"/>
            <w:shd w:val="clear" w:color="auto" w:fill="EAF9E8"/>
          </w:tcPr>
          <w:p>
            <w:pPr>
              <w:spacing w:after="0"/>
              <w:rPr>
                <w:sz w:val="12"/>
                <w:szCs w:val="12"/>
                <w:color w:val="auto"/>
              </w:rPr>
            </w:pPr>
          </w:p>
        </w:tc>
        <w:tc>
          <w:tcPr>
            <w:tcW w:w="80" w:type="dxa"/>
            <w:vAlign w:val="bottom"/>
            <w:shd w:val="clear" w:color="auto" w:fill="EAF9E8"/>
          </w:tcPr>
          <w:p>
            <w:pPr>
              <w:spacing w:after="0"/>
              <w:rPr>
                <w:sz w:val="12"/>
                <w:szCs w:val="12"/>
                <w:color w:val="auto"/>
              </w:rPr>
            </w:pPr>
          </w:p>
        </w:tc>
        <w:tc>
          <w:tcPr>
            <w:tcW w:w="740" w:type="dxa"/>
            <w:vAlign w:val="bottom"/>
            <w:gridSpan w:val="2"/>
            <w:shd w:val="clear" w:color="auto" w:fill="EAF9E8"/>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840" w:type="dxa"/>
            <w:vAlign w:val="bottom"/>
            <w:gridSpan w:val="2"/>
            <w:shd w:val="clear" w:color="auto" w:fill="EAF9E8"/>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EAF9E8"/>
          </w:tcPr>
          <w:p>
            <w:pPr>
              <w:spacing w:after="0"/>
              <w:rPr>
                <w:sz w:val="12"/>
                <w:szCs w:val="12"/>
                <w:color w:val="auto"/>
              </w:rPr>
            </w:pPr>
          </w:p>
        </w:tc>
        <w:tc>
          <w:tcPr>
            <w:tcW w:w="680" w:type="dxa"/>
            <w:vAlign w:val="bottom"/>
            <w:gridSpan w:val="2"/>
            <w:shd w:val="clear" w:color="auto" w:fill="EAF9E8"/>
          </w:tcPr>
          <w:p>
            <w:pPr>
              <w:jc w:val="right"/>
              <w:ind w:right="80"/>
              <w:spacing w:after="0" w:line="149" w:lineRule="exact"/>
              <w:rPr>
                <w:sz w:val="20"/>
                <w:szCs w:val="20"/>
                <w:color w:val="auto"/>
              </w:rPr>
            </w:pPr>
            <w:r>
              <w:rPr>
                <w:rFonts w:ascii="Arial" w:cs="Arial" w:eastAsia="Arial" w:hAnsi="Arial"/>
                <w:sz w:val="14"/>
                <w:szCs w:val="14"/>
                <w:color w:val="auto"/>
              </w:rPr>
              <w:t>17,654</w:t>
            </w:r>
          </w:p>
        </w:tc>
        <w:tc>
          <w:tcPr>
            <w:tcW w:w="140" w:type="dxa"/>
            <w:vAlign w:val="bottom"/>
            <w:shd w:val="clear" w:color="auto" w:fill="EAF9E8"/>
          </w:tcPr>
          <w:p>
            <w:pPr>
              <w:spacing w:after="0"/>
              <w:rPr>
                <w:sz w:val="12"/>
                <w:szCs w:val="12"/>
                <w:color w:val="auto"/>
              </w:rPr>
            </w:pPr>
          </w:p>
        </w:tc>
        <w:tc>
          <w:tcPr>
            <w:tcW w:w="80" w:type="dxa"/>
            <w:vAlign w:val="bottom"/>
            <w:shd w:val="clear" w:color="auto" w:fill="EAF9E8"/>
          </w:tcPr>
          <w:p>
            <w:pPr>
              <w:spacing w:after="0"/>
              <w:rPr>
                <w:sz w:val="12"/>
                <w:szCs w:val="12"/>
                <w:color w:val="auto"/>
              </w:rPr>
            </w:pPr>
          </w:p>
        </w:tc>
        <w:tc>
          <w:tcPr>
            <w:tcW w:w="780" w:type="dxa"/>
            <w:vAlign w:val="bottom"/>
            <w:gridSpan w:val="2"/>
            <w:shd w:val="clear" w:color="auto" w:fill="EAF9E8"/>
          </w:tcPr>
          <w:p>
            <w:pPr>
              <w:jc w:val="right"/>
              <w:ind w:right="160"/>
              <w:spacing w:after="0" w:line="149" w:lineRule="exact"/>
              <w:rPr>
                <w:sz w:val="20"/>
                <w:szCs w:val="20"/>
                <w:color w:val="auto"/>
              </w:rPr>
            </w:pPr>
            <w:r>
              <w:rPr>
                <w:rFonts w:ascii="Arial" w:cs="Arial" w:eastAsia="Arial" w:hAnsi="Arial"/>
                <w:sz w:val="14"/>
                <w:szCs w:val="14"/>
                <w:color w:val="auto"/>
              </w:rPr>
              <w:t>3,487</w:t>
            </w:r>
          </w:p>
        </w:tc>
        <w:tc>
          <w:tcPr>
            <w:tcW w:w="4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60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rPr>
              <w:t>806</w:t>
            </w:r>
          </w:p>
        </w:tc>
        <w:tc>
          <w:tcPr>
            <w:tcW w:w="220" w:type="dxa"/>
            <w:vAlign w:val="bottom"/>
            <w:shd w:val="clear" w:color="auto" w:fill="EAF9E8"/>
          </w:tcPr>
          <w:p>
            <w:pPr>
              <w:spacing w:after="0"/>
              <w:rPr>
                <w:sz w:val="12"/>
                <w:szCs w:val="12"/>
                <w:color w:val="auto"/>
              </w:rPr>
            </w:pPr>
          </w:p>
        </w:tc>
        <w:tc>
          <w:tcPr>
            <w:tcW w:w="60" w:type="dxa"/>
            <w:vAlign w:val="bottom"/>
            <w:shd w:val="clear" w:color="auto" w:fill="EAF9E8"/>
          </w:tcPr>
          <w:p>
            <w:pPr>
              <w:spacing w:after="0"/>
              <w:rPr>
                <w:sz w:val="12"/>
                <w:szCs w:val="12"/>
                <w:color w:val="auto"/>
              </w:rPr>
            </w:pPr>
          </w:p>
        </w:tc>
        <w:tc>
          <w:tcPr>
            <w:tcW w:w="760" w:type="dxa"/>
            <w:vAlign w:val="bottom"/>
            <w:gridSpan w:val="2"/>
            <w:shd w:val="clear" w:color="auto" w:fill="EAF9E8"/>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EAF9E8"/>
          </w:tcPr>
          <w:p>
            <w:pPr>
              <w:spacing w:after="0"/>
              <w:rPr>
                <w:sz w:val="12"/>
                <w:szCs w:val="12"/>
                <w:color w:val="auto"/>
              </w:rPr>
            </w:pPr>
          </w:p>
        </w:tc>
        <w:tc>
          <w:tcPr>
            <w:tcW w:w="60" w:type="dxa"/>
            <w:vAlign w:val="bottom"/>
            <w:shd w:val="clear" w:color="auto" w:fill="EAF9E8"/>
          </w:tcPr>
          <w:p>
            <w:pPr>
              <w:spacing w:after="0"/>
              <w:rPr>
                <w:sz w:val="12"/>
                <w:szCs w:val="12"/>
                <w:color w:val="auto"/>
              </w:rPr>
            </w:pPr>
          </w:p>
        </w:tc>
        <w:tc>
          <w:tcPr>
            <w:tcW w:w="64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rPr>
              <w:t>2,030</w:t>
            </w:r>
          </w:p>
        </w:tc>
        <w:tc>
          <w:tcPr>
            <w:tcW w:w="14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80" w:type="dxa"/>
            <w:vAlign w:val="bottom"/>
            <w:shd w:val="clear" w:color="auto" w:fill="EAF9E8"/>
          </w:tcPr>
          <w:p>
            <w:pPr>
              <w:spacing w:after="0"/>
              <w:rPr>
                <w:sz w:val="12"/>
                <w:szCs w:val="12"/>
                <w:color w:val="auto"/>
              </w:rPr>
            </w:pPr>
          </w:p>
        </w:tc>
        <w:tc>
          <w:tcPr>
            <w:tcW w:w="66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rPr>
              <w:t>33,692</w:t>
            </w:r>
          </w:p>
        </w:tc>
        <w:tc>
          <w:tcPr>
            <w:tcW w:w="120" w:type="dxa"/>
            <w:vAlign w:val="bottom"/>
            <w:shd w:val="clear" w:color="auto" w:fill="EAF9E8"/>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220" w:type="dxa"/>
            <w:vAlign w:val="bottom"/>
          </w:tcPr>
          <w:p>
            <w:pPr>
              <w:ind w:left="140"/>
              <w:spacing w:after="0"/>
              <w:rPr>
                <w:sz w:val="20"/>
                <w:szCs w:val="20"/>
                <w:color w:val="auto"/>
              </w:rPr>
            </w:pPr>
            <w:r>
              <w:rPr>
                <w:rFonts w:ascii="Arial" w:cs="Arial" w:eastAsia="Arial" w:hAnsi="Arial"/>
                <w:sz w:val="14"/>
                <w:szCs w:val="14"/>
                <w:color w:val="auto"/>
              </w:rPr>
              <w:t>Other revenues</w:t>
            </w:r>
          </w:p>
        </w:tc>
        <w:tc>
          <w:tcPr>
            <w:tcW w:w="80" w:type="dxa"/>
            <w:vAlign w:val="bottom"/>
          </w:tcPr>
          <w:p>
            <w:pPr>
              <w:spacing w:after="0"/>
              <w:rPr>
                <w:sz w:val="14"/>
                <w:szCs w:val="14"/>
                <w:color w:val="auto"/>
              </w:rPr>
            </w:pPr>
          </w:p>
        </w:tc>
        <w:tc>
          <w:tcPr>
            <w:tcW w:w="74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537</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4"/>
                <w:szCs w:val="14"/>
                <w:color w:val="auto"/>
              </w:rPr>
              <w:t>42</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9,767</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250</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4"/>
                <w:szCs w:val="14"/>
                <w:color w:val="auto"/>
              </w:rPr>
              <w:t>(8,508)</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2,088</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gridSpan w:val="2"/>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gridSpan w:val="2"/>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gridSpan w:val="2"/>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gridSpan w:val="2"/>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gridSpan w:val="2"/>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80" w:type="dxa"/>
            <w:vAlign w:val="bottom"/>
            <w:gridSpan w:val="2"/>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220" w:type="dxa"/>
            <w:vAlign w:val="bottom"/>
            <w:shd w:val="clear" w:color="auto" w:fill="EAF9E8"/>
          </w:tcPr>
          <w:p>
            <w:pPr>
              <w:ind w:left="300"/>
              <w:spacing w:after="0" w:line="142" w:lineRule="exact"/>
              <w:rPr>
                <w:sz w:val="20"/>
                <w:szCs w:val="20"/>
                <w:color w:val="auto"/>
              </w:rPr>
            </w:pPr>
            <w:r>
              <w:rPr>
                <w:rFonts w:ascii="Arial" w:cs="Arial" w:eastAsia="Arial" w:hAnsi="Arial"/>
                <w:sz w:val="14"/>
                <w:szCs w:val="14"/>
                <w:color w:val="auto"/>
              </w:rPr>
              <w:t>Total revenue</w:t>
            </w:r>
          </w:p>
        </w:tc>
        <w:tc>
          <w:tcPr>
            <w:tcW w:w="80" w:type="dxa"/>
            <w:vAlign w:val="bottom"/>
            <w:tcBorders>
              <w:top w:val="single" w:sz="8" w:color="auto"/>
            </w:tcBorders>
            <w:shd w:val="clear" w:color="auto" w:fill="EAF9E8"/>
          </w:tcPr>
          <w:p>
            <w:pPr>
              <w:spacing w:after="0"/>
              <w:rPr>
                <w:sz w:val="12"/>
                <w:szCs w:val="12"/>
                <w:color w:val="auto"/>
              </w:rPr>
            </w:pPr>
          </w:p>
        </w:tc>
        <w:tc>
          <w:tcPr>
            <w:tcW w:w="620" w:type="dxa"/>
            <w:vAlign w:val="bottom"/>
            <w:tcBorders>
              <w:top w:val="single" w:sz="8" w:color="auto"/>
            </w:tcBorders>
            <w:gridSpan w:val="2"/>
            <w:shd w:val="clear" w:color="auto" w:fill="EAF9E8"/>
          </w:tcPr>
          <w:p>
            <w:pPr>
              <w:jc w:val="right"/>
              <w:ind w:right="20"/>
              <w:spacing w:after="0" w:line="142" w:lineRule="exact"/>
              <w:rPr>
                <w:sz w:val="20"/>
                <w:szCs w:val="20"/>
                <w:color w:val="auto"/>
              </w:rPr>
            </w:pPr>
            <w:r>
              <w:rPr>
                <w:rFonts w:ascii="Arial" w:cs="Arial" w:eastAsia="Arial" w:hAnsi="Arial"/>
                <w:sz w:val="14"/>
                <w:szCs w:val="14"/>
                <w:color w:val="auto"/>
              </w:rPr>
              <w:t>74,694</w:t>
            </w:r>
          </w:p>
        </w:tc>
        <w:tc>
          <w:tcPr>
            <w:tcW w:w="120" w:type="dxa"/>
            <w:vAlign w:val="bottom"/>
            <w:shd w:val="clear" w:color="auto" w:fill="EAF9E8"/>
          </w:tcPr>
          <w:p>
            <w:pPr>
              <w:spacing w:after="0"/>
              <w:rPr>
                <w:sz w:val="12"/>
                <w:szCs w:val="12"/>
                <w:color w:val="auto"/>
              </w:rPr>
            </w:pPr>
          </w:p>
        </w:tc>
        <w:tc>
          <w:tcPr>
            <w:tcW w:w="80" w:type="dxa"/>
            <w:vAlign w:val="bottom"/>
            <w:shd w:val="clear" w:color="auto" w:fill="EAF9E8"/>
          </w:tcPr>
          <w:p>
            <w:pPr>
              <w:spacing w:after="0"/>
              <w:rPr>
                <w:sz w:val="12"/>
                <w:szCs w:val="12"/>
                <w:color w:val="auto"/>
              </w:rPr>
            </w:pPr>
          </w:p>
        </w:tc>
        <w:tc>
          <w:tcPr>
            <w:tcW w:w="80" w:type="dxa"/>
            <w:vAlign w:val="bottom"/>
            <w:tcBorders>
              <w:top w:val="single" w:sz="8" w:color="auto"/>
            </w:tcBorders>
            <w:shd w:val="clear" w:color="auto" w:fill="EAF9E8"/>
          </w:tcPr>
          <w:p>
            <w:pPr>
              <w:spacing w:after="0"/>
              <w:rPr>
                <w:sz w:val="12"/>
                <w:szCs w:val="12"/>
                <w:color w:val="auto"/>
              </w:rPr>
            </w:pPr>
          </w:p>
        </w:tc>
        <w:tc>
          <w:tcPr>
            <w:tcW w:w="600" w:type="dxa"/>
            <w:vAlign w:val="bottom"/>
            <w:tcBorders>
              <w:top w:val="single" w:sz="8" w:color="auto"/>
            </w:tcBorders>
            <w:shd w:val="clear" w:color="auto" w:fill="EAF9E8"/>
          </w:tcPr>
          <w:p>
            <w:pPr>
              <w:jc w:val="right"/>
              <w:spacing w:after="0" w:line="142" w:lineRule="exact"/>
              <w:rPr>
                <w:sz w:val="20"/>
                <w:szCs w:val="20"/>
                <w:color w:val="auto"/>
              </w:rPr>
            </w:pPr>
            <w:r>
              <w:rPr>
                <w:rFonts w:ascii="Arial" w:cs="Arial" w:eastAsia="Arial" w:hAnsi="Arial"/>
                <w:sz w:val="14"/>
                <w:szCs w:val="14"/>
                <w:color w:val="auto"/>
              </w:rPr>
              <w:t>—</w:t>
            </w:r>
          </w:p>
        </w:tc>
        <w:tc>
          <w:tcPr>
            <w:tcW w:w="140" w:type="dxa"/>
            <w:vAlign w:val="bottom"/>
            <w:shd w:val="clear" w:color="auto" w:fill="EAF9E8"/>
          </w:tcPr>
          <w:p>
            <w:pPr>
              <w:spacing w:after="0"/>
              <w:rPr>
                <w:sz w:val="12"/>
                <w:szCs w:val="12"/>
                <w:color w:val="auto"/>
              </w:rPr>
            </w:pPr>
          </w:p>
        </w:tc>
        <w:tc>
          <w:tcPr>
            <w:tcW w:w="80" w:type="dxa"/>
            <w:vAlign w:val="bottom"/>
            <w:shd w:val="clear" w:color="auto" w:fill="EAF9E8"/>
          </w:tcPr>
          <w:p>
            <w:pPr>
              <w:spacing w:after="0"/>
              <w:rPr>
                <w:sz w:val="12"/>
                <w:szCs w:val="12"/>
                <w:color w:val="auto"/>
              </w:rPr>
            </w:pPr>
          </w:p>
        </w:tc>
        <w:tc>
          <w:tcPr>
            <w:tcW w:w="100" w:type="dxa"/>
            <w:vAlign w:val="bottom"/>
            <w:tcBorders>
              <w:top w:val="single" w:sz="8" w:color="auto"/>
            </w:tcBorders>
            <w:shd w:val="clear" w:color="auto" w:fill="EAF9E8"/>
          </w:tcPr>
          <w:p>
            <w:pPr>
              <w:spacing w:after="0"/>
              <w:rPr>
                <w:sz w:val="12"/>
                <w:szCs w:val="12"/>
                <w:color w:val="auto"/>
              </w:rPr>
            </w:pPr>
          </w:p>
        </w:tc>
        <w:tc>
          <w:tcPr>
            <w:tcW w:w="620" w:type="dxa"/>
            <w:vAlign w:val="bottom"/>
            <w:tcBorders>
              <w:top w:val="single" w:sz="8" w:color="auto"/>
            </w:tcBorders>
            <w:shd w:val="clear" w:color="auto" w:fill="EAF9E8"/>
          </w:tcPr>
          <w:p>
            <w:pPr>
              <w:jc w:val="right"/>
              <w:spacing w:after="0" w:line="142" w:lineRule="exact"/>
              <w:rPr>
                <w:sz w:val="20"/>
                <w:szCs w:val="20"/>
                <w:color w:val="auto"/>
              </w:rPr>
            </w:pPr>
            <w:r>
              <w:rPr>
                <w:rFonts w:ascii="Arial" w:cs="Arial" w:eastAsia="Arial" w:hAnsi="Arial"/>
                <w:sz w:val="14"/>
                <w:szCs w:val="14"/>
                <w:color w:val="auto"/>
              </w:rPr>
              <w:t>537</w:t>
            </w:r>
          </w:p>
        </w:tc>
        <w:tc>
          <w:tcPr>
            <w:tcW w:w="220" w:type="dxa"/>
            <w:vAlign w:val="bottom"/>
            <w:shd w:val="clear" w:color="auto" w:fill="EAF9E8"/>
          </w:tcPr>
          <w:p>
            <w:pPr>
              <w:spacing w:after="0"/>
              <w:rPr>
                <w:sz w:val="12"/>
                <w:szCs w:val="12"/>
                <w:color w:val="auto"/>
              </w:rPr>
            </w:pPr>
          </w:p>
        </w:tc>
        <w:tc>
          <w:tcPr>
            <w:tcW w:w="80" w:type="dxa"/>
            <w:vAlign w:val="bottom"/>
            <w:tcBorders>
              <w:top w:val="single" w:sz="8" w:color="auto"/>
            </w:tcBorders>
            <w:shd w:val="clear" w:color="auto" w:fill="EAF9E8"/>
          </w:tcPr>
          <w:p>
            <w:pPr>
              <w:spacing w:after="0"/>
              <w:rPr>
                <w:sz w:val="12"/>
                <w:szCs w:val="12"/>
                <w:color w:val="auto"/>
              </w:rPr>
            </w:pPr>
          </w:p>
        </w:tc>
        <w:tc>
          <w:tcPr>
            <w:tcW w:w="600" w:type="dxa"/>
            <w:vAlign w:val="bottom"/>
            <w:tcBorders>
              <w:top w:val="single" w:sz="8" w:color="auto"/>
            </w:tcBorders>
            <w:shd w:val="clear" w:color="auto" w:fill="EAF9E8"/>
          </w:tcPr>
          <w:p>
            <w:pPr>
              <w:jc w:val="right"/>
              <w:spacing w:after="0" w:line="142" w:lineRule="exact"/>
              <w:rPr>
                <w:sz w:val="20"/>
                <w:szCs w:val="20"/>
                <w:color w:val="auto"/>
              </w:rPr>
            </w:pPr>
            <w:r>
              <w:rPr>
                <w:rFonts w:ascii="Arial" w:cs="Arial" w:eastAsia="Arial" w:hAnsi="Arial"/>
                <w:sz w:val="14"/>
                <w:szCs w:val="14"/>
                <w:color w:val="auto"/>
              </w:rPr>
              <w:t>18,017</w:t>
            </w:r>
          </w:p>
        </w:tc>
        <w:tc>
          <w:tcPr>
            <w:tcW w:w="80" w:type="dxa"/>
            <w:vAlign w:val="bottom"/>
            <w:shd w:val="clear" w:color="auto" w:fill="EAF9E8"/>
          </w:tcPr>
          <w:p>
            <w:pPr>
              <w:spacing w:after="0"/>
              <w:rPr>
                <w:sz w:val="12"/>
                <w:szCs w:val="12"/>
                <w:color w:val="auto"/>
              </w:rPr>
            </w:pPr>
          </w:p>
        </w:tc>
        <w:tc>
          <w:tcPr>
            <w:tcW w:w="140" w:type="dxa"/>
            <w:vAlign w:val="bottom"/>
            <w:shd w:val="clear" w:color="auto" w:fill="EAF9E8"/>
          </w:tcPr>
          <w:p>
            <w:pPr>
              <w:spacing w:after="0"/>
              <w:rPr>
                <w:sz w:val="12"/>
                <w:szCs w:val="12"/>
                <w:color w:val="auto"/>
              </w:rPr>
            </w:pPr>
          </w:p>
        </w:tc>
        <w:tc>
          <w:tcPr>
            <w:tcW w:w="80" w:type="dxa"/>
            <w:vAlign w:val="bottom"/>
            <w:tcBorders>
              <w:top w:val="single" w:sz="8" w:color="auto"/>
            </w:tcBorders>
            <w:shd w:val="clear" w:color="auto" w:fill="EAF9E8"/>
          </w:tcPr>
          <w:p>
            <w:pPr>
              <w:spacing w:after="0"/>
              <w:rPr>
                <w:sz w:val="12"/>
                <w:szCs w:val="12"/>
                <w:color w:val="auto"/>
              </w:rPr>
            </w:pPr>
          </w:p>
        </w:tc>
        <w:tc>
          <w:tcPr>
            <w:tcW w:w="620" w:type="dxa"/>
            <w:vAlign w:val="bottom"/>
            <w:tcBorders>
              <w:top w:val="single" w:sz="8" w:color="auto"/>
            </w:tcBorders>
            <w:shd w:val="clear" w:color="auto" w:fill="EAF9E8"/>
          </w:tcPr>
          <w:p>
            <w:pPr>
              <w:jc w:val="right"/>
              <w:spacing w:after="0" w:line="142" w:lineRule="exact"/>
              <w:rPr>
                <w:sz w:val="20"/>
                <w:szCs w:val="20"/>
                <w:color w:val="auto"/>
              </w:rPr>
            </w:pPr>
            <w:r>
              <w:rPr>
                <w:rFonts w:ascii="Arial" w:cs="Arial" w:eastAsia="Arial" w:hAnsi="Arial"/>
                <w:sz w:val="14"/>
                <w:szCs w:val="14"/>
                <w:color w:val="auto"/>
              </w:rPr>
              <w:t>17,318</w:t>
            </w:r>
          </w:p>
        </w:tc>
        <w:tc>
          <w:tcPr>
            <w:tcW w:w="160" w:type="dxa"/>
            <w:vAlign w:val="bottom"/>
            <w:shd w:val="clear" w:color="auto" w:fill="EAF9E8"/>
          </w:tcPr>
          <w:p>
            <w:pPr>
              <w:spacing w:after="0"/>
              <w:rPr>
                <w:sz w:val="12"/>
                <w:szCs w:val="12"/>
                <w:color w:val="auto"/>
              </w:rPr>
            </w:pPr>
          </w:p>
        </w:tc>
        <w:tc>
          <w:tcPr>
            <w:tcW w:w="40" w:type="dxa"/>
            <w:vAlign w:val="bottom"/>
            <w:shd w:val="clear" w:color="auto" w:fill="EAF9E8"/>
          </w:tcPr>
          <w:p>
            <w:pPr>
              <w:spacing w:after="0"/>
              <w:rPr>
                <w:sz w:val="12"/>
                <w:szCs w:val="12"/>
                <w:color w:val="auto"/>
              </w:rPr>
            </w:pPr>
          </w:p>
        </w:tc>
        <w:tc>
          <w:tcPr>
            <w:tcW w:w="100" w:type="dxa"/>
            <w:vAlign w:val="bottom"/>
            <w:tcBorders>
              <w:top w:val="single" w:sz="8" w:color="auto"/>
            </w:tcBorders>
            <w:shd w:val="clear" w:color="auto" w:fill="EAF9E8"/>
          </w:tcPr>
          <w:p>
            <w:pPr>
              <w:spacing w:after="0"/>
              <w:rPr>
                <w:sz w:val="12"/>
                <w:szCs w:val="12"/>
                <w:color w:val="auto"/>
              </w:rPr>
            </w:pPr>
          </w:p>
        </w:tc>
        <w:tc>
          <w:tcPr>
            <w:tcW w:w="600" w:type="dxa"/>
            <w:vAlign w:val="bottom"/>
            <w:tcBorders>
              <w:top w:val="single" w:sz="8" w:color="auto"/>
            </w:tcBorders>
            <w:shd w:val="clear" w:color="auto" w:fill="EAF9E8"/>
          </w:tcPr>
          <w:p>
            <w:pPr>
              <w:jc w:val="right"/>
              <w:spacing w:after="0" w:line="142" w:lineRule="exact"/>
              <w:rPr>
                <w:sz w:val="20"/>
                <w:szCs w:val="20"/>
                <w:color w:val="auto"/>
              </w:rPr>
            </w:pPr>
            <w:r>
              <w:rPr>
                <w:rFonts w:ascii="Arial" w:cs="Arial" w:eastAsia="Arial" w:hAnsi="Arial"/>
                <w:sz w:val="14"/>
                <w:szCs w:val="14"/>
                <w:color w:val="auto"/>
              </w:rPr>
              <w:t>10,573</w:t>
            </w:r>
          </w:p>
        </w:tc>
        <w:tc>
          <w:tcPr>
            <w:tcW w:w="220" w:type="dxa"/>
            <w:vAlign w:val="bottom"/>
            <w:shd w:val="clear" w:color="auto" w:fill="EAF9E8"/>
          </w:tcPr>
          <w:p>
            <w:pPr>
              <w:spacing w:after="0"/>
              <w:rPr>
                <w:sz w:val="12"/>
                <w:szCs w:val="12"/>
                <w:color w:val="auto"/>
              </w:rPr>
            </w:pPr>
          </w:p>
        </w:tc>
        <w:tc>
          <w:tcPr>
            <w:tcW w:w="60" w:type="dxa"/>
            <w:vAlign w:val="bottom"/>
            <w:tcBorders>
              <w:top w:val="single" w:sz="8" w:color="auto"/>
            </w:tcBorders>
            <w:shd w:val="clear" w:color="auto" w:fill="EAF9E8"/>
          </w:tcPr>
          <w:p>
            <w:pPr>
              <w:spacing w:after="0"/>
              <w:rPr>
                <w:sz w:val="12"/>
                <w:szCs w:val="12"/>
                <w:color w:val="auto"/>
              </w:rPr>
            </w:pPr>
          </w:p>
        </w:tc>
        <w:tc>
          <w:tcPr>
            <w:tcW w:w="640" w:type="dxa"/>
            <w:vAlign w:val="bottom"/>
            <w:tcBorders>
              <w:top w:val="single" w:sz="8" w:color="auto"/>
            </w:tcBorders>
            <w:shd w:val="clear" w:color="auto" w:fill="EAF9E8"/>
          </w:tcPr>
          <w:p>
            <w:pPr>
              <w:jc w:val="right"/>
              <w:spacing w:after="0" w:line="142" w:lineRule="exact"/>
              <w:rPr>
                <w:sz w:val="20"/>
                <w:szCs w:val="20"/>
                <w:color w:val="auto"/>
              </w:rPr>
            </w:pPr>
            <w:r>
              <w:rPr>
                <w:rFonts w:ascii="Arial" w:cs="Arial" w:eastAsia="Arial" w:hAnsi="Arial"/>
                <w:sz w:val="14"/>
                <w:szCs w:val="14"/>
                <w:color w:val="auto"/>
              </w:rPr>
              <w:t>253</w:t>
            </w:r>
          </w:p>
        </w:tc>
        <w:tc>
          <w:tcPr>
            <w:tcW w:w="12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60" w:type="dxa"/>
            <w:vAlign w:val="bottom"/>
            <w:tcBorders>
              <w:top w:val="single" w:sz="8" w:color="auto"/>
            </w:tcBorders>
            <w:shd w:val="clear" w:color="auto" w:fill="EAF9E8"/>
          </w:tcPr>
          <w:p>
            <w:pPr>
              <w:spacing w:after="0"/>
              <w:rPr>
                <w:sz w:val="12"/>
                <w:szCs w:val="12"/>
                <w:color w:val="auto"/>
              </w:rPr>
            </w:pPr>
          </w:p>
        </w:tc>
        <w:tc>
          <w:tcPr>
            <w:tcW w:w="640" w:type="dxa"/>
            <w:vAlign w:val="bottom"/>
            <w:tcBorders>
              <w:top w:val="single" w:sz="8" w:color="auto"/>
            </w:tcBorders>
            <w:shd w:val="clear" w:color="auto" w:fill="EAF9E8"/>
          </w:tcPr>
          <w:p>
            <w:pPr>
              <w:jc w:val="right"/>
              <w:spacing w:after="0" w:line="142" w:lineRule="exact"/>
              <w:rPr>
                <w:sz w:val="20"/>
                <w:szCs w:val="20"/>
                <w:color w:val="auto"/>
              </w:rPr>
            </w:pPr>
            <w:r>
              <w:rPr>
                <w:rFonts w:ascii="Arial" w:cs="Arial" w:eastAsia="Arial" w:hAnsi="Arial"/>
                <w:sz w:val="14"/>
                <w:szCs w:val="14"/>
                <w:color w:val="auto"/>
              </w:rPr>
              <w:t>(6,802)</w:t>
            </w:r>
          </w:p>
        </w:tc>
        <w:tc>
          <w:tcPr>
            <w:tcW w:w="14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80" w:type="dxa"/>
            <w:vAlign w:val="bottom"/>
            <w:tcBorders>
              <w:top w:val="single" w:sz="8" w:color="auto"/>
            </w:tcBorders>
            <w:shd w:val="clear" w:color="auto" w:fill="EAF9E8"/>
          </w:tcPr>
          <w:p>
            <w:pPr>
              <w:spacing w:after="0"/>
              <w:rPr>
                <w:sz w:val="12"/>
                <w:szCs w:val="12"/>
                <w:color w:val="auto"/>
              </w:rPr>
            </w:pPr>
          </w:p>
        </w:tc>
        <w:tc>
          <w:tcPr>
            <w:tcW w:w="660" w:type="dxa"/>
            <w:vAlign w:val="bottom"/>
            <w:tcBorders>
              <w:top w:val="single" w:sz="8" w:color="auto"/>
            </w:tcBorders>
            <w:shd w:val="clear" w:color="auto" w:fill="EAF9E8"/>
          </w:tcPr>
          <w:p>
            <w:pPr>
              <w:jc w:val="right"/>
              <w:spacing w:after="0" w:line="142" w:lineRule="exact"/>
              <w:rPr>
                <w:sz w:val="20"/>
                <w:szCs w:val="20"/>
                <w:color w:val="auto"/>
              </w:rPr>
            </w:pPr>
            <w:r>
              <w:rPr>
                <w:rFonts w:ascii="Arial" w:cs="Arial" w:eastAsia="Arial" w:hAnsi="Arial"/>
                <w:sz w:val="14"/>
                <w:szCs w:val="14"/>
                <w:color w:val="auto"/>
              </w:rPr>
              <w:t>114,590</w:t>
            </w:r>
          </w:p>
        </w:tc>
        <w:tc>
          <w:tcPr>
            <w:tcW w:w="120" w:type="dxa"/>
            <w:vAlign w:val="bottom"/>
            <w:shd w:val="clear" w:color="auto" w:fill="EAF9E8"/>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32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Operating expenses</w:t>
            </w:r>
          </w:p>
        </w:tc>
        <w:tc>
          <w:tcPr>
            <w:tcW w:w="8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1"/>
        </w:trPr>
        <w:tc>
          <w:tcPr>
            <w:tcW w:w="3240" w:type="dxa"/>
            <w:vAlign w:val="bottom"/>
            <w:gridSpan w:val="2"/>
            <w:vMerge w:val="continue"/>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shd w:val="clear" w:color="auto" w:fill="EAF9E8"/>
          </w:tcPr>
          <w:p>
            <w:pPr>
              <w:ind w:left="140"/>
              <w:spacing w:after="0" w:line="149" w:lineRule="exact"/>
              <w:rPr>
                <w:sz w:val="20"/>
                <w:szCs w:val="20"/>
                <w:color w:val="auto"/>
              </w:rPr>
            </w:pPr>
            <w:r>
              <w:rPr>
                <w:rFonts w:ascii="Arial" w:cs="Arial" w:eastAsia="Arial" w:hAnsi="Arial"/>
                <w:sz w:val="14"/>
                <w:szCs w:val="14"/>
                <w:color w:val="auto"/>
              </w:rPr>
              <w:t>Compensation and benefits</w:t>
            </w:r>
          </w:p>
        </w:tc>
        <w:tc>
          <w:tcPr>
            <w:tcW w:w="80" w:type="dxa"/>
            <w:vAlign w:val="bottom"/>
            <w:shd w:val="clear" w:color="auto" w:fill="EAF9E8"/>
          </w:tcPr>
          <w:p>
            <w:pPr>
              <w:spacing w:after="0"/>
              <w:rPr>
                <w:sz w:val="12"/>
                <w:szCs w:val="12"/>
                <w:color w:val="auto"/>
              </w:rPr>
            </w:pPr>
          </w:p>
        </w:tc>
        <w:tc>
          <w:tcPr>
            <w:tcW w:w="620" w:type="dxa"/>
            <w:vAlign w:val="bottom"/>
            <w:gridSpan w:val="2"/>
            <w:shd w:val="clear" w:color="auto" w:fill="EAF9E8"/>
          </w:tcPr>
          <w:p>
            <w:pPr>
              <w:jc w:val="right"/>
              <w:ind w:right="20"/>
              <w:spacing w:after="0" w:line="149" w:lineRule="exact"/>
              <w:rPr>
                <w:sz w:val="20"/>
                <w:szCs w:val="20"/>
                <w:color w:val="auto"/>
              </w:rPr>
            </w:pPr>
            <w:r>
              <w:rPr>
                <w:rFonts w:ascii="Arial" w:cs="Arial" w:eastAsia="Arial" w:hAnsi="Arial"/>
                <w:sz w:val="14"/>
                <w:szCs w:val="14"/>
                <w:color w:val="auto"/>
              </w:rPr>
              <w:t>8,613</w:t>
            </w:r>
          </w:p>
        </w:tc>
        <w:tc>
          <w:tcPr>
            <w:tcW w:w="120" w:type="dxa"/>
            <w:vAlign w:val="bottom"/>
            <w:shd w:val="clear" w:color="auto" w:fill="EAF9E8"/>
          </w:tcPr>
          <w:p>
            <w:pPr>
              <w:spacing w:after="0"/>
              <w:rPr>
                <w:sz w:val="12"/>
                <w:szCs w:val="12"/>
                <w:color w:val="auto"/>
              </w:rPr>
            </w:pPr>
          </w:p>
        </w:tc>
        <w:tc>
          <w:tcPr>
            <w:tcW w:w="80" w:type="dxa"/>
            <w:vAlign w:val="bottom"/>
            <w:shd w:val="clear" w:color="auto" w:fill="EAF9E8"/>
          </w:tcPr>
          <w:p>
            <w:pPr>
              <w:spacing w:after="0"/>
              <w:rPr>
                <w:sz w:val="12"/>
                <w:szCs w:val="12"/>
                <w:color w:val="auto"/>
              </w:rPr>
            </w:pPr>
          </w:p>
        </w:tc>
        <w:tc>
          <w:tcPr>
            <w:tcW w:w="80" w:type="dxa"/>
            <w:vAlign w:val="bottom"/>
            <w:shd w:val="clear" w:color="auto" w:fill="EAF9E8"/>
          </w:tcPr>
          <w:p>
            <w:pPr>
              <w:spacing w:after="0"/>
              <w:rPr>
                <w:sz w:val="12"/>
                <w:szCs w:val="12"/>
                <w:color w:val="auto"/>
              </w:rPr>
            </w:pPr>
          </w:p>
        </w:tc>
        <w:tc>
          <w:tcPr>
            <w:tcW w:w="60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rPr>
              <w:t>6</w:t>
            </w:r>
          </w:p>
        </w:tc>
        <w:tc>
          <w:tcPr>
            <w:tcW w:w="140" w:type="dxa"/>
            <w:vAlign w:val="bottom"/>
            <w:shd w:val="clear" w:color="auto" w:fill="EAF9E8"/>
          </w:tcPr>
          <w:p>
            <w:pPr>
              <w:spacing w:after="0"/>
              <w:rPr>
                <w:sz w:val="12"/>
                <w:szCs w:val="12"/>
                <w:color w:val="auto"/>
              </w:rPr>
            </w:pPr>
          </w:p>
        </w:tc>
        <w:tc>
          <w:tcPr>
            <w:tcW w:w="8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62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rPr>
              <w:t>988</w:t>
            </w:r>
          </w:p>
        </w:tc>
        <w:tc>
          <w:tcPr>
            <w:tcW w:w="220" w:type="dxa"/>
            <w:vAlign w:val="bottom"/>
            <w:shd w:val="clear" w:color="auto" w:fill="EAF9E8"/>
          </w:tcPr>
          <w:p>
            <w:pPr>
              <w:spacing w:after="0"/>
              <w:rPr>
                <w:sz w:val="12"/>
                <w:szCs w:val="12"/>
                <w:color w:val="auto"/>
              </w:rPr>
            </w:pPr>
          </w:p>
        </w:tc>
        <w:tc>
          <w:tcPr>
            <w:tcW w:w="80" w:type="dxa"/>
            <w:vAlign w:val="bottom"/>
            <w:shd w:val="clear" w:color="auto" w:fill="EAF9E8"/>
          </w:tcPr>
          <w:p>
            <w:pPr>
              <w:spacing w:after="0"/>
              <w:rPr>
                <w:sz w:val="12"/>
                <w:szCs w:val="12"/>
                <w:color w:val="auto"/>
              </w:rPr>
            </w:pPr>
          </w:p>
        </w:tc>
        <w:tc>
          <w:tcPr>
            <w:tcW w:w="680" w:type="dxa"/>
            <w:vAlign w:val="bottom"/>
            <w:gridSpan w:val="2"/>
            <w:shd w:val="clear" w:color="auto" w:fill="EAF9E8"/>
          </w:tcPr>
          <w:p>
            <w:pPr>
              <w:jc w:val="right"/>
              <w:ind w:right="80"/>
              <w:spacing w:after="0" w:line="149" w:lineRule="exact"/>
              <w:rPr>
                <w:sz w:val="20"/>
                <w:szCs w:val="20"/>
                <w:color w:val="auto"/>
              </w:rPr>
            </w:pPr>
            <w:r>
              <w:rPr>
                <w:rFonts w:ascii="Arial" w:cs="Arial" w:eastAsia="Arial" w:hAnsi="Arial"/>
                <w:sz w:val="14"/>
                <w:szCs w:val="14"/>
                <w:color w:val="auto"/>
              </w:rPr>
              <w:t>2,799</w:t>
            </w:r>
          </w:p>
        </w:tc>
        <w:tc>
          <w:tcPr>
            <w:tcW w:w="140" w:type="dxa"/>
            <w:vAlign w:val="bottom"/>
            <w:shd w:val="clear" w:color="auto" w:fill="EAF9E8"/>
          </w:tcPr>
          <w:p>
            <w:pPr>
              <w:spacing w:after="0"/>
              <w:rPr>
                <w:sz w:val="12"/>
                <w:szCs w:val="12"/>
                <w:color w:val="auto"/>
              </w:rPr>
            </w:pPr>
          </w:p>
        </w:tc>
        <w:tc>
          <w:tcPr>
            <w:tcW w:w="80" w:type="dxa"/>
            <w:vAlign w:val="bottom"/>
            <w:shd w:val="clear" w:color="auto" w:fill="EAF9E8"/>
          </w:tcPr>
          <w:p>
            <w:pPr>
              <w:spacing w:after="0"/>
              <w:rPr>
                <w:sz w:val="12"/>
                <w:szCs w:val="12"/>
                <w:color w:val="auto"/>
              </w:rPr>
            </w:pPr>
          </w:p>
        </w:tc>
        <w:tc>
          <w:tcPr>
            <w:tcW w:w="780" w:type="dxa"/>
            <w:vAlign w:val="bottom"/>
            <w:gridSpan w:val="2"/>
            <w:shd w:val="clear" w:color="auto" w:fill="EAF9E8"/>
          </w:tcPr>
          <w:p>
            <w:pPr>
              <w:jc w:val="right"/>
              <w:ind w:right="160"/>
              <w:spacing w:after="0" w:line="149" w:lineRule="exact"/>
              <w:rPr>
                <w:sz w:val="20"/>
                <w:szCs w:val="20"/>
                <w:color w:val="auto"/>
              </w:rPr>
            </w:pPr>
            <w:r>
              <w:rPr>
                <w:rFonts w:ascii="Arial" w:cs="Arial" w:eastAsia="Arial" w:hAnsi="Arial"/>
                <w:sz w:val="14"/>
                <w:szCs w:val="14"/>
                <w:color w:val="auto"/>
              </w:rPr>
              <w:t>8,555</w:t>
            </w:r>
          </w:p>
        </w:tc>
        <w:tc>
          <w:tcPr>
            <w:tcW w:w="4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60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rPr>
              <w:t>2,236</w:t>
            </w:r>
          </w:p>
        </w:tc>
        <w:tc>
          <w:tcPr>
            <w:tcW w:w="220" w:type="dxa"/>
            <w:vAlign w:val="bottom"/>
            <w:shd w:val="clear" w:color="auto" w:fill="EAF9E8"/>
          </w:tcPr>
          <w:p>
            <w:pPr>
              <w:spacing w:after="0"/>
              <w:rPr>
                <w:sz w:val="12"/>
                <w:szCs w:val="12"/>
                <w:color w:val="auto"/>
              </w:rPr>
            </w:pPr>
          </w:p>
        </w:tc>
        <w:tc>
          <w:tcPr>
            <w:tcW w:w="60" w:type="dxa"/>
            <w:vAlign w:val="bottom"/>
            <w:shd w:val="clear" w:color="auto" w:fill="EAF9E8"/>
          </w:tcPr>
          <w:p>
            <w:pPr>
              <w:spacing w:after="0"/>
              <w:rPr>
                <w:sz w:val="12"/>
                <w:szCs w:val="12"/>
                <w:color w:val="auto"/>
              </w:rPr>
            </w:pPr>
          </w:p>
        </w:tc>
        <w:tc>
          <w:tcPr>
            <w:tcW w:w="760" w:type="dxa"/>
            <w:vAlign w:val="bottom"/>
            <w:gridSpan w:val="2"/>
            <w:shd w:val="clear" w:color="auto" w:fill="EAF9E8"/>
          </w:tcPr>
          <w:p>
            <w:pPr>
              <w:jc w:val="right"/>
              <w:ind w:right="120"/>
              <w:spacing w:after="0" w:line="149" w:lineRule="exact"/>
              <w:rPr>
                <w:sz w:val="20"/>
                <w:szCs w:val="20"/>
                <w:color w:val="auto"/>
              </w:rPr>
            </w:pPr>
            <w:r>
              <w:rPr>
                <w:rFonts w:ascii="Arial" w:cs="Arial" w:eastAsia="Arial" w:hAnsi="Arial"/>
                <w:sz w:val="14"/>
                <w:szCs w:val="14"/>
                <w:color w:val="auto"/>
              </w:rPr>
              <w:t>5,348</w:t>
            </w:r>
          </w:p>
        </w:tc>
        <w:tc>
          <w:tcPr>
            <w:tcW w:w="100" w:type="dxa"/>
            <w:vAlign w:val="bottom"/>
            <w:shd w:val="clear" w:color="auto" w:fill="EAF9E8"/>
          </w:tcPr>
          <w:p>
            <w:pPr>
              <w:spacing w:after="0"/>
              <w:rPr>
                <w:sz w:val="12"/>
                <w:szCs w:val="12"/>
                <w:color w:val="auto"/>
              </w:rPr>
            </w:pPr>
          </w:p>
        </w:tc>
        <w:tc>
          <w:tcPr>
            <w:tcW w:w="60" w:type="dxa"/>
            <w:vAlign w:val="bottom"/>
            <w:shd w:val="clear" w:color="auto" w:fill="EAF9E8"/>
          </w:tcPr>
          <w:p>
            <w:pPr>
              <w:spacing w:after="0"/>
              <w:rPr>
                <w:sz w:val="12"/>
                <w:szCs w:val="12"/>
                <w:color w:val="auto"/>
              </w:rPr>
            </w:pPr>
          </w:p>
        </w:tc>
        <w:tc>
          <w:tcPr>
            <w:tcW w:w="780" w:type="dxa"/>
            <w:vAlign w:val="bottom"/>
            <w:gridSpan w:val="2"/>
            <w:shd w:val="clear" w:color="auto" w:fill="EAF9E8"/>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EAF9E8"/>
          </w:tcPr>
          <w:p>
            <w:pPr>
              <w:spacing w:after="0"/>
              <w:rPr>
                <w:sz w:val="12"/>
                <w:szCs w:val="12"/>
                <w:color w:val="auto"/>
              </w:rPr>
            </w:pPr>
          </w:p>
        </w:tc>
        <w:tc>
          <w:tcPr>
            <w:tcW w:w="80" w:type="dxa"/>
            <w:vAlign w:val="bottom"/>
            <w:shd w:val="clear" w:color="auto" w:fill="EAF9E8"/>
          </w:tcPr>
          <w:p>
            <w:pPr>
              <w:spacing w:after="0"/>
              <w:rPr>
                <w:sz w:val="12"/>
                <w:szCs w:val="12"/>
                <w:color w:val="auto"/>
              </w:rPr>
            </w:pPr>
          </w:p>
        </w:tc>
        <w:tc>
          <w:tcPr>
            <w:tcW w:w="66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rPr>
              <w:t>28,545</w:t>
            </w:r>
          </w:p>
        </w:tc>
        <w:tc>
          <w:tcPr>
            <w:tcW w:w="120" w:type="dxa"/>
            <w:vAlign w:val="bottom"/>
            <w:shd w:val="clear" w:color="auto" w:fill="EAF9E8"/>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tcPr>
          <w:p>
            <w:pPr>
              <w:ind w:left="140"/>
              <w:spacing w:after="0" w:line="149" w:lineRule="exact"/>
              <w:rPr>
                <w:sz w:val="20"/>
                <w:szCs w:val="20"/>
                <w:color w:val="auto"/>
              </w:rPr>
            </w:pPr>
            <w:r>
              <w:rPr>
                <w:rFonts w:ascii="Arial" w:cs="Arial" w:eastAsia="Arial" w:hAnsi="Arial"/>
                <w:sz w:val="14"/>
                <w:szCs w:val="14"/>
                <w:color w:val="auto"/>
              </w:rPr>
              <w:t>Amortization of servicing rights</w:t>
            </w:r>
          </w:p>
        </w:tc>
        <w:tc>
          <w:tcPr>
            <w:tcW w:w="80" w:type="dxa"/>
            <w:vAlign w:val="bottom"/>
          </w:tcPr>
          <w:p>
            <w:pPr>
              <w:spacing w:after="0"/>
              <w:rPr>
                <w:sz w:val="12"/>
                <w:szCs w:val="12"/>
                <w:color w:val="auto"/>
              </w:rPr>
            </w:pPr>
          </w:p>
        </w:tc>
        <w:tc>
          <w:tcPr>
            <w:tcW w:w="6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10,041</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7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10,041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shd w:val="clear" w:color="auto" w:fill="EAF9E8"/>
          </w:tcPr>
          <w:p>
            <w:pPr>
              <w:ind w:left="140"/>
              <w:spacing w:after="0" w:line="149" w:lineRule="exact"/>
              <w:rPr>
                <w:sz w:val="20"/>
                <w:szCs w:val="20"/>
                <w:color w:val="auto"/>
              </w:rPr>
            </w:pPr>
            <w:r>
              <w:rPr>
                <w:rFonts w:ascii="Arial" w:cs="Arial" w:eastAsia="Arial" w:hAnsi="Arial"/>
                <w:sz w:val="14"/>
                <w:szCs w:val="14"/>
                <w:color w:val="auto"/>
              </w:rPr>
              <w:t>Servicing and origination</w:t>
            </w:r>
          </w:p>
        </w:tc>
        <w:tc>
          <w:tcPr>
            <w:tcW w:w="80" w:type="dxa"/>
            <w:vAlign w:val="bottom"/>
            <w:shd w:val="clear" w:color="auto" w:fill="EAF9E8"/>
          </w:tcPr>
          <w:p>
            <w:pPr>
              <w:spacing w:after="0"/>
              <w:rPr>
                <w:sz w:val="12"/>
                <w:szCs w:val="12"/>
                <w:color w:val="auto"/>
              </w:rPr>
            </w:pPr>
          </w:p>
        </w:tc>
        <w:tc>
          <w:tcPr>
            <w:tcW w:w="620" w:type="dxa"/>
            <w:vAlign w:val="bottom"/>
            <w:gridSpan w:val="2"/>
            <w:shd w:val="clear" w:color="auto" w:fill="EAF9E8"/>
          </w:tcPr>
          <w:p>
            <w:pPr>
              <w:jc w:val="right"/>
              <w:ind w:right="20"/>
              <w:spacing w:after="0" w:line="149" w:lineRule="exact"/>
              <w:rPr>
                <w:sz w:val="20"/>
                <w:szCs w:val="20"/>
                <w:color w:val="auto"/>
              </w:rPr>
            </w:pPr>
            <w:r>
              <w:rPr>
                <w:rFonts w:ascii="Arial" w:cs="Arial" w:eastAsia="Arial" w:hAnsi="Arial"/>
                <w:sz w:val="14"/>
                <w:szCs w:val="14"/>
                <w:color w:val="auto"/>
              </w:rPr>
              <w:t>2,032</w:t>
            </w:r>
          </w:p>
        </w:tc>
        <w:tc>
          <w:tcPr>
            <w:tcW w:w="120" w:type="dxa"/>
            <w:vAlign w:val="bottom"/>
            <w:shd w:val="clear" w:color="auto" w:fill="EAF9E8"/>
          </w:tcPr>
          <w:p>
            <w:pPr>
              <w:spacing w:after="0"/>
              <w:rPr>
                <w:sz w:val="12"/>
                <w:szCs w:val="12"/>
                <w:color w:val="auto"/>
              </w:rPr>
            </w:pPr>
          </w:p>
        </w:tc>
        <w:tc>
          <w:tcPr>
            <w:tcW w:w="80" w:type="dxa"/>
            <w:vAlign w:val="bottom"/>
            <w:shd w:val="clear" w:color="auto" w:fill="EAF9E8"/>
          </w:tcPr>
          <w:p>
            <w:pPr>
              <w:spacing w:after="0"/>
              <w:rPr>
                <w:sz w:val="12"/>
                <w:szCs w:val="12"/>
                <w:color w:val="auto"/>
              </w:rPr>
            </w:pPr>
          </w:p>
        </w:tc>
        <w:tc>
          <w:tcPr>
            <w:tcW w:w="80" w:type="dxa"/>
            <w:vAlign w:val="bottom"/>
            <w:shd w:val="clear" w:color="auto" w:fill="EAF9E8"/>
          </w:tcPr>
          <w:p>
            <w:pPr>
              <w:spacing w:after="0"/>
              <w:rPr>
                <w:sz w:val="12"/>
                <w:szCs w:val="12"/>
                <w:color w:val="auto"/>
              </w:rPr>
            </w:pPr>
          </w:p>
        </w:tc>
        <w:tc>
          <w:tcPr>
            <w:tcW w:w="740" w:type="dxa"/>
            <w:vAlign w:val="bottom"/>
            <w:gridSpan w:val="2"/>
            <w:shd w:val="clear" w:color="auto" w:fill="EAF9E8"/>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840" w:type="dxa"/>
            <w:vAlign w:val="bottom"/>
            <w:gridSpan w:val="2"/>
            <w:shd w:val="clear" w:color="auto" w:fill="EAF9E8"/>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EAF9E8"/>
          </w:tcPr>
          <w:p>
            <w:pPr>
              <w:spacing w:after="0"/>
              <w:rPr>
                <w:sz w:val="12"/>
                <w:szCs w:val="12"/>
                <w:color w:val="auto"/>
              </w:rPr>
            </w:pPr>
          </w:p>
        </w:tc>
        <w:tc>
          <w:tcPr>
            <w:tcW w:w="680" w:type="dxa"/>
            <w:vAlign w:val="bottom"/>
            <w:gridSpan w:val="2"/>
            <w:shd w:val="clear" w:color="auto" w:fill="EAF9E8"/>
          </w:tcPr>
          <w:p>
            <w:pPr>
              <w:jc w:val="right"/>
              <w:ind w:right="80"/>
              <w:spacing w:after="0" w:line="149" w:lineRule="exact"/>
              <w:rPr>
                <w:sz w:val="20"/>
                <w:szCs w:val="20"/>
                <w:color w:val="auto"/>
              </w:rPr>
            </w:pPr>
            <w:r>
              <w:rPr>
                <w:rFonts w:ascii="Arial" w:cs="Arial" w:eastAsia="Arial" w:hAnsi="Arial"/>
                <w:sz w:val="14"/>
                <w:szCs w:val="14"/>
                <w:color w:val="auto"/>
              </w:rPr>
              <w:t>7,252</w:t>
            </w:r>
          </w:p>
        </w:tc>
        <w:tc>
          <w:tcPr>
            <w:tcW w:w="140" w:type="dxa"/>
            <w:vAlign w:val="bottom"/>
            <w:shd w:val="clear" w:color="auto" w:fill="EAF9E8"/>
          </w:tcPr>
          <w:p>
            <w:pPr>
              <w:spacing w:after="0"/>
              <w:rPr>
                <w:sz w:val="12"/>
                <w:szCs w:val="12"/>
                <w:color w:val="auto"/>
              </w:rPr>
            </w:pPr>
          </w:p>
        </w:tc>
        <w:tc>
          <w:tcPr>
            <w:tcW w:w="80" w:type="dxa"/>
            <w:vAlign w:val="bottom"/>
            <w:shd w:val="clear" w:color="auto" w:fill="EAF9E8"/>
          </w:tcPr>
          <w:p>
            <w:pPr>
              <w:spacing w:after="0"/>
              <w:rPr>
                <w:sz w:val="12"/>
                <w:szCs w:val="12"/>
                <w:color w:val="auto"/>
              </w:rPr>
            </w:pPr>
          </w:p>
        </w:tc>
        <w:tc>
          <w:tcPr>
            <w:tcW w:w="780" w:type="dxa"/>
            <w:vAlign w:val="bottom"/>
            <w:gridSpan w:val="2"/>
            <w:shd w:val="clear" w:color="auto" w:fill="EAF9E8"/>
          </w:tcPr>
          <w:p>
            <w:pPr>
              <w:jc w:val="right"/>
              <w:ind w:right="160"/>
              <w:spacing w:after="0" w:line="149" w:lineRule="exact"/>
              <w:rPr>
                <w:sz w:val="20"/>
                <w:szCs w:val="20"/>
                <w:color w:val="auto"/>
              </w:rPr>
            </w:pPr>
            <w:r>
              <w:rPr>
                <w:rFonts w:ascii="Arial" w:cs="Arial" w:eastAsia="Arial" w:hAnsi="Arial"/>
                <w:sz w:val="14"/>
                <w:szCs w:val="14"/>
                <w:color w:val="auto"/>
              </w:rPr>
              <w:t>3,354</w:t>
            </w:r>
          </w:p>
        </w:tc>
        <w:tc>
          <w:tcPr>
            <w:tcW w:w="4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820" w:type="dxa"/>
            <w:vAlign w:val="bottom"/>
            <w:gridSpan w:val="2"/>
            <w:shd w:val="clear" w:color="auto" w:fill="EAF9E8"/>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EAF9E8"/>
          </w:tcPr>
          <w:p>
            <w:pPr>
              <w:spacing w:after="0"/>
              <w:rPr>
                <w:sz w:val="12"/>
                <w:szCs w:val="12"/>
                <w:color w:val="auto"/>
              </w:rPr>
            </w:pPr>
          </w:p>
        </w:tc>
        <w:tc>
          <w:tcPr>
            <w:tcW w:w="760" w:type="dxa"/>
            <w:vAlign w:val="bottom"/>
            <w:gridSpan w:val="2"/>
            <w:shd w:val="clear" w:color="auto" w:fill="EAF9E8"/>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EAF9E8"/>
          </w:tcPr>
          <w:p>
            <w:pPr>
              <w:spacing w:after="0"/>
              <w:rPr>
                <w:sz w:val="12"/>
                <w:szCs w:val="12"/>
                <w:color w:val="auto"/>
              </w:rPr>
            </w:pPr>
          </w:p>
        </w:tc>
        <w:tc>
          <w:tcPr>
            <w:tcW w:w="60" w:type="dxa"/>
            <w:vAlign w:val="bottom"/>
            <w:shd w:val="clear" w:color="auto" w:fill="EAF9E8"/>
          </w:tcPr>
          <w:p>
            <w:pPr>
              <w:spacing w:after="0"/>
              <w:rPr>
                <w:sz w:val="12"/>
                <w:szCs w:val="12"/>
                <w:color w:val="auto"/>
              </w:rPr>
            </w:pPr>
          </w:p>
        </w:tc>
        <w:tc>
          <w:tcPr>
            <w:tcW w:w="780" w:type="dxa"/>
            <w:vAlign w:val="bottom"/>
            <w:gridSpan w:val="2"/>
            <w:shd w:val="clear" w:color="auto" w:fill="EAF9E8"/>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EAF9E8"/>
          </w:tcPr>
          <w:p>
            <w:pPr>
              <w:spacing w:after="0"/>
              <w:rPr>
                <w:sz w:val="12"/>
                <w:szCs w:val="12"/>
                <w:color w:val="auto"/>
              </w:rPr>
            </w:pPr>
          </w:p>
        </w:tc>
        <w:tc>
          <w:tcPr>
            <w:tcW w:w="80" w:type="dxa"/>
            <w:vAlign w:val="bottom"/>
            <w:shd w:val="clear" w:color="auto" w:fill="EAF9E8"/>
          </w:tcPr>
          <w:p>
            <w:pPr>
              <w:spacing w:after="0"/>
              <w:rPr>
                <w:sz w:val="12"/>
                <w:szCs w:val="12"/>
                <w:color w:val="auto"/>
              </w:rPr>
            </w:pPr>
          </w:p>
        </w:tc>
        <w:tc>
          <w:tcPr>
            <w:tcW w:w="66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rPr>
              <w:t>12,638</w:t>
            </w:r>
          </w:p>
        </w:tc>
        <w:tc>
          <w:tcPr>
            <w:tcW w:w="120" w:type="dxa"/>
            <w:vAlign w:val="bottom"/>
            <w:shd w:val="clear" w:color="auto" w:fill="EAF9E8"/>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tcPr>
          <w:p>
            <w:pPr>
              <w:ind w:left="140"/>
              <w:spacing w:after="0" w:line="149" w:lineRule="exact"/>
              <w:rPr>
                <w:sz w:val="20"/>
                <w:szCs w:val="20"/>
                <w:color w:val="auto"/>
              </w:rPr>
            </w:pPr>
            <w:r>
              <w:rPr>
                <w:rFonts w:ascii="Arial" w:cs="Arial" w:eastAsia="Arial" w:hAnsi="Arial"/>
                <w:sz w:val="14"/>
                <w:szCs w:val="14"/>
                <w:color w:val="auto"/>
              </w:rPr>
              <w:t>Technology and communications</w:t>
            </w:r>
          </w:p>
        </w:tc>
        <w:tc>
          <w:tcPr>
            <w:tcW w:w="80" w:type="dxa"/>
            <w:vAlign w:val="bottom"/>
          </w:tcPr>
          <w:p>
            <w:pPr>
              <w:spacing w:after="0"/>
              <w:rPr>
                <w:sz w:val="12"/>
                <w:szCs w:val="12"/>
                <w:color w:val="auto"/>
              </w:rPr>
            </w:pPr>
          </w:p>
        </w:tc>
        <w:tc>
          <w:tcPr>
            <w:tcW w:w="6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2,819</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8</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103</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914</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2,160</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4,259</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882</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(6,337)</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4,808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shd w:val="clear" w:color="auto" w:fill="EAF9E8"/>
          </w:tcPr>
          <w:p>
            <w:pPr>
              <w:ind w:left="140"/>
              <w:spacing w:after="0" w:line="149" w:lineRule="exact"/>
              <w:rPr>
                <w:sz w:val="20"/>
                <w:szCs w:val="20"/>
                <w:color w:val="auto"/>
              </w:rPr>
            </w:pPr>
            <w:r>
              <w:rPr>
                <w:rFonts w:ascii="Arial" w:cs="Arial" w:eastAsia="Arial" w:hAnsi="Arial"/>
                <w:sz w:val="14"/>
                <w:szCs w:val="14"/>
                <w:color w:val="auto"/>
              </w:rPr>
              <w:t>Professional services</w:t>
            </w:r>
          </w:p>
        </w:tc>
        <w:tc>
          <w:tcPr>
            <w:tcW w:w="80" w:type="dxa"/>
            <w:vAlign w:val="bottom"/>
            <w:shd w:val="clear" w:color="auto" w:fill="EAF9E8"/>
          </w:tcPr>
          <w:p>
            <w:pPr>
              <w:spacing w:after="0"/>
              <w:rPr>
                <w:sz w:val="12"/>
                <w:szCs w:val="12"/>
                <w:color w:val="auto"/>
              </w:rPr>
            </w:pPr>
          </w:p>
        </w:tc>
        <w:tc>
          <w:tcPr>
            <w:tcW w:w="620" w:type="dxa"/>
            <w:vAlign w:val="bottom"/>
            <w:gridSpan w:val="2"/>
            <w:shd w:val="clear" w:color="auto" w:fill="EAF9E8"/>
          </w:tcPr>
          <w:p>
            <w:pPr>
              <w:jc w:val="right"/>
              <w:ind w:right="20"/>
              <w:spacing w:after="0" w:line="149" w:lineRule="exact"/>
              <w:rPr>
                <w:sz w:val="20"/>
                <w:szCs w:val="20"/>
                <w:color w:val="auto"/>
              </w:rPr>
            </w:pPr>
            <w:r>
              <w:rPr>
                <w:rFonts w:ascii="Arial" w:cs="Arial" w:eastAsia="Arial" w:hAnsi="Arial"/>
                <w:sz w:val="14"/>
                <w:szCs w:val="14"/>
                <w:color w:val="auto"/>
              </w:rPr>
              <w:t>1,914</w:t>
            </w:r>
          </w:p>
        </w:tc>
        <w:tc>
          <w:tcPr>
            <w:tcW w:w="120" w:type="dxa"/>
            <w:vAlign w:val="bottom"/>
            <w:shd w:val="clear" w:color="auto" w:fill="EAF9E8"/>
          </w:tcPr>
          <w:p>
            <w:pPr>
              <w:spacing w:after="0"/>
              <w:rPr>
                <w:sz w:val="12"/>
                <w:szCs w:val="12"/>
                <w:color w:val="auto"/>
              </w:rPr>
            </w:pPr>
          </w:p>
        </w:tc>
        <w:tc>
          <w:tcPr>
            <w:tcW w:w="80" w:type="dxa"/>
            <w:vAlign w:val="bottom"/>
            <w:shd w:val="clear" w:color="auto" w:fill="EAF9E8"/>
          </w:tcPr>
          <w:p>
            <w:pPr>
              <w:spacing w:after="0"/>
              <w:rPr>
                <w:sz w:val="12"/>
                <w:szCs w:val="12"/>
                <w:color w:val="auto"/>
              </w:rPr>
            </w:pPr>
          </w:p>
        </w:tc>
        <w:tc>
          <w:tcPr>
            <w:tcW w:w="80" w:type="dxa"/>
            <w:vAlign w:val="bottom"/>
            <w:shd w:val="clear" w:color="auto" w:fill="EAF9E8"/>
          </w:tcPr>
          <w:p>
            <w:pPr>
              <w:spacing w:after="0"/>
              <w:rPr>
                <w:sz w:val="12"/>
                <w:szCs w:val="12"/>
                <w:color w:val="auto"/>
              </w:rPr>
            </w:pPr>
          </w:p>
        </w:tc>
        <w:tc>
          <w:tcPr>
            <w:tcW w:w="740" w:type="dxa"/>
            <w:vAlign w:val="bottom"/>
            <w:gridSpan w:val="2"/>
            <w:shd w:val="clear" w:color="auto" w:fill="EAF9E8"/>
          </w:tcPr>
          <w:p>
            <w:pPr>
              <w:jc w:val="right"/>
              <w:ind w:right="80"/>
              <w:spacing w:after="0" w:line="149" w:lineRule="exact"/>
              <w:rPr>
                <w:sz w:val="20"/>
                <w:szCs w:val="20"/>
                <w:color w:val="auto"/>
              </w:rPr>
            </w:pPr>
            <w:r>
              <w:rPr>
                <w:rFonts w:ascii="Arial" w:cs="Arial" w:eastAsia="Arial" w:hAnsi="Arial"/>
                <w:sz w:val="14"/>
                <w:szCs w:val="14"/>
                <w:color w:val="auto"/>
              </w:rPr>
              <w:t>(100)</w:t>
            </w:r>
          </w:p>
        </w:tc>
        <w:tc>
          <w:tcPr>
            <w:tcW w:w="8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840" w:type="dxa"/>
            <w:vAlign w:val="bottom"/>
            <w:gridSpan w:val="2"/>
            <w:shd w:val="clear" w:color="auto" w:fill="EAF9E8"/>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EAF9E8"/>
          </w:tcPr>
          <w:p>
            <w:pPr>
              <w:spacing w:after="0"/>
              <w:rPr>
                <w:sz w:val="12"/>
                <w:szCs w:val="12"/>
                <w:color w:val="auto"/>
              </w:rPr>
            </w:pPr>
          </w:p>
        </w:tc>
        <w:tc>
          <w:tcPr>
            <w:tcW w:w="680" w:type="dxa"/>
            <w:vAlign w:val="bottom"/>
            <w:gridSpan w:val="2"/>
            <w:shd w:val="clear" w:color="auto" w:fill="EAF9E8"/>
          </w:tcPr>
          <w:p>
            <w:pPr>
              <w:jc w:val="right"/>
              <w:ind w:right="80"/>
              <w:spacing w:after="0" w:line="149" w:lineRule="exact"/>
              <w:rPr>
                <w:sz w:val="20"/>
                <w:szCs w:val="20"/>
                <w:color w:val="auto"/>
              </w:rPr>
            </w:pPr>
            <w:r>
              <w:rPr>
                <w:rFonts w:ascii="Arial" w:cs="Arial" w:eastAsia="Arial" w:hAnsi="Arial"/>
                <w:sz w:val="14"/>
                <w:szCs w:val="14"/>
                <w:color w:val="auto"/>
              </w:rPr>
              <w:t>208</w:t>
            </w:r>
          </w:p>
        </w:tc>
        <w:tc>
          <w:tcPr>
            <w:tcW w:w="140" w:type="dxa"/>
            <w:vAlign w:val="bottom"/>
            <w:shd w:val="clear" w:color="auto" w:fill="EAF9E8"/>
          </w:tcPr>
          <w:p>
            <w:pPr>
              <w:spacing w:after="0"/>
              <w:rPr>
                <w:sz w:val="12"/>
                <w:szCs w:val="12"/>
                <w:color w:val="auto"/>
              </w:rPr>
            </w:pPr>
          </w:p>
        </w:tc>
        <w:tc>
          <w:tcPr>
            <w:tcW w:w="80" w:type="dxa"/>
            <w:vAlign w:val="bottom"/>
            <w:shd w:val="clear" w:color="auto" w:fill="EAF9E8"/>
          </w:tcPr>
          <w:p>
            <w:pPr>
              <w:spacing w:after="0"/>
              <w:rPr>
                <w:sz w:val="12"/>
                <w:szCs w:val="12"/>
                <w:color w:val="auto"/>
              </w:rPr>
            </w:pPr>
          </w:p>
        </w:tc>
        <w:tc>
          <w:tcPr>
            <w:tcW w:w="780" w:type="dxa"/>
            <w:vAlign w:val="bottom"/>
            <w:gridSpan w:val="2"/>
            <w:shd w:val="clear" w:color="auto" w:fill="EAF9E8"/>
          </w:tcPr>
          <w:p>
            <w:pPr>
              <w:jc w:val="right"/>
              <w:ind w:right="160"/>
              <w:spacing w:after="0" w:line="149" w:lineRule="exact"/>
              <w:rPr>
                <w:sz w:val="20"/>
                <w:szCs w:val="20"/>
                <w:color w:val="auto"/>
              </w:rPr>
            </w:pPr>
            <w:r>
              <w:rPr>
                <w:rFonts w:ascii="Arial" w:cs="Arial" w:eastAsia="Arial" w:hAnsi="Arial"/>
                <w:sz w:val="14"/>
                <w:szCs w:val="14"/>
                <w:color w:val="auto"/>
              </w:rPr>
              <w:t>718</w:t>
            </w:r>
          </w:p>
        </w:tc>
        <w:tc>
          <w:tcPr>
            <w:tcW w:w="4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60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rPr>
              <w:t>3</w:t>
            </w:r>
          </w:p>
        </w:tc>
        <w:tc>
          <w:tcPr>
            <w:tcW w:w="220" w:type="dxa"/>
            <w:vAlign w:val="bottom"/>
            <w:shd w:val="clear" w:color="auto" w:fill="EAF9E8"/>
          </w:tcPr>
          <w:p>
            <w:pPr>
              <w:spacing w:after="0"/>
              <w:rPr>
                <w:sz w:val="12"/>
                <w:szCs w:val="12"/>
                <w:color w:val="auto"/>
              </w:rPr>
            </w:pPr>
          </w:p>
        </w:tc>
        <w:tc>
          <w:tcPr>
            <w:tcW w:w="60" w:type="dxa"/>
            <w:vAlign w:val="bottom"/>
            <w:shd w:val="clear" w:color="auto" w:fill="EAF9E8"/>
          </w:tcPr>
          <w:p>
            <w:pPr>
              <w:spacing w:after="0"/>
              <w:rPr>
                <w:sz w:val="12"/>
                <w:szCs w:val="12"/>
                <w:color w:val="auto"/>
              </w:rPr>
            </w:pPr>
          </w:p>
        </w:tc>
        <w:tc>
          <w:tcPr>
            <w:tcW w:w="760" w:type="dxa"/>
            <w:vAlign w:val="bottom"/>
            <w:gridSpan w:val="2"/>
            <w:shd w:val="clear" w:color="auto" w:fill="EAF9E8"/>
          </w:tcPr>
          <w:p>
            <w:pPr>
              <w:jc w:val="right"/>
              <w:ind w:right="120"/>
              <w:spacing w:after="0" w:line="149" w:lineRule="exact"/>
              <w:rPr>
                <w:sz w:val="20"/>
                <w:szCs w:val="20"/>
                <w:color w:val="auto"/>
              </w:rPr>
            </w:pPr>
            <w:r>
              <w:rPr>
                <w:rFonts w:ascii="Arial" w:cs="Arial" w:eastAsia="Arial" w:hAnsi="Arial"/>
                <w:sz w:val="14"/>
                <w:szCs w:val="14"/>
                <w:color w:val="auto"/>
              </w:rPr>
              <w:t>4,443</w:t>
            </w:r>
          </w:p>
        </w:tc>
        <w:tc>
          <w:tcPr>
            <w:tcW w:w="100" w:type="dxa"/>
            <w:vAlign w:val="bottom"/>
            <w:shd w:val="clear" w:color="auto" w:fill="EAF9E8"/>
          </w:tcPr>
          <w:p>
            <w:pPr>
              <w:spacing w:after="0"/>
              <w:rPr>
                <w:sz w:val="12"/>
                <w:szCs w:val="12"/>
                <w:color w:val="auto"/>
              </w:rPr>
            </w:pPr>
          </w:p>
        </w:tc>
        <w:tc>
          <w:tcPr>
            <w:tcW w:w="60" w:type="dxa"/>
            <w:vAlign w:val="bottom"/>
            <w:shd w:val="clear" w:color="auto" w:fill="EAF9E8"/>
          </w:tcPr>
          <w:p>
            <w:pPr>
              <w:spacing w:after="0"/>
              <w:rPr>
                <w:sz w:val="12"/>
                <w:szCs w:val="12"/>
                <w:color w:val="auto"/>
              </w:rPr>
            </w:pPr>
          </w:p>
        </w:tc>
        <w:tc>
          <w:tcPr>
            <w:tcW w:w="780" w:type="dxa"/>
            <w:vAlign w:val="bottom"/>
            <w:gridSpan w:val="2"/>
            <w:shd w:val="clear" w:color="auto" w:fill="EAF9E8"/>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EAF9E8"/>
          </w:tcPr>
          <w:p>
            <w:pPr>
              <w:spacing w:after="0"/>
              <w:rPr>
                <w:sz w:val="12"/>
                <w:szCs w:val="12"/>
                <w:color w:val="auto"/>
              </w:rPr>
            </w:pPr>
          </w:p>
        </w:tc>
        <w:tc>
          <w:tcPr>
            <w:tcW w:w="80" w:type="dxa"/>
            <w:vAlign w:val="bottom"/>
            <w:shd w:val="clear" w:color="auto" w:fill="EAF9E8"/>
          </w:tcPr>
          <w:p>
            <w:pPr>
              <w:spacing w:after="0"/>
              <w:rPr>
                <w:sz w:val="12"/>
                <w:szCs w:val="12"/>
                <w:color w:val="auto"/>
              </w:rPr>
            </w:pPr>
          </w:p>
        </w:tc>
        <w:tc>
          <w:tcPr>
            <w:tcW w:w="66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rPr>
              <w:t>7,186</w:t>
            </w:r>
          </w:p>
        </w:tc>
        <w:tc>
          <w:tcPr>
            <w:tcW w:w="120" w:type="dxa"/>
            <w:vAlign w:val="bottom"/>
            <w:shd w:val="clear" w:color="auto" w:fill="EAF9E8"/>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tcPr>
          <w:p>
            <w:pPr>
              <w:ind w:left="140"/>
              <w:spacing w:after="0" w:line="149" w:lineRule="exact"/>
              <w:rPr>
                <w:sz w:val="20"/>
                <w:szCs w:val="20"/>
                <w:color w:val="auto"/>
              </w:rPr>
            </w:pPr>
            <w:r>
              <w:rPr>
                <w:rFonts w:ascii="Arial" w:cs="Arial" w:eastAsia="Arial" w:hAnsi="Arial"/>
                <w:sz w:val="14"/>
                <w:szCs w:val="14"/>
                <w:color w:val="auto"/>
              </w:rPr>
              <w:t>Occupancy and equipment</w:t>
            </w:r>
          </w:p>
        </w:tc>
        <w:tc>
          <w:tcPr>
            <w:tcW w:w="80" w:type="dxa"/>
            <w:vAlign w:val="bottom"/>
          </w:tcPr>
          <w:p>
            <w:pPr>
              <w:spacing w:after="0"/>
              <w:rPr>
                <w:sz w:val="12"/>
                <w:szCs w:val="12"/>
                <w:color w:val="auto"/>
              </w:rPr>
            </w:pPr>
          </w:p>
        </w:tc>
        <w:tc>
          <w:tcPr>
            <w:tcW w:w="6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2,862</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36</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291</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1,239</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635</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983</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6,046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shd w:val="clear" w:color="auto" w:fill="EAF9E8"/>
          </w:tcPr>
          <w:p>
            <w:pPr>
              <w:ind w:left="140"/>
              <w:spacing w:after="0" w:line="149" w:lineRule="exact"/>
              <w:rPr>
                <w:sz w:val="20"/>
                <w:szCs w:val="20"/>
                <w:color w:val="auto"/>
              </w:rPr>
            </w:pPr>
            <w:r>
              <w:rPr>
                <w:rFonts w:ascii="Arial" w:cs="Arial" w:eastAsia="Arial" w:hAnsi="Arial"/>
                <w:sz w:val="14"/>
                <w:szCs w:val="14"/>
                <w:color w:val="auto"/>
              </w:rPr>
              <w:t>Other operating expenses</w:t>
            </w:r>
          </w:p>
        </w:tc>
        <w:tc>
          <w:tcPr>
            <w:tcW w:w="80" w:type="dxa"/>
            <w:vAlign w:val="bottom"/>
            <w:shd w:val="clear" w:color="auto" w:fill="EAF9E8"/>
          </w:tcPr>
          <w:p>
            <w:pPr>
              <w:spacing w:after="0"/>
              <w:rPr>
                <w:sz w:val="12"/>
                <w:szCs w:val="12"/>
                <w:color w:val="auto"/>
              </w:rPr>
            </w:pPr>
          </w:p>
        </w:tc>
        <w:tc>
          <w:tcPr>
            <w:tcW w:w="620" w:type="dxa"/>
            <w:vAlign w:val="bottom"/>
            <w:gridSpan w:val="2"/>
            <w:shd w:val="clear" w:color="auto" w:fill="EAF9E8"/>
          </w:tcPr>
          <w:p>
            <w:pPr>
              <w:jc w:val="right"/>
              <w:ind w:right="20"/>
              <w:spacing w:after="0" w:line="149" w:lineRule="exact"/>
              <w:rPr>
                <w:sz w:val="20"/>
                <w:szCs w:val="20"/>
                <w:color w:val="auto"/>
              </w:rPr>
            </w:pPr>
            <w:r>
              <w:rPr>
                <w:rFonts w:ascii="Arial" w:cs="Arial" w:eastAsia="Arial" w:hAnsi="Arial"/>
                <w:sz w:val="14"/>
                <w:szCs w:val="14"/>
                <w:color w:val="auto"/>
              </w:rPr>
              <w:t>5,937</w:t>
            </w:r>
          </w:p>
        </w:tc>
        <w:tc>
          <w:tcPr>
            <w:tcW w:w="120" w:type="dxa"/>
            <w:vAlign w:val="bottom"/>
            <w:shd w:val="clear" w:color="auto" w:fill="EAF9E8"/>
          </w:tcPr>
          <w:p>
            <w:pPr>
              <w:spacing w:after="0"/>
              <w:rPr>
                <w:sz w:val="12"/>
                <w:szCs w:val="12"/>
                <w:color w:val="auto"/>
              </w:rPr>
            </w:pPr>
          </w:p>
        </w:tc>
        <w:tc>
          <w:tcPr>
            <w:tcW w:w="80" w:type="dxa"/>
            <w:vAlign w:val="bottom"/>
            <w:shd w:val="clear" w:color="auto" w:fill="EAF9E8"/>
          </w:tcPr>
          <w:p>
            <w:pPr>
              <w:spacing w:after="0"/>
              <w:rPr>
                <w:sz w:val="12"/>
                <w:szCs w:val="12"/>
                <w:color w:val="auto"/>
              </w:rPr>
            </w:pPr>
          </w:p>
        </w:tc>
        <w:tc>
          <w:tcPr>
            <w:tcW w:w="80" w:type="dxa"/>
            <w:vAlign w:val="bottom"/>
            <w:shd w:val="clear" w:color="auto" w:fill="EAF9E8"/>
          </w:tcPr>
          <w:p>
            <w:pPr>
              <w:spacing w:after="0"/>
              <w:rPr>
                <w:sz w:val="12"/>
                <w:szCs w:val="12"/>
                <w:color w:val="auto"/>
              </w:rPr>
            </w:pPr>
          </w:p>
        </w:tc>
        <w:tc>
          <w:tcPr>
            <w:tcW w:w="60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rPr>
              <w:t>647</w:t>
            </w:r>
          </w:p>
        </w:tc>
        <w:tc>
          <w:tcPr>
            <w:tcW w:w="140" w:type="dxa"/>
            <w:vAlign w:val="bottom"/>
            <w:shd w:val="clear" w:color="auto" w:fill="EAF9E8"/>
          </w:tcPr>
          <w:p>
            <w:pPr>
              <w:spacing w:after="0"/>
              <w:rPr>
                <w:sz w:val="12"/>
                <w:szCs w:val="12"/>
                <w:color w:val="auto"/>
              </w:rPr>
            </w:pPr>
          </w:p>
        </w:tc>
        <w:tc>
          <w:tcPr>
            <w:tcW w:w="8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840" w:type="dxa"/>
            <w:vAlign w:val="bottom"/>
            <w:gridSpan w:val="2"/>
            <w:shd w:val="clear" w:color="auto" w:fill="EAF9E8"/>
          </w:tcPr>
          <w:p>
            <w:pPr>
              <w:jc w:val="right"/>
              <w:ind w:right="180"/>
              <w:spacing w:after="0" w:line="149" w:lineRule="exact"/>
              <w:rPr>
                <w:sz w:val="20"/>
                <w:szCs w:val="20"/>
                <w:color w:val="auto"/>
              </w:rPr>
            </w:pPr>
            <w:r>
              <w:rPr>
                <w:rFonts w:ascii="Arial" w:cs="Arial" w:eastAsia="Arial" w:hAnsi="Arial"/>
                <w:sz w:val="14"/>
                <w:szCs w:val="14"/>
                <w:color w:val="auto"/>
              </w:rPr>
              <w:t>(365)</w:t>
            </w:r>
          </w:p>
        </w:tc>
        <w:tc>
          <w:tcPr>
            <w:tcW w:w="80" w:type="dxa"/>
            <w:vAlign w:val="bottom"/>
            <w:shd w:val="clear" w:color="auto" w:fill="EAF9E8"/>
          </w:tcPr>
          <w:p>
            <w:pPr>
              <w:spacing w:after="0"/>
              <w:rPr>
                <w:sz w:val="12"/>
                <w:szCs w:val="12"/>
                <w:color w:val="auto"/>
              </w:rPr>
            </w:pPr>
          </w:p>
        </w:tc>
        <w:tc>
          <w:tcPr>
            <w:tcW w:w="680" w:type="dxa"/>
            <w:vAlign w:val="bottom"/>
            <w:gridSpan w:val="2"/>
            <w:shd w:val="clear" w:color="auto" w:fill="EAF9E8"/>
          </w:tcPr>
          <w:p>
            <w:pPr>
              <w:jc w:val="right"/>
              <w:ind w:right="80"/>
              <w:spacing w:after="0" w:line="149" w:lineRule="exact"/>
              <w:rPr>
                <w:sz w:val="20"/>
                <w:szCs w:val="20"/>
                <w:color w:val="auto"/>
              </w:rPr>
            </w:pPr>
            <w:r>
              <w:rPr>
                <w:rFonts w:ascii="Arial" w:cs="Arial" w:eastAsia="Arial" w:hAnsi="Arial"/>
                <w:sz w:val="14"/>
                <w:szCs w:val="14"/>
                <w:color w:val="auto"/>
              </w:rPr>
              <w:t>1,428</w:t>
            </w:r>
          </w:p>
        </w:tc>
        <w:tc>
          <w:tcPr>
            <w:tcW w:w="140" w:type="dxa"/>
            <w:vAlign w:val="bottom"/>
            <w:shd w:val="clear" w:color="auto" w:fill="EAF9E8"/>
          </w:tcPr>
          <w:p>
            <w:pPr>
              <w:spacing w:after="0"/>
              <w:rPr>
                <w:sz w:val="12"/>
                <w:szCs w:val="12"/>
                <w:color w:val="auto"/>
              </w:rPr>
            </w:pPr>
          </w:p>
        </w:tc>
        <w:tc>
          <w:tcPr>
            <w:tcW w:w="80" w:type="dxa"/>
            <w:vAlign w:val="bottom"/>
            <w:shd w:val="clear" w:color="auto" w:fill="EAF9E8"/>
          </w:tcPr>
          <w:p>
            <w:pPr>
              <w:spacing w:after="0"/>
              <w:rPr>
                <w:sz w:val="12"/>
                <w:szCs w:val="12"/>
                <w:color w:val="auto"/>
              </w:rPr>
            </w:pPr>
          </w:p>
        </w:tc>
        <w:tc>
          <w:tcPr>
            <w:tcW w:w="780" w:type="dxa"/>
            <w:vAlign w:val="bottom"/>
            <w:gridSpan w:val="2"/>
            <w:shd w:val="clear" w:color="auto" w:fill="EAF9E8"/>
          </w:tcPr>
          <w:p>
            <w:pPr>
              <w:jc w:val="right"/>
              <w:ind w:right="160"/>
              <w:spacing w:after="0" w:line="149" w:lineRule="exact"/>
              <w:rPr>
                <w:sz w:val="20"/>
                <w:szCs w:val="20"/>
                <w:color w:val="auto"/>
              </w:rPr>
            </w:pPr>
            <w:r>
              <w:rPr>
                <w:rFonts w:ascii="Arial" w:cs="Arial" w:eastAsia="Arial" w:hAnsi="Arial"/>
                <w:sz w:val="14"/>
                <w:szCs w:val="14"/>
                <w:color w:val="auto"/>
              </w:rPr>
              <w:t>2,125</w:t>
            </w:r>
          </w:p>
        </w:tc>
        <w:tc>
          <w:tcPr>
            <w:tcW w:w="4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60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rPr>
              <w:t>1,040</w:t>
            </w:r>
          </w:p>
        </w:tc>
        <w:tc>
          <w:tcPr>
            <w:tcW w:w="220" w:type="dxa"/>
            <w:vAlign w:val="bottom"/>
            <w:shd w:val="clear" w:color="auto" w:fill="EAF9E8"/>
          </w:tcPr>
          <w:p>
            <w:pPr>
              <w:spacing w:after="0"/>
              <w:rPr>
                <w:sz w:val="12"/>
                <w:szCs w:val="12"/>
                <w:color w:val="auto"/>
              </w:rPr>
            </w:pPr>
          </w:p>
        </w:tc>
        <w:tc>
          <w:tcPr>
            <w:tcW w:w="60" w:type="dxa"/>
            <w:vAlign w:val="bottom"/>
            <w:shd w:val="clear" w:color="auto" w:fill="EAF9E8"/>
          </w:tcPr>
          <w:p>
            <w:pPr>
              <w:spacing w:after="0"/>
              <w:rPr>
                <w:sz w:val="12"/>
                <w:szCs w:val="12"/>
                <w:color w:val="auto"/>
              </w:rPr>
            </w:pPr>
          </w:p>
        </w:tc>
        <w:tc>
          <w:tcPr>
            <w:tcW w:w="760" w:type="dxa"/>
            <w:vAlign w:val="bottom"/>
            <w:gridSpan w:val="2"/>
            <w:shd w:val="clear" w:color="auto" w:fill="EAF9E8"/>
          </w:tcPr>
          <w:p>
            <w:pPr>
              <w:jc w:val="right"/>
              <w:ind w:right="80"/>
              <w:spacing w:after="0" w:line="149" w:lineRule="exact"/>
              <w:rPr>
                <w:sz w:val="20"/>
                <w:szCs w:val="20"/>
                <w:color w:val="auto"/>
              </w:rPr>
            </w:pPr>
            <w:r>
              <w:rPr>
                <w:rFonts w:ascii="Arial" w:cs="Arial" w:eastAsia="Arial" w:hAnsi="Arial"/>
                <w:sz w:val="14"/>
                <w:szCs w:val="14"/>
                <w:color w:val="auto"/>
              </w:rPr>
              <w:t>(7,674)</w:t>
            </w:r>
          </w:p>
        </w:tc>
        <w:tc>
          <w:tcPr>
            <w:tcW w:w="100" w:type="dxa"/>
            <w:vAlign w:val="bottom"/>
            <w:shd w:val="clear" w:color="auto" w:fill="EAF9E8"/>
          </w:tcPr>
          <w:p>
            <w:pPr>
              <w:spacing w:after="0"/>
              <w:rPr>
                <w:sz w:val="12"/>
                <w:szCs w:val="12"/>
                <w:color w:val="auto"/>
              </w:rPr>
            </w:pPr>
          </w:p>
        </w:tc>
        <w:tc>
          <w:tcPr>
            <w:tcW w:w="60" w:type="dxa"/>
            <w:vAlign w:val="bottom"/>
            <w:shd w:val="clear" w:color="auto" w:fill="EAF9E8"/>
          </w:tcPr>
          <w:p>
            <w:pPr>
              <w:spacing w:after="0"/>
              <w:rPr>
                <w:sz w:val="12"/>
                <w:szCs w:val="12"/>
                <w:color w:val="auto"/>
              </w:rPr>
            </w:pPr>
          </w:p>
        </w:tc>
        <w:tc>
          <w:tcPr>
            <w:tcW w:w="780" w:type="dxa"/>
            <w:vAlign w:val="bottom"/>
            <w:gridSpan w:val="2"/>
            <w:shd w:val="clear" w:color="auto" w:fill="EAF9E8"/>
          </w:tcPr>
          <w:p>
            <w:pPr>
              <w:jc w:val="right"/>
              <w:ind w:right="80"/>
              <w:spacing w:after="0" w:line="149" w:lineRule="exact"/>
              <w:rPr>
                <w:sz w:val="20"/>
                <w:szCs w:val="20"/>
                <w:color w:val="auto"/>
              </w:rPr>
            </w:pPr>
            <w:r>
              <w:rPr>
                <w:rFonts w:ascii="Arial" w:cs="Arial" w:eastAsia="Arial" w:hAnsi="Arial"/>
                <w:sz w:val="14"/>
                <w:szCs w:val="14"/>
                <w:color w:val="auto"/>
              </w:rPr>
              <w:t>(136)</w:t>
            </w:r>
          </w:p>
        </w:tc>
        <w:tc>
          <w:tcPr>
            <w:tcW w:w="100" w:type="dxa"/>
            <w:vAlign w:val="bottom"/>
            <w:shd w:val="clear" w:color="auto" w:fill="EAF9E8"/>
          </w:tcPr>
          <w:p>
            <w:pPr>
              <w:spacing w:after="0"/>
              <w:rPr>
                <w:sz w:val="12"/>
                <w:szCs w:val="12"/>
                <w:color w:val="auto"/>
              </w:rPr>
            </w:pPr>
          </w:p>
        </w:tc>
        <w:tc>
          <w:tcPr>
            <w:tcW w:w="80" w:type="dxa"/>
            <w:vAlign w:val="bottom"/>
            <w:shd w:val="clear" w:color="auto" w:fill="EAF9E8"/>
          </w:tcPr>
          <w:p>
            <w:pPr>
              <w:spacing w:after="0"/>
              <w:rPr>
                <w:sz w:val="12"/>
                <w:szCs w:val="12"/>
                <w:color w:val="auto"/>
              </w:rPr>
            </w:pPr>
          </w:p>
        </w:tc>
        <w:tc>
          <w:tcPr>
            <w:tcW w:w="66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rPr>
              <w:t>3,002</w:t>
            </w:r>
          </w:p>
        </w:tc>
        <w:tc>
          <w:tcPr>
            <w:tcW w:w="120" w:type="dxa"/>
            <w:vAlign w:val="bottom"/>
            <w:shd w:val="clear" w:color="auto" w:fill="EAF9E8"/>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220" w:type="dxa"/>
            <w:vAlign w:val="bottom"/>
            <w:vMerge w:val="restart"/>
          </w:tcPr>
          <w:p>
            <w:pPr>
              <w:ind w:left="300"/>
              <w:spacing w:after="0"/>
              <w:rPr>
                <w:sz w:val="20"/>
                <w:szCs w:val="20"/>
                <w:color w:val="auto"/>
              </w:rPr>
            </w:pPr>
            <w:r>
              <w:rPr>
                <w:rFonts w:ascii="Arial" w:cs="Arial" w:eastAsia="Arial" w:hAnsi="Arial"/>
                <w:sz w:val="14"/>
                <w:szCs w:val="14"/>
                <w:color w:val="auto"/>
              </w:rPr>
              <w:t>Total operating expenses</w:t>
            </w:r>
          </w:p>
        </w:tc>
        <w:tc>
          <w:tcPr>
            <w:tcW w:w="80" w:type="dxa"/>
            <w:vAlign w:val="bottom"/>
          </w:tcPr>
          <w:p>
            <w:pPr>
              <w:spacing w:after="0"/>
              <w:rPr>
                <w:sz w:val="21"/>
                <w:szCs w:val="21"/>
                <w:color w:val="auto"/>
              </w:rPr>
            </w:pPr>
          </w:p>
        </w:tc>
        <w:tc>
          <w:tcPr>
            <w:tcW w:w="620" w:type="dxa"/>
            <w:vAlign w:val="bottom"/>
            <w:gridSpan w:val="2"/>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gridSpan w:val="2"/>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gridSpan w:val="2"/>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gridSpan w:val="2"/>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80" w:type="dxa"/>
            <w:vAlign w:val="bottom"/>
            <w:gridSpan w:val="2"/>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3220" w:type="dxa"/>
            <w:vAlign w:val="bottom"/>
            <w:vMerge w:val="continue"/>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34,218</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561</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762</w:t>
            </w:r>
          </w:p>
        </w:tc>
        <w:tc>
          <w:tcPr>
            <w:tcW w:w="22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12,892</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18,151</w:t>
            </w: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8,173</w:t>
            </w:r>
          </w:p>
        </w:tc>
        <w:tc>
          <w:tcPr>
            <w:tcW w:w="220" w:type="dxa"/>
            <w:vAlign w:val="bottom"/>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3,982</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(6,473)</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72,266</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3240" w:type="dxa"/>
            <w:vAlign w:val="bottom"/>
            <w:gridSpan w:val="2"/>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gridSpan w:val="2"/>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3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2"/>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2"/>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220" w:type="dxa"/>
            <w:vAlign w:val="bottom"/>
            <w:shd w:val="clear" w:color="auto" w:fill="EAF9E8"/>
          </w:tcPr>
          <w:p>
            <w:pPr>
              <w:spacing w:after="0" w:line="149" w:lineRule="exact"/>
              <w:rPr>
                <w:sz w:val="20"/>
                <w:szCs w:val="20"/>
                <w:color w:val="auto"/>
              </w:rPr>
            </w:pPr>
            <w:r>
              <w:rPr>
                <w:rFonts w:ascii="Arial" w:cs="Arial" w:eastAsia="Arial" w:hAnsi="Arial"/>
                <w:sz w:val="14"/>
                <w:szCs w:val="14"/>
                <w:b w:val="1"/>
                <w:bCs w:val="1"/>
                <w:color w:val="auto"/>
              </w:rPr>
              <w:t>Income (loss) from operations</w:t>
            </w:r>
          </w:p>
        </w:tc>
        <w:tc>
          <w:tcPr>
            <w:tcW w:w="80" w:type="dxa"/>
            <w:vAlign w:val="bottom"/>
            <w:shd w:val="clear" w:color="auto" w:fill="EAF9E8"/>
          </w:tcPr>
          <w:p>
            <w:pPr>
              <w:spacing w:after="0"/>
              <w:rPr>
                <w:sz w:val="12"/>
                <w:szCs w:val="12"/>
                <w:color w:val="auto"/>
              </w:rPr>
            </w:pPr>
          </w:p>
        </w:tc>
        <w:tc>
          <w:tcPr>
            <w:tcW w:w="620" w:type="dxa"/>
            <w:vAlign w:val="bottom"/>
            <w:gridSpan w:val="2"/>
            <w:shd w:val="clear" w:color="auto" w:fill="EAF9E8"/>
          </w:tcPr>
          <w:p>
            <w:pPr>
              <w:jc w:val="right"/>
              <w:ind w:right="20"/>
              <w:spacing w:after="0" w:line="149" w:lineRule="exact"/>
              <w:rPr>
                <w:sz w:val="20"/>
                <w:szCs w:val="20"/>
                <w:color w:val="auto"/>
              </w:rPr>
            </w:pPr>
            <w:r>
              <w:rPr>
                <w:rFonts w:ascii="Arial" w:cs="Arial" w:eastAsia="Arial" w:hAnsi="Arial"/>
                <w:sz w:val="14"/>
                <w:szCs w:val="14"/>
                <w:color w:val="auto"/>
              </w:rPr>
              <w:t>40,476</w:t>
            </w:r>
          </w:p>
        </w:tc>
        <w:tc>
          <w:tcPr>
            <w:tcW w:w="120" w:type="dxa"/>
            <w:vAlign w:val="bottom"/>
            <w:shd w:val="clear" w:color="auto" w:fill="EAF9E8"/>
          </w:tcPr>
          <w:p>
            <w:pPr>
              <w:spacing w:after="0"/>
              <w:rPr>
                <w:sz w:val="12"/>
                <w:szCs w:val="12"/>
                <w:color w:val="auto"/>
              </w:rPr>
            </w:pPr>
          </w:p>
        </w:tc>
        <w:tc>
          <w:tcPr>
            <w:tcW w:w="80" w:type="dxa"/>
            <w:vAlign w:val="bottom"/>
            <w:shd w:val="clear" w:color="auto" w:fill="EAF9E8"/>
          </w:tcPr>
          <w:p>
            <w:pPr>
              <w:spacing w:after="0"/>
              <w:rPr>
                <w:sz w:val="12"/>
                <w:szCs w:val="12"/>
                <w:color w:val="auto"/>
              </w:rPr>
            </w:pPr>
          </w:p>
        </w:tc>
        <w:tc>
          <w:tcPr>
            <w:tcW w:w="80" w:type="dxa"/>
            <w:vAlign w:val="bottom"/>
            <w:shd w:val="clear" w:color="auto" w:fill="EAF9E8"/>
          </w:tcPr>
          <w:p>
            <w:pPr>
              <w:spacing w:after="0"/>
              <w:rPr>
                <w:sz w:val="12"/>
                <w:szCs w:val="12"/>
                <w:color w:val="auto"/>
              </w:rPr>
            </w:pPr>
          </w:p>
        </w:tc>
        <w:tc>
          <w:tcPr>
            <w:tcW w:w="740" w:type="dxa"/>
            <w:vAlign w:val="bottom"/>
            <w:gridSpan w:val="2"/>
            <w:shd w:val="clear" w:color="auto" w:fill="EAF9E8"/>
          </w:tcPr>
          <w:p>
            <w:pPr>
              <w:jc w:val="right"/>
              <w:ind w:right="80"/>
              <w:spacing w:after="0" w:line="149" w:lineRule="exact"/>
              <w:rPr>
                <w:sz w:val="20"/>
                <w:szCs w:val="20"/>
                <w:color w:val="auto"/>
              </w:rPr>
            </w:pPr>
            <w:r>
              <w:rPr>
                <w:rFonts w:ascii="Arial" w:cs="Arial" w:eastAsia="Arial" w:hAnsi="Arial"/>
                <w:sz w:val="14"/>
                <w:szCs w:val="14"/>
                <w:color w:val="auto"/>
              </w:rPr>
              <w:t>(561)</w:t>
            </w:r>
          </w:p>
        </w:tc>
        <w:tc>
          <w:tcPr>
            <w:tcW w:w="8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840" w:type="dxa"/>
            <w:vAlign w:val="bottom"/>
            <w:gridSpan w:val="2"/>
            <w:shd w:val="clear" w:color="auto" w:fill="EAF9E8"/>
          </w:tcPr>
          <w:p>
            <w:pPr>
              <w:jc w:val="right"/>
              <w:ind w:right="180"/>
              <w:spacing w:after="0" w:line="149" w:lineRule="exact"/>
              <w:rPr>
                <w:sz w:val="20"/>
                <w:szCs w:val="20"/>
                <w:color w:val="auto"/>
              </w:rPr>
            </w:pPr>
            <w:r>
              <w:rPr>
                <w:rFonts w:ascii="Arial" w:cs="Arial" w:eastAsia="Arial" w:hAnsi="Arial"/>
                <w:sz w:val="14"/>
                <w:szCs w:val="14"/>
                <w:color w:val="auto"/>
              </w:rPr>
              <w:t>(225)</w:t>
            </w:r>
          </w:p>
        </w:tc>
        <w:tc>
          <w:tcPr>
            <w:tcW w:w="80" w:type="dxa"/>
            <w:vAlign w:val="bottom"/>
            <w:shd w:val="clear" w:color="auto" w:fill="EAF9E8"/>
          </w:tcPr>
          <w:p>
            <w:pPr>
              <w:spacing w:after="0"/>
              <w:rPr>
                <w:sz w:val="12"/>
                <w:szCs w:val="12"/>
                <w:color w:val="auto"/>
              </w:rPr>
            </w:pPr>
          </w:p>
        </w:tc>
        <w:tc>
          <w:tcPr>
            <w:tcW w:w="680" w:type="dxa"/>
            <w:vAlign w:val="bottom"/>
            <w:gridSpan w:val="2"/>
            <w:shd w:val="clear" w:color="auto" w:fill="EAF9E8"/>
          </w:tcPr>
          <w:p>
            <w:pPr>
              <w:jc w:val="right"/>
              <w:ind w:right="80"/>
              <w:spacing w:after="0" w:line="149" w:lineRule="exact"/>
              <w:rPr>
                <w:sz w:val="20"/>
                <w:szCs w:val="20"/>
                <w:color w:val="auto"/>
              </w:rPr>
            </w:pPr>
            <w:r>
              <w:rPr>
                <w:rFonts w:ascii="Arial" w:cs="Arial" w:eastAsia="Arial" w:hAnsi="Arial"/>
                <w:sz w:val="14"/>
                <w:szCs w:val="14"/>
                <w:color w:val="auto"/>
              </w:rPr>
              <w:t>5,125</w:t>
            </w:r>
          </w:p>
        </w:tc>
        <w:tc>
          <w:tcPr>
            <w:tcW w:w="140" w:type="dxa"/>
            <w:vAlign w:val="bottom"/>
            <w:shd w:val="clear" w:color="auto" w:fill="EAF9E8"/>
          </w:tcPr>
          <w:p>
            <w:pPr>
              <w:spacing w:after="0"/>
              <w:rPr>
                <w:sz w:val="12"/>
                <w:szCs w:val="12"/>
                <w:color w:val="auto"/>
              </w:rPr>
            </w:pPr>
          </w:p>
        </w:tc>
        <w:tc>
          <w:tcPr>
            <w:tcW w:w="80" w:type="dxa"/>
            <w:vAlign w:val="bottom"/>
            <w:shd w:val="clear" w:color="auto" w:fill="EAF9E8"/>
          </w:tcPr>
          <w:p>
            <w:pPr>
              <w:spacing w:after="0"/>
              <w:rPr>
                <w:sz w:val="12"/>
                <w:szCs w:val="12"/>
                <w:color w:val="auto"/>
              </w:rPr>
            </w:pPr>
          </w:p>
        </w:tc>
        <w:tc>
          <w:tcPr>
            <w:tcW w:w="780" w:type="dxa"/>
            <w:vAlign w:val="bottom"/>
            <w:gridSpan w:val="2"/>
            <w:shd w:val="clear" w:color="auto" w:fill="EAF9E8"/>
          </w:tcPr>
          <w:p>
            <w:pPr>
              <w:jc w:val="right"/>
              <w:ind w:right="120"/>
              <w:spacing w:after="0" w:line="149" w:lineRule="exact"/>
              <w:rPr>
                <w:sz w:val="20"/>
                <w:szCs w:val="20"/>
                <w:color w:val="auto"/>
              </w:rPr>
            </w:pPr>
            <w:r>
              <w:rPr>
                <w:rFonts w:ascii="Arial" w:cs="Arial" w:eastAsia="Arial" w:hAnsi="Arial"/>
                <w:sz w:val="14"/>
                <w:szCs w:val="14"/>
                <w:color w:val="auto"/>
              </w:rPr>
              <w:t>(833)</w:t>
            </w:r>
          </w:p>
        </w:tc>
        <w:tc>
          <w:tcPr>
            <w:tcW w:w="4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60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rPr>
              <w:t>2,400</w:t>
            </w:r>
          </w:p>
        </w:tc>
        <w:tc>
          <w:tcPr>
            <w:tcW w:w="220" w:type="dxa"/>
            <w:vAlign w:val="bottom"/>
            <w:shd w:val="clear" w:color="auto" w:fill="EAF9E8"/>
          </w:tcPr>
          <w:p>
            <w:pPr>
              <w:spacing w:after="0"/>
              <w:rPr>
                <w:sz w:val="12"/>
                <w:szCs w:val="12"/>
                <w:color w:val="auto"/>
              </w:rPr>
            </w:pPr>
          </w:p>
        </w:tc>
        <w:tc>
          <w:tcPr>
            <w:tcW w:w="60" w:type="dxa"/>
            <w:vAlign w:val="bottom"/>
            <w:shd w:val="clear" w:color="auto" w:fill="EAF9E8"/>
          </w:tcPr>
          <w:p>
            <w:pPr>
              <w:spacing w:after="0"/>
              <w:rPr>
                <w:sz w:val="12"/>
                <w:szCs w:val="12"/>
                <w:color w:val="auto"/>
              </w:rPr>
            </w:pPr>
          </w:p>
        </w:tc>
        <w:tc>
          <w:tcPr>
            <w:tcW w:w="760" w:type="dxa"/>
            <w:vAlign w:val="bottom"/>
            <w:gridSpan w:val="2"/>
            <w:shd w:val="clear" w:color="auto" w:fill="EAF9E8"/>
          </w:tcPr>
          <w:p>
            <w:pPr>
              <w:jc w:val="right"/>
              <w:ind w:right="80"/>
              <w:spacing w:after="0" w:line="149" w:lineRule="exact"/>
              <w:rPr>
                <w:sz w:val="20"/>
                <w:szCs w:val="20"/>
                <w:color w:val="auto"/>
              </w:rPr>
            </w:pPr>
            <w:r>
              <w:rPr>
                <w:rFonts w:ascii="Arial" w:cs="Arial" w:eastAsia="Arial" w:hAnsi="Arial"/>
                <w:sz w:val="14"/>
                <w:szCs w:val="14"/>
                <w:color w:val="auto"/>
              </w:rPr>
              <w:t>(3,729)</w:t>
            </w:r>
          </w:p>
        </w:tc>
        <w:tc>
          <w:tcPr>
            <w:tcW w:w="100" w:type="dxa"/>
            <w:vAlign w:val="bottom"/>
            <w:shd w:val="clear" w:color="auto" w:fill="EAF9E8"/>
          </w:tcPr>
          <w:p>
            <w:pPr>
              <w:spacing w:after="0"/>
              <w:rPr>
                <w:sz w:val="12"/>
                <w:szCs w:val="12"/>
                <w:color w:val="auto"/>
              </w:rPr>
            </w:pPr>
          </w:p>
        </w:tc>
        <w:tc>
          <w:tcPr>
            <w:tcW w:w="60" w:type="dxa"/>
            <w:vAlign w:val="bottom"/>
            <w:shd w:val="clear" w:color="auto" w:fill="EAF9E8"/>
          </w:tcPr>
          <w:p>
            <w:pPr>
              <w:spacing w:after="0"/>
              <w:rPr>
                <w:sz w:val="12"/>
                <w:szCs w:val="12"/>
                <w:color w:val="auto"/>
              </w:rPr>
            </w:pPr>
          </w:p>
        </w:tc>
        <w:tc>
          <w:tcPr>
            <w:tcW w:w="780" w:type="dxa"/>
            <w:vAlign w:val="bottom"/>
            <w:gridSpan w:val="2"/>
            <w:shd w:val="clear" w:color="auto" w:fill="EAF9E8"/>
          </w:tcPr>
          <w:p>
            <w:pPr>
              <w:jc w:val="right"/>
              <w:ind w:right="80"/>
              <w:spacing w:after="0" w:line="149" w:lineRule="exact"/>
              <w:rPr>
                <w:sz w:val="20"/>
                <w:szCs w:val="20"/>
                <w:color w:val="auto"/>
              </w:rPr>
            </w:pPr>
            <w:r>
              <w:rPr>
                <w:rFonts w:ascii="Arial" w:cs="Arial" w:eastAsia="Arial" w:hAnsi="Arial"/>
                <w:sz w:val="14"/>
                <w:szCs w:val="14"/>
                <w:color w:val="auto"/>
              </w:rPr>
              <w:t>(329)</w:t>
            </w:r>
          </w:p>
        </w:tc>
        <w:tc>
          <w:tcPr>
            <w:tcW w:w="100" w:type="dxa"/>
            <w:vAlign w:val="bottom"/>
            <w:shd w:val="clear" w:color="auto" w:fill="EAF9E8"/>
          </w:tcPr>
          <w:p>
            <w:pPr>
              <w:spacing w:after="0"/>
              <w:rPr>
                <w:sz w:val="12"/>
                <w:szCs w:val="12"/>
                <w:color w:val="auto"/>
              </w:rPr>
            </w:pPr>
          </w:p>
        </w:tc>
        <w:tc>
          <w:tcPr>
            <w:tcW w:w="80" w:type="dxa"/>
            <w:vAlign w:val="bottom"/>
            <w:shd w:val="clear" w:color="auto" w:fill="EAF9E8"/>
          </w:tcPr>
          <w:p>
            <w:pPr>
              <w:spacing w:after="0"/>
              <w:rPr>
                <w:sz w:val="12"/>
                <w:szCs w:val="12"/>
                <w:color w:val="auto"/>
              </w:rPr>
            </w:pPr>
          </w:p>
        </w:tc>
        <w:tc>
          <w:tcPr>
            <w:tcW w:w="66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rPr>
              <w:t>42,324</w:t>
            </w:r>
          </w:p>
        </w:tc>
        <w:tc>
          <w:tcPr>
            <w:tcW w:w="120" w:type="dxa"/>
            <w:vAlign w:val="bottom"/>
            <w:shd w:val="clear" w:color="auto" w:fill="EAF9E8"/>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3240" w:type="dxa"/>
            <w:vAlign w:val="bottom"/>
            <w:gridSpan w:val="2"/>
            <w:vMerge w:val="restart"/>
          </w:tcPr>
          <w:p>
            <w:pPr>
              <w:spacing w:after="0"/>
              <w:rPr>
                <w:sz w:val="20"/>
                <w:szCs w:val="20"/>
                <w:color w:val="auto"/>
              </w:rPr>
            </w:pPr>
            <w:r>
              <w:rPr>
                <w:rFonts w:ascii="Arial" w:cs="Arial" w:eastAsia="Arial" w:hAnsi="Arial"/>
                <w:sz w:val="14"/>
                <w:szCs w:val="14"/>
                <w:color w:val="auto"/>
              </w:rPr>
              <w:t>Other income (expense):</w:t>
            </w:r>
          </w:p>
        </w:tc>
        <w:tc>
          <w:tcPr>
            <w:tcW w:w="8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1"/>
        </w:trPr>
        <w:tc>
          <w:tcPr>
            <w:tcW w:w="3240" w:type="dxa"/>
            <w:vAlign w:val="bottom"/>
            <w:gridSpan w:val="2"/>
            <w:vMerge w:val="continue"/>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shd w:val="clear" w:color="auto" w:fill="EAF9E8"/>
          </w:tcPr>
          <w:p>
            <w:pPr>
              <w:ind w:left="140"/>
              <w:spacing w:after="0" w:line="149" w:lineRule="exact"/>
              <w:rPr>
                <w:sz w:val="20"/>
                <w:szCs w:val="20"/>
                <w:color w:val="auto"/>
              </w:rPr>
            </w:pPr>
            <w:r>
              <w:rPr>
                <w:rFonts w:ascii="Arial" w:cs="Arial" w:eastAsia="Arial" w:hAnsi="Arial"/>
                <w:sz w:val="14"/>
                <w:szCs w:val="14"/>
                <w:color w:val="auto"/>
              </w:rPr>
              <w:t>Interest income</w:t>
            </w:r>
          </w:p>
        </w:tc>
        <w:tc>
          <w:tcPr>
            <w:tcW w:w="80" w:type="dxa"/>
            <w:vAlign w:val="bottom"/>
            <w:shd w:val="clear" w:color="auto" w:fill="EAF9E8"/>
          </w:tcPr>
          <w:p>
            <w:pPr>
              <w:spacing w:after="0"/>
              <w:rPr>
                <w:sz w:val="12"/>
                <w:szCs w:val="12"/>
                <w:color w:val="auto"/>
              </w:rPr>
            </w:pPr>
          </w:p>
        </w:tc>
        <w:tc>
          <w:tcPr>
            <w:tcW w:w="620" w:type="dxa"/>
            <w:vAlign w:val="bottom"/>
            <w:gridSpan w:val="2"/>
            <w:shd w:val="clear" w:color="auto" w:fill="EAF9E8"/>
          </w:tcPr>
          <w:p>
            <w:pPr>
              <w:jc w:val="right"/>
              <w:ind w:right="20"/>
              <w:spacing w:after="0" w:line="149" w:lineRule="exact"/>
              <w:rPr>
                <w:sz w:val="20"/>
                <w:szCs w:val="20"/>
                <w:color w:val="auto"/>
              </w:rPr>
            </w:pPr>
            <w:r>
              <w:rPr>
                <w:rFonts w:ascii="Arial" w:cs="Arial" w:eastAsia="Arial" w:hAnsi="Arial"/>
                <w:sz w:val="14"/>
                <w:szCs w:val="14"/>
                <w:color w:val="auto"/>
              </w:rPr>
              <w:t>59</w:t>
            </w:r>
          </w:p>
        </w:tc>
        <w:tc>
          <w:tcPr>
            <w:tcW w:w="120" w:type="dxa"/>
            <w:vAlign w:val="bottom"/>
            <w:shd w:val="clear" w:color="auto" w:fill="EAF9E8"/>
          </w:tcPr>
          <w:p>
            <w:pPr>
              <w:spacing w:after="0"/>
              <w:rPr>
                <w:sz w:val="12"/>
                <w:szCs w:val="12"/>
                <w:color w:val="auto"/>
              </w:rPr>
            </w:pPr>
          </w:p>
        </w:tc>
        <w:tc>
          <w:tcPr>
            <w:tcW w:w="80" w:type="dxa"/>
            <w:vAlign w:val="bottom"/>
            <w:shd w:val="clear" w:color="auto" w:fill="EAF9E8"/>
          </w:tcPr>
          <w:p>
            <w:pPr>
              <w:spacing w:after="0"/>
              <w:rPr>
                <w:sz w:val="12"/>
                <w:szCs w:val="12"/>
                <w:color w:val="auto"/>
              </w:rPr>
            </w:pPr>
          </w:p>
        </w:tc>
        <w:tc>
          <w:tcPr>
            <w:tcW w:w="80" w:type="dxa"/>
            <w:vAlign w:val="bottom"/>
            <w:shd w:val="clear" w:color="auto" w:fill="EAF9E8"/>
          </w:tcPr>
          <w:p>
            <w:pPr>
              <w:spacing w:after="0"/>
              <w:rPr>
                <w:sz w:val="12"/>
                <w:szCs w:val="12"/>
                <w:color w:val="auto"/>
              </w:rPr>
            </w:pPr>
          </w:p>
        </w:tc>
        <w:tc>
          <w:tcPr>
            <w:tcW w:w="60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rPr>
              <w:t>1,883</w:t>
            </w:r>
          </w:p>
        </w:tc>
        <w:tc>
          <w:tcPr>
            <w:tcW w:w="140" w:type="dxa"/>
            <w:vAlign w:val="bottom"/>
            <w:shd w:val="clear" w:color="auto" w:fill="EAF9E8"/>
          </w:tcPr>
          <w:p>
            <w:pPr>
              <w:spacing w:after="0"/>
              <w:rPr>
                <w:sz w:val="12"/>
                <w:szCs w:val="12"/>
                <w:color w:val="auto"/>
              </w:rPr>
            </w:pPr>
          </w:p>
        </w:tc>
        <w:tc>
          <w:tcPr>
            <w:tcW w:w="8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840" w:type="dxa"/>
            <w:vAlign w:val="bottom"/>
            <w:gridSpan w:val="2"/>
            <w:shd w:val="clear" w:color="auto" w:fill="EAF9E8"/>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EAF9E8"/>
          </w:tcPr>
          <w:p>
            <w:pPr>
              <w:spacing w:after="0"/>
              <w:rPr>
                <w:sz w:val="12"/>
                <w:szCs w:val="12"/>
                <w:color w:val="auto"/>
              </w:rPr>
            </w:pPr>
          </w:p>
        </w:tc>
        <w:tc>
          <w:tcPr>
            <w:tcW w:w="680" w:type="dxa"/>
            <w:vAlign w:val="bottom"/>
            <w:gridSpan w:val="2"/>
            <w:shd w:val="clear" w:color="auto" w:fill="EAF9E8"/>
          </w:tcPr>
          <w:p>
            <w:pPr>
              <w:jc w:val="right"/>
              <w:ind w:right="80"/>
              <w:spacing w:after="0" w:line="149" w:lineRule="exact"/>
              <w:rPr>
                <w:sz w:val="20"/>
                <w:szCs w:val="20"/>
                <w:color w:val="auto"/>
              </w:rPr>
            </w:pPr>
            <w:r>
              <w:rPr>
                <w:rFonts w:ascii="Arial" w:cs="Arial" w:eastAsia="Arial" w:hAnsi="Arial"/>
                <w:sz w:val="14"/>
                <w:szCs w:val="14"/>
                <w:color w:val="auto"/>
              </w:rPr>
              <w:t>2</w:t>
            </w:r>
          </w:p>
        </w:tc>
        <w:tc>
          <w:tcPr>
            <w:tcW w:w="140" w:type="dxa"/>
            <w:vAlign w:val="bottom"/>
            <w:shd w:val="clear" w:color="auto" w:fill="EAF9E8"/>
          </w:tcPr>
          <w:p>
            <w:pPr>
              <w:spacing w:after="0"/>
              <w:rPr>
                <w:sz w:val="12"/>
                <w:szCs w:val="12"/>
                <w:color w:val="auto"/>
              </w:rPr>
            </w:pPr>
          </w:p>
        </w:tc>
        <w:tc>
          <w:tcPr>
            <w:tcW w:w="80" w:type="dxa"/>
            <w:vAlign w:val="bottom"/>
            <w:shd w:val="clear" w:color="auto" w:fill="EAF9E8"/>
          </w:tcPr>
          <w:p>
            <w:pPr>
              <w:spacing w:after="0"/>
              <w:rPr>
                <w:sz w:val="12"/>
                <w:szCs w:val="12"/>
                <w:color w:val="auto"/>
              </w:rPr>
            </w:pPr>
          </w:p>
        </w:tc>
        <w:tc>
          <w:tcPr>
            <w:tcW w:w="780" w:type="dxa"/>
            <w:vAlign w:val="bottom"/>
            <w:gridSpan w:val="2"/>
            <w:shd w:val="clear" w:color="auto" w:fill="EAF9E8"/>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820" w:type="dxa"/>
            <w:vAlign w:val="bottom"/>
            <w:gridSpan w:val="2"/>
            <w:shd w:val="clear" w:color="auto" w:fill="EAF9E8"/>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EAF9E8"/>
          </w:tcPr>
          <w:p>
            <w:pPr>
              <w:spacing w:after="0"/>
              <w:rPr>
                <w:sz w:val="12"/>
                <w:szCs w:val="12"/>
                <w:color w:val="auto"/>
              </w:rPr>
            </w:pPr>
          </w:p>
        </w:tc>
        <w:tc>
          <w:tcPr>
            <w:tcW w:w="760" w:type="dxa"/>
            <w:vAlign w:val="bottom"/>
            <w:gridSpan w:val="2"/>
            <w:shd w:val="clear" w:color="auto" w:fill="EAF9E8"/>
          </w:tcPr>
          <w:p>
            <w:pPr>
              <w:jc w:val="right"/>
              <w:ind w:right="120"/>
              <w:spacing w:after="0" w:line="149" w:lineRule="exact"/>
              <w:rPr>
                <w:sz w:val="20"/>
                <w:szCs w:val="20"/>
                <w:color w:val="auto"/>
              </w:rPr>
            </w:pPr>
            <w:r>
              <w:rPr>
                <w:rFonts w:ascii="Arial" w:cs="Arial" w:eastAsia="Arial" w:hAnsi="Arial"/>
                <w:sz w:val="14"/>
                <w:szCs w:val="14"/>
                <w:color w:val="auto"/>
              </w:rPr>
              <w:t>221</w:t>
            </w:r>
          </w:p>
        </w:tc>
        <w:tc>
          <w:tcPr>
            <w:tcW w:w="100" w:type="dxa"/>
            <w:vAlign w:val="bottom"/>
            <w:shd w:val="clear" w:color="auto" w:fill="EAF9E8"/>
          </w:tcPr>
          <w:p>
            <w:pPr>
              <w:spacing w:after="0"/>
              <w:rPr>
                <w:sz w:val="12"/>
                <w:szCs w:val="12"/>
                <w:color w:val="auto"/>
              </w:rPr>
            </w:pPr>
          </w:p>
        </w:tc>
        <w:tc>
          <w:tcPr>
            <w:tcW w:w="60" w:type="dxa"/>
            <w:vAlign w:val="bottom"/>
            <w:shd w:val="clear" w:color="auto" w:fill="EAF9E8"/>
          </w:tcPr>
          <w:p>
            <w:pPr>
              <w:spacing w:after="0"/>
              <w:rPr>
                <w:sz w:val="12"/>
                <w:szCs w:val="12"/>
                <w:color w:val="auto"/>
              </w:rPr>
            </w:pPr>
          </w:p>
        </w:tc>
        <w:tc>
          <w:tcPr>
            <w:tcW w:w="780" w:type="dxa"/>
            <w:vAlign w:val="bottom"/>
            <w:gridSpan w:val="2"/>
            <w:shd w:val="clear" w:color="auto" w:fill="EAF9E8"/>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EAF9E8"/>
          </w:tcPr>
          <w:p>
            <w:pPr>
              <w:spacing w:after="0"/>
              <w:rPr>
                <w:sz w:val="12"/>
                <w:szCs w:val="12"/>
                <w:color w:val="auto"/>
              </w:rPr>
            </w:pPr>
          </w:p>
        </w:tc>
        <w:tc>
          <w:tcPr>
            <w:tcW w:w="80" w:type="dxa"/>
            <w:vAlign w:val="bottom"/>
            <w:shd w:val="clear" w:color="auto" w:fill="EAF9E8"/>
          </w:tcPr>
          <w:p>
            <w:pPr>
              <w:spacing w:after="0"/>
              <w:rPr>
                <w:sz w:val="12"/>
                <w:szCs w:val="12"/>
                <w:color w:val="auto"/>
              </w:rPr>
            </w:pPr>
          </w:p>
        </w:tc>
        <w:tc>
          <w:tcPr>
            <w:tcW w:w="66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rPr>
              <w:t>2,165</w:t>
            </w:r>
          </w:p>
        </w:tc>
        <w:tc>
          <w:tcPr>
            <w:tcW w:w="120" w:type="dxa"/>
            <w:vAlign w:val="bottom"/>
            <w:shd w:val="clear" w:color="auto" w:fill="EAF9E8"/>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tcPr>
          <w:p>
            <w:pPr>
              <w:ind w:left="140"/>
              <w:spacing w:after="0" w:line="149" w:lineRule="exact"/>
              <w:rPr>
                <w:sz w:val="20"/>
                <w:szCs w:val="20"/>
                <w:color w:val="auto"/>
              </w:rPr>
            </w:pPr>
            <w:r>
              <w:rPr>
                <w:rFonts w:ascii="Arial" w:cs="Arial" w:eastAsia="Arial" w:hAnsi="Arial"/>
                <w:sz w:val="14"/>
                <w:szCs w:val="14"/>
                <w:color w:val="auto"/>
              </w:rPr>
              <w:t>Interest expense</w:t>
            </w:r>
          </w:p>
        </w:tc>
        <w:tc>
          <w:tcPr>
            <w:tcW w:w="80" w:type="dxa"/>
            <w:vAlign w:val="bottom"/>
          </w:tcPr>
          <w:p>
            <w:pPr>
              <w:spacing w:after="0"/>
              <w:rPr>
                <w:sz w:val="12"/>
                <w:szCs w:val="12"/>
                <w:color w:val="auto"/>
              </w:rPr>
            </w:pPr>
          </w:p>
        </w:tc>
        <w:tc>
          <w:tcPr>
            <w:tcW w:w="74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(15,503)</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(629)</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(12)</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(470)</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(132)</w:t>
            </w:r>
          </w:p>
        </w:tc>
        <w:tc>
          <w:tcPr>
            <w:tcW w:w="60" w:type="dxa"/>
            <w:vAlign w:val="bottom"/>
          </w:tcPr>
          <w:p>
            <w:pPr>
              <w:spacing w:after="0"/>
              <w:rPr>
                <w:sz w:val="12"/>
                <w:szCs w:val="12"/>
                <w:color w:val="auto"/>
              </w:rPr>
            </w:pPr>
          </w:p>
        </w:tc>
        <w:tc>
          <w:tcPr>
            <w:tcW w:w="7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83</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(16,663)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shd w:val="clear" w:color="auto" w:fill="EAF9E8"/>
          </w:tcPr>
          <w:p>
            <w:pPr>
              <w:ind w:left="140"/>
              <w:spacing w:after="0" w:line="149" w:lineRule="exact"/>
              <w:rPr>
                <w:sz w:val="20"/>
                <w:szCs w:val="20"/>
                <w:color w:val="auto"/>
              </w:rPr>
            </w:pPr>
            <w:r>
              <w:rPr>
                <w:rFonts w:ascii="Arial" w:cs="Arial" w:eastAsia="Arial" w:hAnsi="Arial"/>
                <w:sz w:val="14"/>
                <w:szCs w:val="14"/>
                <w:color w:val="auto"/>
              </w:rPr>
              <w:t>Loss on trading securities</w:t>
            </w:r>
          </w:p>
        </w:tc>
        <w:tc>
          <w:tcPr>
            <w:tcW w:w="80" w:type="dxa"/>
            <w:vAlign w:val="bottom"/>
            <w:shd w:val="clear" w:color="auto" w:fill="EAF9E8"/>
          </w:tcPr>
          <w:p>
            <w:pPr>
              <w:spacing w:after="0"/>
              <w:rPr>
                <w:sz w:val="12"/>
                <w:szCs w:val="12"/>
                <w:color w:val="auto"/>
              </w:rPr>
            </w:pPr>
          </w:p>
        </w:tc>
        <w:tc>
          <w:tcPr>
            <w:tcW w:w="740" w:type="dxa"/>
            <w:vAlign w:val="bottom"/>
            <w:gridSpan w:val="3"/>
            <w:shd w:val="clear" w:color="auto" w:fill="EAF9E8"/>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EAF9E8"/>
          </w:tcPr>
          <w:p>
            <w:pPr>
              <w:spacing w:after="0"/>
              <w:rPr>
                <w:sz w:val="12"/>
                <w:szCs w:val="12"/>
                <w:color w:val="auto"/>
              </w:rPr>
            </w:pPr>
          </w:p>
        </w:tc>
        <w:tc>
          <w:tcPr>
            <w:tcW w:w="80" w:type="dxa"/>
            <w:vAlign w:val="bottom"/>
            <w:shd w:val="clear" w:color="auto" w:fill="EAF9E8"/>
          </w:tcPr>
          <w:p>
            <w:pPr>
              <w:spacing w:after="0"/>
              <w:rPr>
                <w:sz w:val="12"/>
                <w:szCs w:val="12"/>
                <w:color w:val="auto"/>
              </w:rPr>
            </w:pPr>
          </w:p>
        </w:tc>
        <w:tc>
          <w:tcPr>
            <w:tcW w:w="740" w:type="dxa"/>
            <w:vAlign w:val="bottom"/>
            <w:gridSpan w:val="2"/>
            <w:shd w:val="clear" w:color="auto" w:fill="EAF9E8"/>
          </w:tcPr>
          <w:p>
            <w:pPr>
              <w:jc w:val="right"/>
              <w:ind w:right="80"/>
              <w:spacing w:after="0" w:line="149" w:lineRule="exact"/>
              <w:rPr>
                <w:sz w:val="20"/>
                <w:szCs w:val="20"/>
                <w:color w:val="auto"/>
              </w:rPr>
            </w:pPr>
            <w:r>
              <w:rPr>
                <w:rFonts w:ascii="Arial" w:cs="Arial" w:eastAsia="Arial" w:hAnsi="Arial"/>
                <w:sz w:val="14"/>
                <w:szCs w:val="14"/>
                <w:color w:val="auto"/>
              </w:rPr>
              <w:t>(282)</w:t>
            </w:r>
          </w:p>
        </w:tc>
        <w:tc>
          <w:tcPr>
            <w:tcW w:w="8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840" w:type="dxa"/>
            <w:vAlign w:val="bottom"/>
            <w:gridSpan w:val="2"/>
            <w:shd w:val="clear" w:color="auto" w:fill="EAF9E8"/>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EAF9E8"/>
          </w:tcPr>
          <w:p>
            <w:pPr>
              <w:spacing w:after="0"/>
              <w:rPr>
                <w:sz w:val="12"/>
                <w:szCs w:val="12"/>
                <w:color w:val="auto"/>
              </w:rPr>
            </w:pPr>
          </w:p>
        </w:tc>
        <w:tc>
          <w:tcPr>
            <w:tcW w:w="680" w:type="dxa"/>
            <w:vAlign w:val="bottom"/>
            <w:gridSpan w:val="2"/>
            <w:shd w:val="clear" w:color="auto" w:fill="EAF9E8"/>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EAF9E8"/>
          </w:tcPr>
          <w:p>
            <w:pPr>
              <w:spacing w:after="0"/>
              <w:rPr>
                <w:sz w:val="12"/>
                <w:szCs w:val="12"/>
                <w:color w:val="auto"/>
              </w:rPr>
            </w:pPr>
          </w:p>
        </w:tc>
        <w:tc>
          <w:tcPr>
            <w:tcW w:w="80" w:type="dxa"/>
            <w:vAlign w:val="bottom"/>
            <w:shd w:val="clear" w:color="auto" w:fill="EAF9E8"/>
          </w:tcPr>
          <w:p>
            <w:pPr>
              <w:spacing w:after="0"/>
              <w:rPr>
                <w:sz w:val="12"/>
                <w:szCs w:val="12"/>
                <w:color w:val="auto"/>
              </w:rPr>
            </w:pPr>
          </w:p>
        </w:tc>
        <w:tc>
          <w:tcPr>
            <w:tcW w:w="780" w:type="dxa"/>
            <w:vAlign w:val="bottom"/>
            <w:gridSpan w:val="2"/>
            <w:shd w:val="clear" w:color="auto" w:fill="EAF9E8"/>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820" w:type="dxa"/>
            <w:vAlign w:val="bottom"/>
            <w:gridSpan w:val="2"/>
            <w:shd w:val="clear" w:color="auto" w:fill="EAF9E8"/>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EAF9E8"/>
          </w:tcPr>
          <w:p>
            <w:pPr>
              <w:spacing w:after="0"/>
              <w:rPr>
                <w:sz w:val="12"/>
                <w:szCs w:val="12"/>
                <w:color w:val="auto"/>
              </w:rPr>
            </w:pPr>
          </w:p>
        </w:tc>
        <w:tc>
          <w:tcPr>
            <w:tcW w:w="760" w:type="dxa"/>
            <w:vAlign w:val="bottom"/>
            <w:gridSpan w:val="2"/>
            <w:shd w:val="clear" w:color="auto" w:fill="EAF9E8"/>
          </w:tcPr>
          <w:p>
            <w:pPr>
              <w:jc w:val="right"/>
              <w:ind w:right="80"/>
              <w:spacing w:after="0" w:line="149" w:lineRule="exact"/>
              <w:rPr>
                <w:sz w:val="20"/>
                <w:szCs w:val="20"/>
                <w:color w:val="auto"/>
              </w:rPr>
            </w:pPr>
            <w:r>
              <w:rPr>
                <w:rFonts w:ascii="Arial" w:cs="Arial" w:eastAsia="Arial" w:hAnsi="Arial"/>
                <w:sz w:val="14"/>
                <w:szCs w:val="14"/>
                <w:color w:val="auto"/>
              </w:rPr>
              <w:t>(98)</w:t>
            </w:r>
          </w:p>
        </w:tc>
        <w:tc>
          <w:tcPr>
            <w:tcW w:w="100" w:type="dxa"/>
            <w:vAlign w:val="bottom"/>
            <w:shd w:val="clear" w:color="auto" w:fill="EAF9E8"/>
          </w:tcPr>
          <w:p>
            <w:pPr>
              <w:spacing w:after="0"/>
              <w:rPr>
                <w:sz w:val="12"/>
                <w:szCs w:val="12"/>
                <w:color w:val="auto"/>
              </w:rPr>
            </w:pPr>
          </w:p>
        </w:tc>
        <w:tc>
          <w:tcPr>
            <w:tcW w:w="60" w:type="dxa"/>
            <w:vAlign w:val="bottom"/>
            <w:shd w:val="clear" w:color="auto" w:fill="EAF9E8"/>
          </w:tcPr>
          <w:p>
            <w:pPr>
              <w:spacing w:after="0"/>
              <w:rPr>
                <w:sz w:val="12"/>
                <w:szCs w:val="12"/>
                <w:color w:val="auto"/>
              </w:rPr>
            </w:pPr>
          </w:p>
        </w:tc>
        <w:tc>
          <w:tcPr>
            <w:tcW w:w="780" w:type="dxa"/>
            <w:vAlign w:val="bottom"/>
            <w:gridSpan w:val="2"/>
            <w:shd w:val="clear" w:color="auto" w:fill="EAF9E8"/>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EAF9E8"/>
          </w:tcPr>
          <w:p>
            <w:pPr>
              <w:spacing w:after="0"/>
              <w:rPr>
                <w:sz w:val="12"/>
                <w:szCs w:val="12"/>
                <w:color w:val="auto"/>
              </w:rPr>
            </w:pPr>
          </w:p>
        </w:tc>
        <w:tc>
          <w:tcPr>
            <w:tcW w:w="80" w:type="dxa"/>
            <w:vAlign w:val="bottom"/>
            <w:shd w:val="clear" w:color="auto" w:fill="EAF9E8"/>
          </w:tcPr>
          <w:p>
            <w:pPr>
              <w:spacing w:after="0"/>
              <w:rPr>
                <w:sz w:val="12"/>
                <w:szCs w:val="12"/>
                <w:color w:val="auto"/>
              </w:rPr>
            </w:pPr>
          </w:p>
        </w:tc>
        <w:tc>
          <w:tcPr>
            <w:tcW w:w="780" w:type="dxa"/>
            <w:vAlign w:val="bottom"/>
            <w:gridSpan w:val="2"/>
            <w:shd w:val="clear" w:color="auto" w:fill="EAF9E8"/>
          </w:tcPr>
          <w:p>
            <w:pPr>
              <w:jc w:val="right"/>
              <w:ind w:right="80"/>
              <w:spacing w:after="0" w:line="149" w:lineRule="exact"/>
              <w:rPr>
                <w:sz w:val="20"/>
                <w:szCs w:val="20"/>
                <w:color w:val="auto"/>
              </w:rPr>
            </w:pPr>
            <w:r>
              <w:rPr>
                <w:rFonts w:ascii="Arial" w:cs="Arial" w:eastAsia="Arial" w:hAnsi="Arial"/>
                <w:sz w:val="14"/>
                <w:szCs w:val="14"/>
                <w:color w:val="auto"/>
              </w:rPr>
              <w:t>(380)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tcPr>
          <w:p>
            <w:pPr>
              <w:ind w:left="140"/>
              <w:spacing w:after="0" w:line="149" w:lineRule="exact"/>
              <w:rPr>
                <w:sz w:val="20"/>
                <w:szCs w:val="20"/>
                <w:color w:val="auto"/>
              </w:rPr>
            </w:pPr>
            <w:r>
              <w:rPr>
                <w:rFonts w:ascii="Arial" w:cs="Arial" w:eastAsia="Arial" w:hAnsi="Arial"/>
                <w:sz w:val="14"/>
                <w:szCs w:val="14"/>
                <w:color w:val="auto"/>
              </w:rPr>
              <w:t>Gain on debt repurchases</w:t>
            </w:r>
          </w:p>
        </w:tc>
        <w:tc>
          <w:tcPr>
            <w:tcW w:w="80" w:type="dxa"/>
            <w:vAlign w:val="bottom"/>
          </w:tcPr>
          <w:p>
            <w:pPr>
              <w:spacing w:after="0"/>
              <w:rPr>
                <w:sz w:val="12"/>
                <w:szCs w:val="12"/>
                <w:color w:val="auto"/>
              </w:rPr>
            </w:pPr>
          </w:p>
        </w:tc>
        <w:tc>
          <w:tcPr>
            <w:tcW w:w="74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7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534</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534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shd w:val="clear" w:color="auto" w:fill="EAF9E8"/>
          </w:tcPr>
          <w:p>
            <w:pPr>
              <w:ind w:left="140"/>
              <w:spacing w:after="0" w:line="149" w:lineRule="exact"/>
              <w:rPr>
                <w:sz w:val="20"/>
                <w:szCs w:val="20"/>
                <w:color w:val="auto"/>
              </w:rPr>
            </w:pPr>
            <w:r>
              <w:rPr>
                <w:rFonts w:ascii="Arial" w:cs="Arial" w:eastAsia="Arial" w:hAnsi="Arial"/>
                <w:sz w:val="14"/>
                <w:szCs w:val="14"/>
                <w:color w:val="auto"/>
              </w:rPr>
              <w:t>Loss on loans held for resale, net</w:t>
            </w:r>
          </w:p>
        </w:tc>
        <w:tc>
          <w:tcPr>
            <w:tcW w:w="80" w:type="dxa"/>
            <w:vAlign w:val="bottom"/>
            <w:shd w:val="clear" w:color="auto" w:fill="EAF9E8"/>
          </w:tcPr>
          <w:p>
            <w:pPr>
              <w:spacing w:after="0"/>
              <w:rPr>
                <w:sz w:val="12"/>
                <w:szCs w:val="12"/>
                <w:color w:val="auto"/>
              </w:rPr>
            </w:pPr>
          </w:p>
        </w:tc>
        <w:tc>
          <w:tcPr>
            <w:tcW w:w="740" w:type="dxa"/>
            <w:vAlign w:val="bottom"/>
            <w:gridSpan w:val="3"/>
            <w:shd w:val="clear" w:color="auto" w:fill="EAF9E8"/>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EAF9E8"/>
          </w:tcPr>
          <w:p>
            <w:pPr>
              <w:spacing w:after="0"/>
              <w:rPr>
                <w:sz w:val="12"/>
                <w:szCs w:val="12"/>
                <w:color w:val="auto"/>
              </w:rPr>
            </w:pPr>
          </w:p>
        </w:tc>
        <w:tc>
          <w:tcPr>
            <w:tcW w:w="80" w:type="dxa"/>
            <w:vAlign w:val="bottom"/>
            <w:shd w:val="clear" w:color="auto" w:fill="EAF9E8"/>
          </w:tcPr>
          <w:p>
            <w:pPr>
              <w:spacing w:after="0"/>
              <w:rPr>
                <w:sz w:val="12"/>
                <w:szCs w:val="12"/>
                <w:color w:val="auto"/>
              </w:rPr>
            </w:pPr>
          </w:p>
        </w:tc>
        <w:tc>
          <w:tcPr>
            <w:tcW w:w="740" w:type="dxa"/>
            <w:vAlign w:val="bottom"/>
            <w:gridSpan w:val="2"/>
            <w:shd w:val="clear" w:color="auto" w:fill="EAF9E8"/>
          </w:tcPr>
          <w:p>
            <w:pPr>
              <w:jc w:val="right"/>
              <w:ind w:right="80"/>
              <w:spacing w:after="0" w:line="149" w:lineRule="exact"/>
              <w:rPr>
                <w:sz w:val="20"/>
                <w:szCs w:val="20"/>
                <w:color w:val="auto"/>
              </w:rPr>
            </w:pPr>
            <w:r>
              <w:rPr>
                <w:rFonts w:ascii="Arial" w:cs="Arial" w:eastAsia="Arial" w:hAnsi="Arial"/>
                <w:sz w:val="14"/>
                <w:szCs w:val="14"/>
                <w:color w:val="auto"/>
              </w:rPr>
              <w:t>(4,554)</w:t>
            </w:r>
          </w:p>
        </w:tc>
        <w:tc>
          <w:tcPr>
            <w:tcW w:w="8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840" w:type="dxa"/>
            <w:vAlign w:val="bottom"/>
            <w:gridSpan w:val="2"/>
            <w:shd w:val="clear" w:color="auto" w:fill="EAF9E8"/>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EAF9E8"/>
          </w:tcPr>
          <w:p>
            <w:pPr>
              <w:spacing w:after="0"/>
              <w:rPr>
                <w:sz w:val="12"/>
                <w:szCs w:val="12"/>
                <w:color w:val="auto"/>
              </w:rPr>
            </w:pPr>
          </w:p>
        </w:tc>
        <w:tc>
          <w:tcPr>
            <w:tcW w:w="680" w:type="dxa"/>
            <w:vAlign w:val="bottom"/>
            <w:gridSpan w:val="2"/>
            <w:shd w:val="clear" w:color="auto" w:fill="EAF9E8"/>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EAF9E8"/>
          </w:tcPr>
          <w:p>
            <w:pPr>
              <w:spacing w:after="0"/>
              <w:rPr>
                <w:sz w:val="12"/>
                <w:szCs w:val="12"/>
                <w:color w:val="auto"/>
              </w:rPr>
            </w:pPr>
          </w:p>
        </w:tc>
        <w:tc>
          <w:tcPr>
            <w:tcW w:w="80" w:type="dxa"/>
            <w:vAlign w:val="bottom"/>
            <w:shd w:val="clear" w:color="auto" w:fill="EAF9E8"/>
          </w:tcPr>
          <w:p>
            <w:pPr>
              <w:spacing w:after="0"/>
              <w:rPr>
                <w:sz w:val="12"/>
                <w:szCs w:val="12"/>
                <w:color w:val="auto"/>
              </w:rPr>
            </w:pPr>
          </w:p>
        </w:tc>
        <w:tc>
          <w:tcPr>
            <w:tcW w:w="780" w:type="dxa"/>
            <w:vAlign w:val="bottom"/>
            <w:gridSpan w:val="2"/>
            <w:shd w:val="clear" w:color="auto" w:fill="EAF9E8"/>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820" w:type="dxa"/>
            <w:vAlign w:val="bottom"/>
            <w:gridSpan w:val="2"/>
            <w:shd w:val="clear" w:color="auto" w:fill="EAF9E8"/>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EAF9E8"/>
          </w:tcPr>
          <w:p>
            <w:pPr>
              <w:spacing w:after="0"/>
              <w:rPr>
                <w:sz w:val="12"/>
                <w:szCs w:val="12"/>
                <w:color w:val="auto"/>
              </w:rPr>
            </w:pPr>
          </w:p>
        </w:tc>
        <w:tc>
          <w:tcPr>
            <w:tcW w:w="760" w:type="dxa"/>
            <w:vAlign w:val="bottom"/>
            <w:gridSpan w:val="2"/>
            <w:shd w:val="clear" w:color="auto" w:fill="EAF9E8"/>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EAF9E8"/>
          </w:tcPr>
          <w:p>
            <w:pPr>
              <w:spacing w:after="0"/>
              <w:rPr>
                <w:sz w:val="12"/>
                <w:szCs w:val="12"/>
                <w:color w:val="auto"/>
              </w:rPr>
            </w:pPr>
          </w:p>
        </w:tc>
        <w:tc>
          <w:tcPr>
            <w:tcW w:w="60" w:type="dxa"/>
            <w:vAlign w:val="bottom"/>
            <w:shd w:val="clear" w:color="auto" w:fill="EAF9E8"/>
          </w:tcPr>
          <w:p>
            <w:pPr>
              <w:spacing w:after="0"/>
              <w:rPr>
                <w:sz w:val="12"/>
                <w:szCs w:val="12"/>
                <w:color w:val="auto"/>
              </w:rPr>
            </w:pPr>
          </w:p>
        </w:tc>
        <w:tc>
          <w:tcPr>
            <w:tcW w:w="640" w:type="dxa"/>
            <w:vAlign w:val="bottom"/>
            <w:shd w:val="clear" w:color="auto" w:fill="EAF9E8"/>
          </w:tcPr>
          <w:p>
            <w:pPr>
              <w:spacing w:after="0"/>
              <w:rPr>
                <w:sz w:val="12"/>
                <w:szCs w:val="12"/>
                <w:color w:val="auto"/>
              </w:rPr>
            </w:pPr>
          </w:p>
        </w:tc>
        <w:tc>
          <w:tcPr>
            <w:tcW w:w="14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80" w:type="dxa"/>
            <w:vAlign w:val="bottom"/>
            <w:shd w:val="clear" w:color="auto" w:fill="EAF9E8"/>
          </w:tcPr>
          <w:p>
            <w:pPr>
              <w:spacing w:after="0"/>
              <w:rPr>
                <w:sz w:val="12"/>
                <w:szCs w:val="12"/>
                <w:color w:val="auto"/>
              </w:rPr>
            </w:pPr>
          </w:p>
        </w:tc>
        <w:tc>
          <w:tcPr>
            <w:tcW w:w="780" w:type="dxa"/>
            <w:vAlign w:val="bottom"/>
            <w:gridSpan w:val="2"/>
            <w:shd w:val="clear" w:color="auto" w:fill="EAF9E8"/>
          </w:tcPr>
          <w:p>
            <w:pPr>
              <w:jc w:val="right"/>
              <w:ind w:right="80"/>
              <w:spacing w:after="0" w:line="149" w:lineRule="exact"/>
              <w:rPr>
                <w:sz w:val="20"/>
                <w:szCs w:val="20"/>
                <w:color w:val="auto"/>
              </w:rPr>
            </w:pPr>
            <w:r>
              <w:rPr>
                <w:rFonts w:ascii="Arial" w:cs="Arial" w:eastAsia="Arial" w:hAnsi="Arial"/>
                <w:sz w:val="14"/>
                <w:szCs w:val="14"/>
                <w:color w:val="auto"/>
              </w:rPr>
              <w:t>(4,554)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tcPr>
          <w:p>
            <w:pPr>
              <w:ind w:left="140"/>
              <w:spacing w:after="0" w:line="149" w:lineRule="exact"/>
              <w:rPr>
                <w:sz w:val="20"/>
                <w:szCs w:val="20"/>
                <w:color w:val="auto"/>
              </w:rPr>
            </w:pPr>
            <w:r>
              <w:rPr>
                <w:rFonts w:ascii="Arial" w:cs="Arial" w:eastAsia="Arial" w:hAnsi="Arial"/>
                <w:sz w:val="14"/>
                <w:szCs w:val="14"/>
                <w:color w:val="auto"/>
              </w:rPr>
              <w:t>Equity in earnings of unconsolidated entities</w:t>
            </w:r>
          </w:p>
        </w:tc>
        <w:tc>
          <w:tcPr>
            <w:tcW w:w="80" w:type="dxa"/>
            <w:vAlign w:val="bottom"/>
          </w:tcPr>
          <w:p>
            <w:pPr>
              <w:spacing w:after="0"/>
              <w:rPr>
                <w:sz w:val="12"/>
                <w:szCs w:val="12"/>
                <w:color w:val="auto"/>
              </w:rPr>
            </w:pPr>
          </w:p>
        </w:tc>
        <w:tc>
          <w:tcPr>
            <w:tcW w:w="74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(302)</w:t>
            </w:r>
          </w:p>
        </w:tc>
        <w:tc>
          <w:tcPr>
            <w:tcW w:w="80" w:type="dxa"/>
            <w:vAlign w:val="bottom"/>
          </w:tcPr>
          <w:p>
            <w:pPr>
              <w:spacing w:after="0"/>
              <w:rPr>
                <w:sz w:val="12"/>
                <w:szCs w:val="12"/>
                <w:color w:val="auto"/>
              </w:rPr>
            </w:pPr>
          </w:p>
        </w:tc>
        <w:tc>
          <w:tcPr>
            <w:tcW w:w="6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7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329</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27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shd w:val="clear" w:color="auto" w:fill="EAF9E8"/>
          </w:tcPr>
          <w:p>
            <w:pPr>
              <w:ind w:left="140"/>
              <w:spacing w:after="0" w:line="149" w:lineRule="exact"/>
              <w:rPr>
                <w:sz w:val="20"/>
                <w:szCs w:val="20"/>
                <w:color w:val="auto"/>
              </w:rPr>
            </w:pPr>
            <w:r>
              <w:rPr>
                <w:rFonts w:ascii="Arial" w:cs="Arial" w:eastAsia="Arial" w:hAnsi="Arial"/>
                <w:sz w:val="14"/>
                <w:szCs w:val="14"/>
                <w:color w:val="auto"/>
              </w:rPr>
              <w:t>Other, net</w:t>
            </w:r>
          </w:p>
        </w:tc>
        <w:tc>
          <w:tcPr>
            <w:tcW w:w="80" w:type="dxa"/>
            <w:vAlign w:val="bottom"/>
            <w:shd w:val="clear" w:color="auto" w:fill="EAF9E8"/>
          </w:tcPr>
          <w:p>
            <w:pPr>
              <w:spacing w:after="0"/>
              <w:rPr>
                <w:sz w:val="12"/>
                <w:szCs w:val="12"/>
                <w:color w:val="auto"/>
              </w:rPr>
            </w:pPr>
          </w:p>
        </w:tc>
        <w:tc>
          <w:tcPr>
            <w:tcW w:w="620" w:type="dxa"/>
            <w:vAlign w:val="bottom"/>
            <w:gridSpan w:val="2"/>
            <w:shd w:val="clear" w:color="auto" w:fill="EAF9E8"/>
          </w:tcPr>
          <w:p>
            <w:pPr>
              <w:jc w:val="right"/>
              <w:ind w:right="20"/>
              <w:spacing w:after="0" w:line="149" w:lineRule="exact"/>
              <w:rPr>
                <w:sz w:val="20"/>
                <w:szCs w:val="20"/>
                <w:color w:val="auto"/>
              </w:rPr>
            </w:pPr>
            <w:r>
              <w:rPr>
                <w:rFonts w:ascii="Arial" w:cs="Arial" w:eastAsia="Arial" w:hAnsi="Arial"/>
                <w:sz w:val="14"/>
                <w:szCs w:val="14"/>
                <w:color w:val="auto"/>
              </w:rPr>
              <w:t>164</w:t>
            </w:r>
          </w:p>
        </w:tc>
        <w:tc>
          <w:tcPr>
            <w:tcW w:w="120" w:type="dxa"/>
            <w:vAlign w:val="bottom"/>
            <w:shd w:val="clear" w:color="auto" w:fill="EAF9E8"/>
          </w:tcPr>
          <w:p>
            <w:pPr>
              <w:spacing w:after="0"/>
              <w:rPr>
                <w:sz w:val="12"/>
                <w:szCs w:val="12"/>
                <w:color w:val="auto"/>
              </w:rPr>
            </w:pPr>
          </w:p>
        </w:tc>
        <w:tc>
          <w:tcPr>
            <w:tcW w:w="80" w:type="dxa"/>
            <w:vAlign w:val="bottom"/>
            <w:shd w:val="clear" w:color="auto" w:fill="EAF9E8"/>
          </w:tcPr>
          <w:p>
            <w:pPr>
              <w:spacing w:after="0"/>
              <w:rPr>
                <w:sz w:val="12"/>
                <w:szCs w:val="12"/>
                <w:color w:val="auto"/>
              </w:rPr>
            </w:pPr>
          </w:p>
        </w:tc>
        <w:tc>
          <w:tcPr>
            <w:tcW w:w="80" w:type="dxa"/>
            <w:vAlign w:val="bottom"/>
            <w:shd w:val="clear" w:color="auto" w:fill="EAF9E8"/>
          </w:tcPr>
          <w:p>
            <w:pPr>
              <w:spacing w:after="0"/>
              <w:rPr>
                <w:sz w:val="12"/>
                <w:szCs w:val="12"/>
                <w:color w:val="auto"/>
              </w:rPr>
            </w:pPr>
          </w:p>
        </w:tc>
        <w:tc>
          <w:tcPr>
            <w:tcW w:w="60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rPr>
              <w:t>5</w:t>
            </w:r>
          </w:p>
        </w:tc>
        <w:tc>
          <w:tcPr>
            <w:tcW w:w="140" w:type="dxa"/>
            <w:vAlign w:val="bottom"/>
            <w:shd w:val="clear" w:color="auto" w:fill="EAF9E8"/>
          </w:tcPr>
          <w:p>
            <w:pPr>
              <w:spacing w:after="0"/>
              <w:rPr>
                <w:sz w:val="12"/>
                <w:szCs w:val="12"/>
                <w:color w:val="auto"/>
              </w:rPr>
            </w:pPr>
          </w:p>
        </w:tc>
        <w:tc>
          <w:tcPr>
            <w:tcW w:w="8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840" w:type="dxa"/>
            <w:vAlign w:val="bottom"/>
            <w:gridSpan w:val="2"/>
            <w:shd w:val="clear" w:color="auto" w:fill="EAF9E8"/>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EAF9E8"/>
          </w:tcPr>
          <w:p>
            <w:pPr>
              <w:spacing w:after="0"/>
              <w:rPr>
                <w:sz w:val="12"/>
                <w:szCs w:val="12"/>
                <w:color w:val="auto"/>
              </w:rPr>
            </w:pPr>
          </w:p>
        </w:tc>
        <w:tc>
          <w:tcPr>
            <w:tcW w:w="680" w:type="dxa"/>
            <w:vAlign w:val="bottom"/>
            <w:gridSpan w:val="2"/>
            <w:shd w:val="clear" w:color="auto" w:fill="EAF9E8"/>
          </w:tcPr>
          <w:p>
            <w:pPr>
              <w:jc w:val="right"/>
              <w:ind w:right="80"/>
              <w:spacing w:after="0" w:line="149" w:lineRule="exact"/>
              <w:rPr>
                <w:sz w:val="20"/>
                <w:szCs w:val="20"/>
                <w:color w:val="auto"/>
              </w:rPr>
            </w:pPr>
            <w:r>
              <w:rPr>
                <w:rFonts w:ascii="Arial" w:cs="Arial" w:eastAsia="Arial" w:hAnsi="Arial"/>
                <w:sz w:val="14"/>
                <w:szCs w:val="14"/>
                <w:color w:val="auto"/>
              </w:rPr>
              <w:t>33</w:t>
            </w:r>
          </w:p>
        </w:tc>
        <w:tc>
          <w:tcPr>
            <w:tcW w:w="140" w:type="dxa"/>
            <w:vAlign w:val="bottom"/>
            <w:shd w:val="clear" w:color="auto" w:fill="EAF9E8"/>
          </w:tcPr>
          <w:p>
            <w:pPr>
              <w:spacing w:after="0"/>
              <w:rPr>
                <w:sz w:val="12"/>
                <w:szCs w:val="12"/>
                <w:color w:val="auto"/>
              </w:rPr>
            </w:pPr>
          </w:p>
        </w:tc>
        <w:tc>
          <w:tcPr>
            <w:tcW w:w="80" w:type="dxa"/>
            <w:vAlign w:val="bottom"/>
            <w:shd w:val="clear" w:color="auto" w:fill="EAF9E8"/>
          </w:tcPr>
          <w:p>
            <w:pPr>
              <w:spacing w:after="0"/>
              <w:rPr>
                <w:sz w:val="12"/>
                <w:szCs w:val="12"/>
                <w:color w:val="auto"/>
              </w:rPr>
            </w:pPr>
          </w:p>
        </w:tc>
        <w:tc>
          <w:tcPr>
            <w:tcW w:w="780" w:type="dxa"/>
            <w:vAlign w:val="bottom"/>
            <w:gridSpan w:val="2"/>
            <w:shd w:val="clear" w:color="auto" w:fill="EAF9E8"/>
          </w:tcPr>
          <w:p>
            <w:pPr>
              <w:jc w:val="right"/>
              <w:ind w:right="160"/>
              <w:spacing w:after="0" w:line="149" w:lineRule="exact"/>
              <w:rPr>
                <w:sz w:val="20"/>
                <w:szCs w:val="20"/>
                <w:color w:val="auto"/>
              </w:rPr>
            </w:pPr>
            <w:r>
              <w:rPr>
                <w:rFonts w:ascii="Arial" w:cs="Arial" w:eastAsia="Arial" w:hAnsi="Arial"/>
                <w:sz w:val="14"/>
                <w:szCs w:val="14"/>
                <w:color w:val="auto"/>
              </w:rPr>
              <w:t>2</w:t>
            </w:r>
          </w:p>
        </w:tc>
        <w:tc>
          <w:tcPr>
            <w:tcW w:w="4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60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rPr>
              <w:t>56</w:t>
            </w:r>
          </w:p>
        </w:tc>
        <w:tc>
          <w:tcPr>
            <w:tcW w:w="220" w:type="dxa"/>
            <w:vAlign w:val="bottom"/>
            <w:shd w:val="clear" w:color="auto" w:fill="EAF9E8"/>
          </w:tcPr>
          <w:p>
            <w:pPr>
              <w:spacing w:after="0"/>
              <w:rPr>
                <w:sz w:val="12"/>
                <w:szCs w:val="12"/>
                <w:color w:val="auto"/>
              </w:rPr>
            </w:pPr>
          </w:p>
        </w:tc>
        <w:tc>
          <w:tcPr>
            <w:tcW w:w="60" w:type="dxa"/>
            <w:vAlign w:val="bottom"/>
            <w:shd w:val="clear" w:color="auto" w:fill="EAF9E8"/>
          </w:tcPr>
          <w:p>
            <w:pPr>
              <w:spacing w:after="0"/>
              <w:rPr>
                <w:sz w:val="12"/>
                <w:szCs w:val="12"/>
                <w:color w:val="auto"/>
              </w:rPr>
            </w:pPr>
          </w:p>
        </w:tc>
        <w:tc>
          <w:tcPr>
            <w:tcW w:w="760" w:type="dxa"/>
            <w:vAlign w:val="bottom"/>
            <w:gridSpan w:val="2"/>
            <w:shd w:val="clear" w:color="auto" w:fill="EAF9E8"/>
          </w:tcPr>
          <w:p>
            <w:pPr>
              <w:jc w:val="right"/>
              <w:ind w:right="80"/>
              <w:spacing w:after="0" w:line="149" w:lineRule="exact"/>
              <w:rPr>
                <w:sz w:val="20"/>
                <w:szCs w:val="20"/>
                <w:color w:val="auto"/>
              </w:rPr>
            </w:pPr>
            <w:r>
              <w:rPr>
                <w:rFonts w:ascii="Arial" w:cs="Arial" w:eastAsia="Arial" w:hAnsi="Arial"/>
                <w:sz w:val="14"/>
                <w:szCs w:val="14"/>
                <w:color w:val="auto"/>
              </w:rPr>
              <w:t>(449)</w:t>
            </w:r>
          </w:p>
        </w:tc>
        <w:tc>
          <w:tcPr>
            <w:tcW w:w="100" w:type="dxa"/>
            <w:vAlign w:val="bottom"/>
            <w:shd w:val="clear" w:color="auto" w:fill="EAF9E8"/>
          </w:tcPr>
          <w:p>
            <w:pPr>
              <w:spacing w:after="0"/>
              <w:rPr>
                <w:sz w:val="12"/>
                <w:szCs w:val="12"/>
                <w:color w:val="auto"/>
              </w:rPr>
            </w:pPr>
          </w:p>
        </w:tc>
        <w:tc>
          <w:tcPr>
            <w:tcW w:w="60" w:type="dxa"/>
            <w:vAlign w:val="bottom"/>
            <w:shd w:val="clear" w:color="auto" w:fill="EAF9E8"/>
          </w:tcPr>
          <w:p>
            <w:pPr>
              <w:spacing w:after="0"/>
              <w:rPr>
                <w:sz w:val="12"/>
                <w:szCs w:val="12"/>
                <w:color w:val="auto"/>
              </w:rPr>
            </w:pPr>
          </w:p>
        </w:tc>
        <w:tc>
          <w:tcPr>
            <w:tcW w:w="780" w:type="dxa"/>
            <w:vAlign w:val="bottom"/>
            <w:gridSpan w:val="2"/>
            <w:shd w:val="clear" w:color="auto" w:fill="EAF9E8"/>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EAF9E8"/>
          </w:tcPr>
          <w:p>
            <w:pPr>
              <w:spacing w:after="0"/>
              <w:rPr>
                <w:sz w:val="12"/>
                <w:szCs w:val="12"/>
                <w:color w:val="auto"/>
              </w:rPr>
            </w:pPr>
          </w:p>
        </w:tc>
        <w:tc>
          <w:tcPr>
            <w:tcW w:w="80" w:type="dxa"/>
            <w:vAlign w:val="bottom"/>
            <w:shd w:val="clear" w:color="auto" w:fill="EAF9E8"/>
          </w:tcPr>
          <w:p>
            <w:pPr>
              <w:spacing w:after="0"/>
              <w:rPr>
                <w:sz w:val="12"/>
                <w:szCs w:val="12"/>
                <w:color w:val="auto"/>
              </w:rPr>
            </w:pPr>
          </w:p>
        </w:tc>
        <w:tc>
          <w:tcPr>
            <w:tcW w:w="780" w:type="dxa"/>
            <w:vAlign w:val="bottom"/>
            <w:gridSpan w:val="2"/>
            <w:shd w:val="clear" w:color="auto" w:fill="EAF9E8"/>
          </w:tcPr>
          <w:p>
            <w:pPr>
              <w:jc w:val="right"/>
              <w:ind w:right="80"/>
              <w:spacing w:after="0" w:line="149" w:lineRule="exact"/>
              <w:rPr>
                <w:sz w:val="20"/>
                <w:szCs w:val="20"/>
                <w:color w:val="auto"/>
              </w:rPr>
            </w:pPr>
            <w:r>
              <w:rPr>
                <w:rFonts w:ascii="Arial" w:cs="Arial" w:eastAsia="Arial" w:hAnsi="Arial"/>
                <w:sz w:val="14"/>
                <w:szCs w:val="14"/>
                <w:color w:val="auto"/>
              </w:rPr>
              <w:t>(189)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220" w:type="dxa"/>
            <w:vAlign w:val="bottom"/>
            <w:vMerge w:val="restart"/>
          </w:tcPr>
          <w:p>
            <w:pPr>
              <w:ind w:left="300"/>
              <w:spacing w:after="0"/>
              <w:rPr>
                <w:sz w:val="20"/>
                <w:szCs w:val="20"/>
                <w:color w:val="auto"/>
              </w:rPr>
            </w:pPr>
            <w:r>
              <w:rPr>
                <w:rFonts w:ascii="Arial" w:cs="Arial" w:eastAsia="Arial" w:hAnsi="Arial"/>
                <w:sz w:val="14"/>
                <w:szCs w:val="14"/>
                <w:color w:val="auto"/>
              </w:rPr>
              <w:t>Other income (expense), net</w:t>
            </w:r>
          </w:p>
        </w:tc>
        <w:tc>
          <w:tcPr>
            <w:tcW w:w="80" w:type="dxa"/>
            <w:vAlign w:val="bottom"/>
          </w:tcPr>
          <w:p>
            <w:pPr>
              <w:spacing w:after="0"/>
              <w:rPr>
                <w:sz w:val="21"/>
                <w:szCs w:val="21"/>
                <w:color w:val="auto"/>
              </w:rPr>
            </w:pPr>
          </w:p>
        </w:tc>
        <w:tc>
          <w:tcPr>
            <w:tcW w:w="740" w:type="dxa"/>
            <w:vAlign w:val="bottom"/>
            <w:gridSpan w:val="3"/>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40" w:type="dxa"/>
            <w:vAlign w:val="bottom"/>
            <w:gridSpan w:val="2"/>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gridSpan w:val="2"/>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gridSpan w:val="2"/>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gridSpan w:val="2"/>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gridSpan w:val="2"/>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gridSpan w:val="2"/>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gridSpan w:val="2"/>
          </w:tcPr>
          <w:p>
            <w:pPr>
              <w:spacing w:after="0"/>
              <w:rPr>
                <w:sz w:val="21"/>
                <w:szCs w:val="21"/>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3220" w:type="dxa"/>
            <w:vAlign w:val="bottom"/>
            <w:vMerge w:val="continue"/>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(15,280)</w:t>
            </w:r>
          </w:p>
        </w:tc>
        <w:tc>
          <w:tcPr>
            <w:tcW w:w="140" w:type="dxa"/>
            <w:vAlign w:val="bottom"/>
            <w:gridSpan w:val="2"/>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(3,577)</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(302)</w:t>
            </w:r>
          </w:p>
        </w:tc>
        <w:tc>
          <w:tcPr>
            <w:tcW w:w="22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23</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(468)</w:t>
            </w: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(76)</w:t>
            </w:r>
          </w:p>
        </w:tc>
        <w:tc>
          <w:tcPr>
            <w:tcW w:w="220" w:type="dxa"/>
            <w:vAlign w:val="bottom"/>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291</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329</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(19,060)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3240" w:type="dxa"/>
            <w:vAlign w:val="bottom"/>
            <w:gridSpan w:val="2"/>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220" w:type="dxa"/>
            <w:vAlign w:val="bottom"/>
            <w:shd w:val="clear" w:color="auto" w:fill="EAF9E8"/>
          </w:tcPr>
          <w:p>
            <w:pPr>
              <w:spacing w:after="0" w:line="129" w:lineRule="exact"/>
              <w:rPr>
                <w:sz w:val="20"/>
                <w:szCs w:val="20"/>
                <w:color w:val="auto"/>
              </w:rPr>
            </w:pPr>
            <w:r>
              <w:rPr>
                <w:rFonts w:ascii="Arial" w:cs="Arial" w:eastAsia="Arial" w:hAnsi="Arial"/>
                <w:sz w:val="14"/>
                <w:szCs w:val="14"/>
                <w:b w:val="1"/>
                <w:bCs w:val="1"/>
                <w:color w:val="auto"/>
                <w:w w:val="99"/>
              </w:rPr>
              <w:t>Income (loss) from continuing operations before</w:t>
            </w:r>
          </w:p>
        </w:tc>
        <w:tc>
          <w:tcPr>
            <w:tcW w:w="80" w:type="dxa"/>
            <w:vAlign w:val="bottom"/>
            <w:shd w:val="clear" w:color="auto" w:fill="EAF9E8"/>
          </w:tcPr>
          <w:p>
            <w:pPr>
              <w:spacing w:after="0"/>
              <w:rPr>
                <w:sz w:val="11"/>
                <w:szCs w:val="11"/>
                <w:color w:val="auto"/>
              </w:rPr>
            </w:pPr>
          </w:p>
        </w:tc>
        <w:tc>
          <w:tcPr>
            <w:tcW w:w="600" w:type="dxa"/>
            <w:vAlign w:val="bottom"/>
            <w:shd w:val="clear" w:color="auto" w:fill="EAF9E8"/>
          </w:tcPr>
          <w:p>
            <w:pPr>
              <w:spacing w:after="0"/>
              <w:rPr>
                <w:sz w:val="11"/>
                <w:szCs w:val="11"/>
                <w:color w:val="auto"/>
              </w:rPr>
            </w:pPr>
          </w:p>
        </w:tc>
        <w:tc>
          <w:tcPr>
            <w:tcW w:w="20" w:type="dxa"/>
            <w:vAlign w:val="bottom"/>
            <w:shd w:val="clear" w:color="auto" w:fill="EAF9E8"/>
          </w:tcPr>
          <w:p>
            <w:pPr>
              <w:spacing w:after="0"/>
              <w:rPr>
                <w:sz w:val="11"/>
                <w:szCs w:val="11"/>
                <w:color w:val="auto"/>
              </w:rPr>
            </w:pPr>
          </w:p>
        </w:tc>
        <w:tc>
          <w:tcPr>
            <w:tcW w:w="120" w:type="dxa"/>
            <w:vAlign w:val="bottom"/>
            <w:shd w:val="clear" w:color="auto" w:fill="EAF9E8"/>
          </w:tcPr>
          <w:p>
            <w:pPr>
              <w:spacing w:after="0"/>
              <w:rPr>
                <w:sz w:val="11"/>
                <w:szCs w:val="11"/>
                <w:color w:val="auto"/>
              </w:rPr>
            </w:pPr>
          </w:p>
        </w:tc>
        <w:tc>
          <w:tcPr>
            <w:tcW w:w="80" w:type="dxa"/>
            <w:vAlign w:val="bottom"/>
            <w:shd w:val="clear" w:color="auto" w:fill="EAF9E8"/>
          </w:tcPr>
          <w:p>
            <w:pPr>
              <w:spacing w:after="0"/>
              <w:rPr>
                <w:sz w:val="11"/>
                <w:szCs w:val="11"/>
                <w:color w:val="auto"/>
              </w:rPr>
            </w:pPr>
          </w:p>
        </w:tc>
        <w:tc>
          <w:tcPr>
            <w:tcW w:w="80" w:type="dxa"/>
            <w:vAlign w:val="bottom"/>
            <w:shd w:val="clear" w:color="auto" w:fill="EAF9E8"/>
          </w:tcPr>
          <w:p>
            <w:pPr>
              <w:spacing w:after="0"/>
              <w:rPr>
                <w:sz w:val="11"/>
                <w:szCs w:val="11"/>
                <w:color w:val="auto"/>
              </w:rPr>
            </w:pPr>
          </w:p>
        </w:tc>
        <w:tc>
          <w:tcPr>
            <w:tcW w:w="600" w:type="dxa"/>
            <w:vAlign w:val="bottom"/>
            <w:shd w:val="clear" w:color="auto" w:fill="EAF9E8"/>
          </w:tcPr>
          <w:p>
            <w:pPr>
              <w:spacing w:after="0"/>
              <w:rPr>
                <w:sz w:val="11"/>
                <w:szCs w:val="11"/>
                <w:color w:val="auto"/>
              </w:rPr>
            </w:pPr>
          </w:p>
        </w:tc>
        <w:tc>
          <w:tcPr>
            <w:tcW w:w="140" w:type="dxa"/>
            <w:vAlign w:val="bottom"/>
            <w:shd w:val="clear" w:color="auto" w:fill="EAF9E8"/>
          </w:tcPr>
          <w:p>
            <w:pPr>
              <w:spacing w:after="0"/>
              <w:rPr>
                <w:sz w:val="11"/>
                <w:szCs w:val="11"/>
                <w:color w:val="auto"/>
              </w:rPr>
            </w:pPr>
          </w:p>
        </w:tc>
        <w:tc>
          <w:tcPr>
            <w:tcW w:w="80" w:type="dxa"/>
            <w:vAlign w:val="bottom"/>
            <w:shd w:val="clear" w:color="auto" w:fill="EAF9E8"/>
          </w:tcPr>
          <w:p>
            <w:pPr>
              <w:spacing w:after="0"/>
              <w:rPr>
                <w:sz w:val="11"/>
                <w:szCs w:val="11"/>
                <w:color w:val="auto"/>
              </w:rPr>
            </w:pPr>
          </w:p>
        </w:tc>
        <w:tc>
          <w:tcPr>
            <w:tcW w:w="100" w:type="dxa"/>
            <w:vAlign w:val="bottom"/>
            <w:shd w:val="clear" w:color="auto" w:fill="EAF9E8"/>
          </w:tcPr>
          <w:p>
            <w:pPr>
              <w:spacing w:after="0"/>
              <w:rPr>
                <w:sz w:val="11"/>
                <w:szCs w:val="11"/>
                <w:color w:val="auto"/>
              </w:rPr>
            </w:pPr>
          </w:p>
        </w:tc>
        <w:tc>
          <w:tcPr>
            <w:tcW w:w="620" w:type="dxa"/>
            <w:vAlign w:val="bottom"/>
            <w:shd w:val="clear" w:color="auto" w:fill="EAF9E8"/>
          </w:tcPr>
          <w:p>
            <w:pPr>
              <w:spacing w:after="0"/>
              <w:rPr>
                <w:sz w:val="11"/>
                <w:szCs w:val="11"/>
                <w:color w:val="auto"/>
              </w:rPr>
            </w:pPr>
          </w:p>
        </w:tc>
        <w:tc>
          <w:tcPr>
            <w:tcW w:w="220" w:type="dxa"/>
            <w:vAlign w:val="bottom"/>
            <w:shd w:val="clear" w:color="auto" w:fill="EAF9E8"/>
          </w:tcPr>
          <w:p>
            <w:pPr>
              <w:spacing w:after="0"/>
              <w:rPr>
                <w:sz w:val="11"/>
                <w:szCs w:val="11"/>
                <w:color w:val="auto"/>
              </w:rPr>
            </w:pPr>
          </w:p>
        </w:tc>
        <w:tc>
          <w:tcPr>
            <w:tcW w:w="80" w:type="dxa"/>
            <w:vAlign w:val="bottom"/>
            <w:shd w:val="clear" w:color="auto" w:fill="EAF9E8"/>
          </w:tcPr>
          <w:p>
            <w:pPr>
              <w:spacing w:after="0"/>
              <w:rPr>
                <w:sz w:val="11"/>
                <w:szCs w:val="11"/>
                <w:color w:val="auto"/>
              </w:rPr>
            </w:pPr>
          </w:p>
        </w:tc>
        <w:tc>
          <w:tcPr>
            <w:tcW w:w="600" w:type="dxa"/>
            <w:vAlign w:val="bottom"/>
            <w:shd w:val="clear" w:color="auto" w:fill="EAF9E8"/>
          </w:tcPr>
          <w:p>
            <w:pPr>
              <w:spacing w:after="0"/>
              <w:rPr>
                <w:sz w:val="11"/>
                <w:szCs w:val="11"/>
                <w:color w:val="auto"/>
              </w:rPr>
            </w:pPr>
          </w:p>
        </w:tc>
        <w:tc>
          <w:tcPr>
            <w:tcW w:w="80" w:type="dxa"/>
            <w:vAlign w:val="bottom"/>
            <w:shd w:val="clear" w:color="auto" w:fill="EAF9E8"/>
          </w:tcPr>
          <w:p>
            <w:pPr>
              <w:spacing w:after="0"/>
              <w:rPr>
                <w:sz w:val="11"/>
                <w:szCs w:val="11"/>
                <w:color w:val="auto"/>
              </w:rPr>
            </w:pPr>
          </w:p>
        </w:tc>
        <w:tc>
          <w:tcPr>
            <w:tcW w:w="140" w:type="dxa"/>
            <w:vAlign w:val="bottom"/>
            <w:shd w:val="clear" w:color="auto" w:fill="EAF9E8"/>
          </w:tcPr>
          <w:p>
            <w:pPr>
              <w:spacing w:after="0"/>
              <w:rPr>
                <w:sz w:val="11"/>
                <w:szCs w:val="11"/>
                <w:color w:val="auto"/>
              </w:rPr>
            </w:pPr>
          </w:p>
        </w:tc>
        <w:tc>
          <w:tcPr>
            <w:tcW w:w="80" w:type="dxa"/>
            <w:vAlign w:val="bottom"/>
            <w:shd w:val="clear" w:color="auto" w:fill="EAF9E8"/>
          </w:tcPr>
          <w:p>
            <w:pPr>
              <w:spacing w:after="0"/>
              <w:rPr>
                <w:sz w:val="11"/>
                <w:szCs w:val="11"/>
                <w:color w:val="auto"/>
              </w:rPr>
            </w:pPr>
          </w:p>
        </w:tc>
        <w:tc>
          <w:tcPr>
            <w:tcW w:w="620" w:type="dxa"/>
            <w:vAlign w:val="bottom"/>
            <w:shd w:val="clear" w:color="auto" w:fill="EAF9E8"/>
          </w:tcPr>
          <w:p>
            <w:pPr>
              <w:spacing w:after="0"/>
              <w:rPr>
                <w:sz w:val="11"/>
                <w:szCs w:val="11"/>
                <w:color w:val="auto"/>
              </w:rPr>
            </w:pPr>
          </w:p>
        </w:tc>
        <w:tc>
          <w:tcPr>
            <w:tcW w:w="160" w:type="dxa"/>
            <w:vAlign w:val="bottom"/>
            <w:shd w:val="clear" w:color="auto" w:fill="EAF9E8"/>
          </w:tcPr>
          <w:p>
            <w:pPr>
              <w:spacing w:after="0"/>
              <w:rPr>
                <w:sz w:val="11"/>
                <w:szCs w:val="11"/>
                <w:color w:val="auto"/>
              </w:rPr>
            </w:pPr>
          </w:p>
        </w:tc>
        <w:tc>
          <w:tcPr>
            <w:tcW w:w="40" w:type="dxa"/>
            <w:vAlign w:val="bottom"/>
            <w:shd w:val="clear" w:color="auto" w:fill="EAF9E8"/>
          </w:tcPr>
          <w:p>
            <w:pPr>
              <w:spacing w:after="0"/>
              <w:rPr>
                <w:sz w:val="11"/>
                <w:szCs w:val="11"/>
                <w:color w:val="auto"/>
              </w:rPr>
            </w:pPr>
          </w:p>
        </w:tc>
        <w:tc>
          <w:tcPr>
            <w:tcW w:w="100" w:type="dxa"/>
            <w:vAlign w:val="bottom"/>
            <w:shd w:val="clear" w:color="auto" w:fill="EAF9E8"/>
          </w:tcPr>
          <w:p>
            <w:pPr>
              <w:spacing w:after="0"/>
              <w:rPr>
                <w:sz w:val="11"/>
                <w:szCs w:val="11"/>
                <w:color w:val="auto"/>
              </w:rPr>
            </w:pPr>
          </w:p>
        </w:tc>
        <w:tc>
          <w:tcPr>
            <w:tcW w:w="600" w:type="dxa"/>
            <w:vAlign w:val="bottom"/>
            <w:shd w:val="clear" w:color="auto" w:fill="EAF9E8"/>
          </w:tcPr>
          <w:p>
            <w:pPr>
              <w:spacing w:after="0"/>
              <w:rPr>
                <w:sz w:val="11"/>
                <w:szCs w:val="11"/>
                <w:color w:val="auto"/>
              </w:rPr>
            </w:pPr>
          </w:p>
        </w:tc>
        <w:tc>
          <w:tcPr>
            <w:tcW w:w="220" w:type="dxa"/>
            <w:vAlign w:val="bottom"/>
            <w:shd w:val="clear" w:color="auto" w:fill="EAF9E8"/>
          </w:tcPr>
          <w:p>
            <w:pPr>
              <w:spacing w:after="0"/>
              <w:rPr>
                <w:sz w:val="11"/>
                <w:szCs w:val="11"/>
                <w:color w:val="auto"/>
              </w:rPr>
            </w:pPr>
          </w:p>
        </w:tc>
        <w:tc>
          <w:tcPr>
            <w:tcW w:w="60" w:type="dxa"/>
            <w:vAlign w:val="bottom"/>
            <w:shd w:val="clear" w:color="auto" w:fill="EAF9E8"/>
          </w:tcPr>
          <w:p>
            <w:pPr>
              <w:spacing w:after="0"/>
              <w:rPr>
                <w:sz w:val="11"/>
                <w:szCs w:val="11"/>
                <w:color w:val="auto"/>
              </w:rPr>
            </w:pPr>
          </w:p>
        </w:tc>
        <w:tc>
          <w:tcPr>
            <w:tcW w:w="640" w:type="dxa"/>
            <w:vAlign w:val="bottom"/>
            <w:shd w:val="clear" w:color="auto" w:fill="EAF9E8"/>
          </w:tcPr>
          <w:p>
            <w:pPr>
              <w:spacing w:after="0"/>
              <w:rPr>
                <w:sz w:val="11"/>
                <w:szCs w:val="11"/>
                <w:color w:val="auto"/>
              </w:rPr>
            </w:pPr>
          </w:p>
        </w:tc>
        <w:tc>
          <w:tcPr>
            <w:tcW w:w="120" w:type="dxa"/>
            <w:vAlign w:val="bottom"/>
            <w:shd w:val="clear" w:color="auto" w:fill="EAF9E8"/>
          </w:tcPr>
          <w:p>
            <w:pPr>
              <w:spacing w:after="0"/>
              <w:rPr>
                <w:sz w:val="11"/>
                <w:szCs w:val="11"/>
                <w:color w:val="auto"/>
              </w:rPr>
            </w:pPr>
          </w:p>
        </w:tc>
        <w:tc>
          <w:tcPr>
            <w:tcW w:w="100" w:type="dxa"/>
            <w:vAlign w:val="bottom"/>
            <w:shd w:val="clear" w:color="auto" w:fill="EAF9E8"/>
          </w:tcPr>
          <w:p>
            <w:pPr>
              <w:spacing w:after="0"/>
              <w:rPr>
                <w:sz w:val="11"/>
                <w:szCs w:val="11"/>
                <w:color w:val="auto"/>
              </w:rPr>
            </w:pPr>
          </w:p>
        </w:tc>
        <w:tc>
          <w:tcPr>
            <w:tcW w:w="60" w:type="dxa"/>
            <w:vAlign w:val="bottom"/>
            <w:shd w:val="clear" w:color="auto" w:fill="EAF9E8"/>
          </w:tcPr>
          <w:p>
            <w:pPr>
              <w:spacing w:after="0"/>
              <w:rPr>
                <w:sz w:val="11"/>
                <w:szCs w:val="11"/>
                <w:color w:val="auto"/>
              </w:rPr>
            </w:pPr>
          </w:p>
        </w:tc>
        <w:tc>
          <w:tcPr>
            <w:tcW w:w="640" w:type="dxa"/>
            <w:vAlign w:val="bottom"/>
            <w:shd w:val="clear" w:color="auto" w:fill="EAF9E8"/>
          </w:tcPr>
          <w:p>
            <w:pPr>
              <w:spacing w:after="0"/>
              <w:rPr>
                <w:sz w:val="11"/>
                <w:szCs w:val="11"/>
                <w:color w:val="auto"/>
              </w:rPr>
            </w:pPr>
          </w:p>
        </w:tc>
        <w:tc>
          <w:tcPr>
            <w:tcW w:w="140" w:type="dxa"/>
            <w:vAlign w:val="bottom"/>
            <w:shd w:val="clear" w:color="auto" w:fill="EAF9E8"/>
          </w:tcPr>
          <w:p>
            <w:pPr>
              <w:spacing w:after="0"/>
              <w:rPr>
                <w:sz w:val="11"/>
                <w:szCs w:val="11"/>
                <w:color w:val="auto"/>
              </w:rPr>
            </w:pPr>
          </w:p>
        </w:tc>
        <w:tc>
          <w:tcPr>
            <w:tcW w:w="100" w:type="dxa"/>
            <w:vAlign w:val="bottom"/>
            <w:shd w:val="clear" w:color="auto" w:fill="EAF9E8"/>
          </w:tcPr>
          <w:p>
            <w:pPr>
              <w:spacing w:after="0"/>
              <w:rPr>
                <w:sz w:val="11"/>
                <w:szCs w:val="11"/>
                <w:color w:val="auto"/>
              </w:rPr>
            </w:pPr>
          </w:p>
        </w:tc>
        <w:tc>
          <w:tcPr>
            <w:tcW w:w="80" w:type="dxa"/>
            <w:vAlign w:val="bottom"/>
            <w:shd w:val="clear" w:color="auto" w:fill="EAF9E8"/>
          </w:tcPr>
          <w:p>
            <w:pPr>
              <w:spacing w:after="0"/>
              <w:rPr>
                <w:sz w:val="11"/>
                <w:szCs w:val="11"/>
                <w:color w:val="auto"/>
              </w:rPr>
            </w:pPr>
          </w:p>
        </w:tc>
        <w:tc>
          <w:tcPr>
            <w:tcW w:w="660" w:type="dxa"/>
            <w:vAlign w:val="bottom"/>
            <w:shd w:val="clear" w:color="auto" w:fill="EAF9E8"/>
          </w:tcPr>
          <w:p>
            <w:pPr>
              <w:spacing w:after="0"/>
              <w:rPr>
                <w:sz w:val="11"/>
                <w:szCs w:val="11"/>
                <w:color w:val="auto"/>
              </w:rPr>
            </w:pPr>
          </w:p>
        </w:tc>
        <w:tc>
          <w:tcPr>
            <w:tcW w:w="120" w:type="dxa"/>
            <w:vAlign w:val="bottom"/>
            <w:shd w:val="clear" w:color="auto" w:fill="EAF9E8"/>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220" w:type="dxa"/>
            <w:vAlign w:val="bottom"/>
            <w:shd w:val="clear" w:color="auto" w:fill="EAF9E8"/>
          </w:tcPr>
          <w:p>
            <w:pPr>
              <w:ind w:left="140"/>
              <w:spacing w:after="0"/>
              <w:rPr>
                <w:sz w:val="20"/>
                <w:szCs w:val="20"/>
                <w:color w:val="auto"/>
              </w:rPr>
            </w:pPr>
            <w:r>
              <w:rPr>
                <w:rFonts w:ascii="Arial" w:cs="Arial" w:eastAsia="Arial" w:hAnsi="Arial"/>
                <w:sz w:val="14"/>
                <w:szCs w:val="14"/>
                <w:b w:val="1"/>
                <w:bCs w:val="1"/>
                <w:color w:val="auto"/>
              </w:rPr>
              <w:t>income taxes</w:t>
            </w:r>
          </w:p>
        </w:tc>
        <w:tc>
          <w:tcPr>
            <w:tcW w:w="80" w:type="dxa"/>
            <w:vAlign w:val="bottom"/>
            <w:shd w:val="clear" w:color="auto" w:fill="EAF9E8"/>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EAF9E8"/>
          </w:tcPr>
          <w:p>
            <w:pPr>
              <w:jc w:val="right"/>
              <w:ind w:right="20"/>
              <w:spacing w:after="0"/>
              <w:rPr>
                <w:sz w:val="20"/>
                <w:szCs w:val="20"/>
                <w:color w:val="auto"/>
              </w:rPr>
            </w:pPr>
            <w:r>
              <w:rPr>
                <w:rFonts w:ascii="Arial" w:cs="Arial" w:eastAsia="Arial" w:hAnsi="Arial"/>
                <w:sz w:val="14"/>
                <w:szCs w:val="14"/>
                <w:color w:val="auto"/>
              </w:rPr>
              <w:t>25,196</w:t>
            </w:r>
          </w:p>
        </w:tc>
        <w:tc>
          <w:tcPr>
            <w:tcW w:w="120" w:type="dxa"/>
            <w:vAlign w:val="bottom"/>
            <w:shd w:val="clear" w:color="auto" w:fill="EAF9E8"/>
          </w:tcPr>
          <w:p>
            <w:pPr>
              <w:spacing w:after="0"/>
              <w:rPr>
                <w:sz w:val="14"/>
                <w:szCs w:val="14"/>
                <w:color w:val="auto"/>
              </w:rPr>
            </w:pPr>
          </w:p>
        </w:tc>
        <w:tc>
          <w:tcPr>
            <w:tcW w:w="160" w:type="dxa"/>
            <w:vAlign w:val="bottom"/>
            <w:gridSpan w:val="2"/>
            <w:shd w:val="clear" w:color="auto" w:fill="EAF9E8"/>
          </w:tcPr>
          <w:p>
            <w:pPr>
              <w:jc w:val="right"/>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EAF9E8"/>
          </w:tcPr>
          <w:p>
            <w:pPr>
              <w:jc w:val="right"/>
              <w:ind w:right="80"/>
              <w:spacing w:after="0"/>
              <w:rPr>
                <w:sz w:val="20"/>
                <w:szCs w:val="20"/>
                <w:color w:val="auto"/>
              </w:rPr>
            </w:pPr>
            <w:r>
              <w:rPr>
                <w:rFonts w:ascii="Arial" w:cs="Arial" w:eastAsia="Arial" w:hAnsi="Arial"/>
                <w:sz w:val="14"/>
                <w:szCs w:val="14"/>
                <w:color w:val="auto"/>
              </w:rPr>
              <w:t>(4,138)</w:t>
            </w:r>
          </w:p>
        </w:tc>
        <w:tc>
          <w:tcPr>
            <w:tcW w:w="180" w:type="dxa"/>
            <w:vAlign w:val="bottom"/>
            <w:gridSpan w:val="2"/>
            <w:shd w:val="clear" w:color="auto" w:fill="EAF9E8"/>
          </w:tcPr>
          <w:p>
            <w:pPr>
              <w:ind w:left="80"/>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EAF9E8"/>
          </w:tcPr>
          <w:p>
            <w:pPr>
              <w:jc w:val="right"/>
              <w:ind w:right="180"/>
              <w:spacing w:after="0"/>
              <w:rPr>
                <w:sz w:val="20"/>
                <w:szCs w:val="20"/>
                <w:color w:val="auto"/>
              </w:rPr>
            </w:pPr>
            <w:r>
              <w:rPr>
                <w:rFonts w:ascii="Arial" w:cs="Arial" w:eastAsia="Arial" w:hAnsi="Arial"/>
                <w:sz w:val="14"/>
                <w:szCs w:val="14"/>
                <w:color w:val="auto"/>
              </w:rPr>
              <w:t>(527)</w:t>
            </w:r>
          </w:p>
        </w:tc>
        <w:tc>
          <w:tcPr>
            <w:tcW w:w="80" w:type="dxa"/>
            <w:vAlign w:val="bottom"/>
            <w:shd w:val="clear" w:color="auto" w:fill="EAF9E8"/>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gridSpan w:val="2"/>
            <w:shd w:val="clear" w:color="auto" w:fill="EAF9E8"/>
          </w:tcPr>
          <w:p>
            <w:pPr>
              <w:jc w:val="right"/>
              <w:ind w:right="80"/>
              <w:spacing w:after="0"/>
              <w:rPr>
                <w:sz w:val="20"/>
                <w:szCs w:val="20"/>
                <w:color w:val="auto"/>
              </w:rPr>
            </w:pPr>
            <w:r>
              <w:rPr>
                <w:rFonts w:ascii="Arial" w:cs="Arial" w:eastAsia="Arial" w:hAnsi="Arial"/>
                <w:sz w:val="14"/>
                <w:szCs w:val="14"/>
                <w:color w:val="auto"/>
              </w:rPr>
              <w:t>5,148</w:t>
            </w:r>
          </w:p>
        </w:tc>
        <w:tc>
          <w:tcPr>
            <w:tcW w:w="220" w:type="dxa"/>
            <w:vAlign w:val="bottom"/>
            <w:gridSpan w:val="2"/>
            <w:shd w:val="clear" w:color="auto" w:fill="EAF9E8"/>
          </w:tcPr>
          <w:p>
            <w:pPr>
              <w:jc w:val="right"/>
              <w:ind w:right="2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EAF9E8"/>
          </w:tcPr>
          <w:p>
            <w:pPr>
              <w:jc w:val="right"/>
              <w:ind w:right="120"/>
              <w:spacing w:after="0"/>
              <w:rPr>
                <w:sz w:val="20"/>
                <w:szCs w:val="20"/>
                <w:color w:val="auto"/>
              </w:rPr>
            </w:pPr>
            <w:r>
              <w:rPr>
                <w:rFonts w:ascii="Arial" w:cs="Arial" w:eastAsia="Arial" w:hAnsi="Arial"/>
                <w:sz w:val="14"/>
                <w:szCs w:val="14"/>
                <w:color w:val="auto"/>
              </w:rPr>
              <w:t>(1,301)</w:t>
            </w:r>
          </w:p>
        </w:tc>
        <w:tc>
          <w:tcPr>
            <w:tcW w:w="140" w:type="dxa"/>
            <w:vAlign w:val="bottom"/>
            <w:gridSpan w:val="2"/>
            <w:shd w:val="clear" w:color="auto" w:fill="EAF9E8"/>
          </w:tcPr>
          <w:p>
            <w:pPr>
              <w:jc w:val="right"/>
              <w:spacing w:after="0"/>
              <w:rPr>
                <w:sz w:val="20"/>
                <w:szCs w:val="20"/>
                <w:color w:val="auto"/>
              </w:rPr>
            </w:pPr>
            <w:r>
              <w:rPr>
                <w:rFonts w:ascii="Arial" w:cs="Arial" w:eastAsia="Arial" w:hAnsi="Arial"/>
                <w:sz w:val="14"/>
                <w:szCs w:val="14"/>
                <w:color w:val="auto"/>
              </w:rPr>
              <w:t>$</w:t>
            </w:r>
          </w:p>
        </w:tc>
        <w:tc>
          <w:tcPr>
            <w:tcW w:w="600" w:type="dxa"/>
            <w:vAlign w:val="bottom"/>
            <w:shd w:val="clear" w:color="auto" w:fill="EAF9E8"/>
          </w:tcPr>
          <w:p>
            <w:pPr>
              <w:jc w:val="right"/>
              <w:spacing w:after="0"/>
              <w:rPr>
                <w:sz w:val="20"/>
                <w:szCs w:val="20"/>
                <w:color w:val="auto"/>
              </w:rPr>
            </w:pPr>
            <w:r>
              <w:rPr>
                <w:rFonts w:ascii="Arial" w:cs="Arial" w:eastAsia="Arial" w:hAnsi="Arial"/>
                <w:sz w:val="14"/>
                <w:szCs w:val="14"/>
                <w:color w:val="auto"/>
              </w:rPr>
              <w:t>2,324</w:t>
            </w:r>
          </w:p>
        </w:tc>
        <w:tc>
          <w:tcPr>
            <w:tcW w:w="220" w:type="dxa"/>
            <w:vAlign w:val="bottom"/>
            <w:shd w:val="clear" w:color="auto" w:fill="EAF9E8"/>
          </w:tcPr>
          <w:p>
            <w:pPr>
              <w:spacing w:after="0"/>
              <w:rPr>
                <w:sz w:val="14"/>
                <w:szCs w:val="14"/>
                <w:color w:val="auto"/>
              </w:rPr>
            </w:pPr>
          </w:p>
        </w:tc>
        <w:tc>
          <w:tcPr>
            <w:tcW w:w="60" w:type="dxa"/>
            <w:vAlign w:val="bottom"/>
            <w:shd w:val="clear" w:color="auto" w:fill="EAF9E8"/>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gridSpan w:val="2"/>
            <w:shd w:val="clear" w:color="auto" w:fill="EAF9E8"/>
          </w:tcPr>
          <w:p>
            <w:pPr>
              <w:jc w:val="right"/>
              <w:ind w:right="80"/>
              <w:spacing w:after="0"/>
              <w:rPr>
                <w:sz w:val="20"/>
                <w:szCs w:val="20"/>
                <w:color w:val="auto"/>
              </w:rPr>
            </w:pPr>
            <w:r>
              <w:rPr>
                <w:rFonts w:ascii="Arial" w:cs="Arial" w:eastAsia="Arial" w:hAnsi="Arial"/>
                <w:sz w:val="14"/>
                <w:szCs w:val="14"/>
                <w:color w:val="auto"/>
              </w:rPr>
              <w:t>(3,438)</w:t>
            </w:r>
          </w:p>
        </w:tc>
        <w:tc>
          <w:tcPr>
            <w:tcW w:w="160" w:type="dxa"/>
            <w:vAlign w:val="bottom"/>
            <w:gridSpan w:val="2"/>
            <w:shd w:val="clear" w:color="auto" w:fill="EAF9E8"/>
          </w:tcPr>
          <w:p>
            <w:pPr>
              <w:ind w:left="100"/>
              <w:spacing w:after="0"/>
              <w:rPr>
                <w:sz w:val="20"/>
                <w:szCs w:val="20"/>
                <w:color w:val="auto"/>
              </w:rPr>
            </w:pPr>
            <w:r>
              <w:rPr>
                <w:rFonts w:ascii="Arial" w:cs="Arial" w:eastAsia="Arial" w:hAnsi="Arial"/>
                <w:sz w:val="10"/>
                <w:szCs w:val="10"/>
                <w:color w:val="auto"/>
                <w:w w:val="71"/>
              </w:rPr>
              <w:t>$</w:t>
            </w:r>
          </w:p>
        </w:tc>
        <w:tc>
          <w:tcPr>
            <w:tcW w:w="780" w:type="dxa"/>
            <w:vAlign w:val="bottom"/>
            <w:gridSpan w:val="2"/>
            <w:shd w:val="clear" w:color="auto" w:fill="EAF9E8"/>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gridSpan w:val="2"/>
            <w:shd w:val="clear" w:color="auto" w:fill="EAF9E8"/>
          </w:tcPr>
          <w:p>
            <w:pPr>
              <w:ind w:left="100"/>
              <w:spacing w:after="0"/>
              <w:rPr>
                <w:sz w:val="20"/>
                <w:szCs w:val="20"/>
                <w:color w:val="auto"/>
              </w:rPr>
            </w:pPr>
            <w:r>
              <w:rPr>
                <w:rFonts w:ascii="Arial" w:cs="Arial" w:eastAsia="Arial" w:hAnsi="Arial"/>
                <w:sz w:val="14"/>
                <w:szCs w:val="14"/>
                <w:color w:val="auto"/>
                <w:w w:val="76"/>
              </w:rPr>
              <w:t>$</w:t>
            </w:r>
          </w:p>
        </w:tc>
        <w:tc>
          <w:tcPr>
            <w:tcW w:w="660" w:type="dxa"/>
            <w:vAlign w:val="bottom"/>
            <w:shd w:val="clear" w:color="auto" w:fill="EAF9E8"/>
          </w:tcPr>
          <w:p>
            <w:pPr>
              <w:jc w:val="right"/>
              <w:spacing w:after="0"/>
              <w:rPr>
                <w:sz w:val="20"/>
                <w:szCs w:val="20"/>
                <w:color w:val="auto"/>
              </w:rPr>
            </w:pPr>
            <w:r>
              <w:rPr>
                <w:rFonts w:ascii="Arial" w:cs="Arial" w:eastAsia="Arial" w:hAnsi="Arial"/>
                <w:sz w:val="14"/>
                <w:szCs w:val="14"/>
                <w:color w:val="auto"/>
              </w:rPr>
              <w:t>23,264</w:t>
            </w:r>
          </w:p>
        </w:tc>
        <w:tc>
          <w:tcPr>
            <w:tcW w:w="120" w:type="dxa"/>
            <w:vAlign w:val="bottom"/>
            <w:shd w:val="clear" w:color="auto" w:fill="EAF9E8"/>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22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right="880" w:firstLine="436"/>
        <w:spacing w:after="0" w:line="268" w:lineRule="auto"/>
        <w:rPr>
          <w:sz w:val="20"/>
          <w:szCs w:val="20"/>
          <w:color w:val="auto"/>
        </w:rPr>
      </w:pPr>
      <w:r>
        <w:rPr>
          <w:rFonts w:ascii="Arial" w:cs="Arial" w:eastAsia="Arial" w:hAnsi="Arial"/>
          <w:sz w:val="18"/>
          <w:szCs w:val="18"/>
          <w:color w:val="auto"/>
        </w:rPr>
        <w:t>We report the operating results of BOK, which are included in Corporate Items and Other, as discontinued operations. See Note 4 to the Interim Consolidated Financial Statements for additional information.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Servicing</w:t>
      </w:r>
    </w:p>
    <w:p>
      <w:pPr>
        <w:spacing w:after="0" w:line="231" w:lineRule="exact"/>
        <w:rPr>
          <w:sz w:val="20"/>
          <w:szCs w:val="20"/>
          <w:color w:val="auto"/>
        </w:rPr>
      </w:pPr>
    </w:p>
    <w:p>
      <w:pPr>
        <w:jc w:val="both"/>
        <w:ind w:firstLine="524"/>
        <w:spacing w:after="0" w:line="288" w:lineRule="auto"/>
        <w:rPr>
          <w:sz w:val="20"/>
          <w:szCs w:val="20"/>
          <w:color w:val="auto"/>
        </w:rPr>
      </w:pPr>
      <w:r>
        <w:rPr>
          <w:rFonts w:ascii="Arial" w:cs="Arial" w:eastAsia="Arial" w:hAnsi="Arial"/>
          <w:sz w:val="16"/>
          <w:szCs w:val="16"/>
          <w:color w:val="auto"/>
        </w:rPr>
        <w:t>Servicing continues to be our most profitable segment despite a 14% decline in total revenue in the first quarter of 2009 as compared to 2008. Servicing fees have declined due to a decline in the average balance of loans serviced. The UPB of loans that we service for others increased in the first quarter of 2009 for the first time since 2007, as the UPB for newly acquired servicing agreements exceeded the reduction of our existing servicing portfolio. This increase did not result in an increase in revenue because the servicing acquisition occurred relatively late in the quarter. Lower float balances and lower interest rates have resulted in a decline in float earnings. The decline in revenue was somewhat offset by a 18% decline in operating expenses. Amortization of MSRs declined due to a decline in projected prepayment speeds. Servicing and origination expense declined as a result of a decline in voluntary loan payoffs, and compensation and benefits expense declined as a result of an 18% reduction in average staffing levels. As a result, income from operations declined by $4,084, or 9% in the first quarter of 2009 as compared to 2008. However, pre-tax income improved by $3,767, or 18%, in the first quarter of 2009 as total interest expense declined by $7,502.</w:t>
      </w:r>
    </w:p>
    <w:p>
      <w:pPr>
        <w:spacing w:after="0" w:line="174" w:lineRule="exact"/>
        <w:rPr>
          <w:sz w:val="20"/>
          <w:szCs w:val="20"/>
          <w:color w:val="auto"/>
        </w:rPr>
      </w:pPr>
    </w:p>
    <w:p>
      <w:pPr>
        <w:jc w:val="both"/>
        <w:ind w:firstLine="444"/>
        <w:spacing w:after="0" w:line="259" w:lineRule="auto"/>
        <w:rPr>
          <w:sz w:val="20"/>
          <w:szCs w:val="20"/>
          <w:color w:val="auto"/>
        </w:rPr>
      </w:pPr>
      <w:r>
        <w:rPr>
          <w:rFonts w:ascii="Arial" w:cs="Arial" w:eastAsia="Arial" w:hAnsi="Arial"/>
          <w:sz w:val="18"/>
          <w:szCs w:val="18"/>
          <w:color w:val="auto"/>
        </w:rPr>
        <w:t>The delinquency rate has remained relatively stable and total advances have continued to decline in 2009. In part, advances declined as a result of increased loan modifications and sales of foreclosed real estate. We expect delinquency rates to remain flat for the remainder of 2009 which will lead to further reductions in advances as our seasoned portfolio matures.</w:t>
      </w:r>
    </w:p>
    <w:p>
      <w:pPr>
        <w:spacing w:after="0" w:line="194" w:lineRule="exact"/>
        <w:rPr>
          <w:sz w:val="20"/>
          <w:szCs w:val="20"/>
          <w:color w:val="auto"/>
        </w:rPr>
      </w:pPr>
    </w:p>
    <w:p>
      <w:pPr>
        <w:jc w:val="both"/>
        <w:ind w:firstLine="560"/>
        <w:spacing w:after="0" w:line="286" w:lineRule="auto"/>
        <w:rPr>
          <w:sz w:val="20"/>
          <w:szCs w:val="20"/>
          <w:color w:val="auto"/>
        </w:rPr>
      </w:pPr>
      <w:r>
        <w:rPr>
          <w:rFonts w:ascii="Arial" w:cs="Arial" w:eastAsia="Arial" w:hAnsi="Arial"/>
          <w:sz w:val="16"/>
          <w:szCs w:val="16"/>
          <w:color w:val="auto"/>
        </w:rPr>
        <w:t>Excluding non-performing loans serviced for Freddie Mac but including the newly acquired servicing agreements, the number of non-performing loans serviced declined by 8,130 in the first quarter of 2009. While the number of non-performing loans declined, the UPB of non-performing loans as a percentage of the portfolio serviced increased during the first quarter of 2009 to 25.1% at March 31, 2009 from 24.3% at December 31, 2008, as the average size of delinquent loans increased. Servicing advances declined by 12% in the first quarter of 2009 as compared to an increase of 2% for the first quarter of 2008. Interest expense on borrowings of the Servicing segment was 37% lower for the first quarter of 2009, as compared to 2008, and declined by 14% as compared to the fourth quarter of 2008. Servicing and subservicing fees, excluding float earnings and ancillary income, declined by 17% in the first quarter of 2009 as compared to 2008 due to the decline in UPB serviced. Prepayment speed averaged 22% in the first quarter of 2009 as compared to 23% in the same period of 2008. Prepayment speed declined in the first quarter of 2009 primarily due to a decline in loan payoffs offset by an increase in real estate sales. Real estate sales and other involuntary liquidations accounted for approximately 85% of prepayments during the first quarter of 2009 as compared to approximately 58% for the first quarter of 2008. We expect prepayment speed to decline somewhat in the future as the number of loans in foreclosure and properties awaiting liquidation decrease. Another factor contributing to the decline in prepayment speed is an increase in the fixed rate portion of our loan portfolio as ARM loans continue to prepay at a faster rate and become a smaller portion of total loans.</w:t>
      </w:r>
    </w:p>
    <w:p>
      <w:pPr>
        <w:sectPr>
          <w:pgSz w:w="11900" w:h="16838" w:orient="portrait"/>
          <w:cols w:equalWidth="0" w:num="1">
            <w:col w:w="11420"/>
          </w:cols>
          <w:pgMar w:left="240" w:top="131" w:right="239" w:bottom="670" w:gutter="0" w:footer="0" w:header="0"/>
        </w:sectPr>
      </w:pP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67575"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31" w:right="239" w:bottom="670" w:gutter="0" w:footer="0" w:header="0"/>
          <w:type w:val="continuous"/>
        </w:sectPr>
      </w:pPr>
    </w:p>
    <w:bookmarkStart w:id="37" w:name="page38"/>
    <w:bookmarkEnd w:id="37"/>
    <w:p>
      <w:pPr>
        <w:jc w:val="both"/>
        <w:ind w:firstLine="611"/>
        <w:spacing w:after="0" w:line="286" w:lineRule="auto"/>
        <w:rPr>
          <w:sz w:val="20"/>
          <w:szCs w:val="20"/>
          <w:color w:val="auto"/>
        </w:rPr>
      </w:pPr>
      <w:r>
        <w:rPr>
          <w:rFonts w:ascii="Arial" w:cs="Arial" w:eastAsia="Arial" w:hAnsi="Arial"/>
          <w:sz w:val="16"/>
          <w:szCs w:val="16"/>
          <w:color w:val="auto"/>
        </w:rPr>
        <w:t>During the first quarter of 2009, the President and U.S. Department of the Treasury announced and issued guidelines for HMP. The HMP provides a financial incentive for us to modify qualifying loans in accordance with the plan’s guidelines and requirements. On April 13, 2009, we announced our active participation in this plan and expect it to impact our revenue and profits for the full year 2009. However, we expect an adverse impact in the second quarter of 2009 as the program ramps up and modifications that ordinarily would have completed in this quarter are delayed. In order to qualify for the initial and subsequent financial incentives, each loan modification must meet specific guidelines and criteria. A significant part of the process is a trial modification period which must last for 90 days in order to qualify for the initial base incentive fee of $1,000 (actual dollars) or $1,500 (actual dollars) per loan. The higher initial payment is earned on loans that are still performing when modified but where default is likely. The subsequent annual success incentive fee of up to $1,000 (actual dollars) per loan is earned annually, provided the borrower continues to perform under the modification in accordance with program guidelines. We expect to recognize revenue only after all conditions are met, including the fulfillment of the 90 day trial period. In addition, for loans modified under the HMP, we will be required to forego accrued late fees incurred in the year of the modification. Of the 20,651 loans modified in the first quarter of 2009, we believe 12,741 would have qualified under the HMP.</w:t>
      </w:r>
    </w:p>
    <w:p>
      <w:pPr>
        <w:spacing w:after="0" w:line="181" w:lineRule="exact"/>
        <w:rPr>
          <w:sz w:val="20"/>
          <w:szCs w:val="20"/>
          <w:color w:val="auto"/>
        </w:rPr>
      </w:pPr>
    </w:p>
    <w:p>
      <w:pPr>
        <w:jc w:val="both"/>
        <w:ind w:firstLine="554"/>
        <w:spacing w:after="0" w:line="268" w:lineRule="auto"/>
        <w:rPr>
          <w:sz w:val="20"/>
          <w:szCs w:val="20"/>
          <w:color w:val="auto"/>
        </w:rPr>
      </w:pPr>
      <w:r>
        <w:rPr>
          <w:rFonts w:ascii="Arial" w:cs="Arial" w:eastAsia="Arial" w:hAnsi="Arial"/>
          <w:sz w:val="18"/>
          <w:szCs w:val="18"/>
          <w:color w:val="auto"/>
        </w:rPr>
        <w:t>The following table provides key business drivers and other selected revenue and expense items of our residential servicing business at or for the three months ended March 31:</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5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ind w:right="592"/>
              <w:spacing w:after="0"/>
              <w:rPr>
                <w:sz w:val="20"/>
                <w:szCs w:val="20"/>
                <w:color w:val="auto"/>
              </w:rPr>
            </w:pPr>
            <w:r>
              <w:rPr>
                <w:rFonts w:ascii="Arial" w:cs="Arial" w:eastAsia="Arial" w:hAnsi="Arial"/>
                <w:sz w:val="18"/>
                <w:szCs w:val="18"/>
                <w:color w:val="auto"/>
              </w:rPr>
              <w:t>2009</w:t>
            </w:r>
          </w:p>
        </w:tc>
        <w:tc>
          <w:tcPr>
            <w:tcW w:w="3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jc w:val="right"/>
              <w:ind w:right="592"/>
              <w:spacing w:after="0"/>
              <w:rPr>
                <w:sz w:val="20"/>
                <w:szCs w:val="20"/>
                <w:color w:val="auto"/>
              </w:rPr>
            </w:pPr>
            <w:r>
              <w:rPr>
                <w:rFonts w:ascii="Arial" w:cs="Arial" w:eastAsia="Arial" w:hAnsi="Arial"/>
                <w:sz w:val="18"/>
                <w:szCs w:val="18"/>
                <w:color w:val="auto"/>
              </w:rPr>
              <w:t>2008</w:t>
            </w:r>
          </w:p>
        </w:tc>
        <w:tc>
          <w:tcPr>
            <w:tcW w:w="340" w:type="dxa"/>
            <w:vAlign w:val="bottom"/>
          </w:tcPr>
          <w:p>
            <w:pPr>
              <w:spacing w:after="0"/>
              <w:rPr>
                <w:sz w:val="19"/>
                <w:szCs w:val="19"/>
                <w:color w:val="auto"/>
              </w:rPr>
            </w:pPr>
          </w:p>
        </w:tc>
        <w:tc>
          <w:tcPr>
            <w:tcW w:w="1760" w:type="dxa"/>
            <w:vAlign w:val="bottom"/>
            <w:gridSpan w:val="2"/>
          </w:tcPr>
          <w:p>
            <w:pPr>
              <w:ind w:left="460"/>
              <w:spacing w:after="0"/>
              <w:rPr>
                <w:sz w:val="20"/>
                <w:szCs w:val="20"/>
                <w:color w:val="auto"/>
              </w:rPr>
            </w:pPr>
            <w:r>
              <w:rPr>
                <w:rFonts w:ascii="Arial" w:cs="Arial" w:eastAsia="Arial" w:hAnsi="Arial"/>
                <w:sz w:val="18"/>
                <w:szCs w:val="18"/>
                <w:color w:val="auto"/>
              </w:rPr>
              <w:t>% Change</w:t>
            </w:r>
          </w:p>
        </w:tc>
      </w:tr>
      <w:tr>
        <w:trPr>
          <w:trHeight w:val="245"/>
        </w:trPr>
        <w:tc>
          <w:tcPr>
            <w:tcW w:w="55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660" w:type="dxa"/>
            <w:vAlign w:val="bottom"/>
            <w:gridSpan w:val="2"/>
          </w:tcPr>
          <w:p>
            <w:pPr>
              <w:spacing w:after="0"/>
              <w:rPr>
                <w:sz w:val="21"/>
                <w:szCs w:val="21"/>
                <w:color w:val="auto"/>
              </w:rPr>
            </w:pPr>
          </w:p>
        </w:tc>
        <w:tc>
          <w:tcPr>
            <w:tcW w:w="3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10"/>
        </w:trPr>
        <w:tc>
          <w:tcPr>
            <w:tcW w:w="5540" w:type="dxa"/>
            <w:vAlign w:val="bottom"/>
            <w:shd w:val="clear" w:color="auto" w:fill="EAF9E8"/>
          </w:tcPr>
          <w:p>
            <w:pPr>
              <w:spacing w:after="0"/>
              <w:rPr>
                <w:sz w:val="20"/>
                <w:szCs w:val="20"/>
                <w:color w:val="auto"/>
              </w:rPr>
            </w:pPr>
            <w:r>
              <w:rPr>
                <w:rFonts w:ascii="Arial" w:cs="Arial" w:eastAsia="Arial" w:hAnsi="Arial"/>
                <w:sz w:val="18"/>
                <w:szCs w:val="18"/>
                <w:color w:val="auto"/>
              </w:rPr>
              <w:t>Average UPB of loans and real estate serviced</w:t>
            </w:r>
          </w:p>
        </w:tc>
        <w:tc>
          <w:tcPr>
            <w:tcW w:w="400" w:type="dxa"/>
            <w:vAlign w:val="bottom"/>
            <w:tcBorders>
              <w:top w:val="single" w:sz="8" w:color="auto"/>
            </w:tcBorders>
            <w:shd w:val="clear" w:color="auto" w:fill="EAF9E8"/>
          </w:tcPr>
          <w:p>
            <w:pPr>
              <w:jc w:val="right"/>
              <w:ind w:right="212"/>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40,116,314</w:t>
            </w:r>
          </w:p>
        </w:tc>
        <w:tc>
          <w:tcPr>
            <w:tcW w:w="340" w:type="dxa"/>
            <w:vAlign w:val="bottom"/>
            <w:shd w:val="clear" w:color="auto" w:fill="EAF9E8"/>
          </w:tcPr>
          <w:p>
            <w:pPr>
              <w:spacing w:after="0"/>
              <w:rPr>
                <w:sz w:val="18"/>
                <w:szCs w:val="18"/>
                <w:color w:val="auto"/>
              </w:rPr>
            </w:pPr>
          </w:p>
        </w:tc>
        <w:tc>
          <w:tcPr>
            <w:tcW w:w="380" w:type="dxa"/>
            <w:vAlign w:val="bottom"/>
            <w:tcBorders>
              <w:top w:val="single" w:sz="8" w:color="auto"/>
            </w:tcBorders>
            <w:shd w:val="clear" w:color="auto" w:fill="EAF9E8"/>
          </w:tcPr>
          <w:p>
            <w:pPr>
              <w:jc w:val="right"/>
              <w:ind w:right="223"/>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51,754,789</w:t>
            </w:r>
          </w:p>
        </w:tc>
        <w:tc>
          <w:tcPr>
            <w:tcW w:w="340" w:type="dxa"/>
            <w:vAlign w:val="bottom"/>
            <w:shd w:val="clear" w:color="auto" w:fill="EAF9E8"/>
          </w:tcPr>
          <w:p>
            <w:pPr>
              <w:spacing w:after="0"/>
              <w:rPr>
                <w:sz w:val="18"/>
                <w:szCs w:val="18"/>
                <w:color w:val="auto"/>
              </w:rPr>
            </w:pPr>
          </w:p>
        </w:tc>
        <w:tc>
          <w:tcPr>
            <w:tcW w:w="1640" w:type="dxa"/>
            <w:vAlign w:val="bottom"/>
            <w:tcBorders>
              <w:top w:val="single" w:sz="8" w:color="auto"/>
            </w:tcBorders>
            <w:shd w:val="clear" w:color="auto" w:fill="EAF9E8"/>
          </w:tcPr>
          <w:p>
            <w:pPr>
              <w:jc w:val="right"/>
              <w:ind w:right="292"/>
              <w:spacing w:after="0"/>
              <w:rPr>
                <w:sz w:val="20"/>
                <w:szCs w:val="20"/>
                <w:color w:val="auto"/>
              </w:rPr>
            </w:pPr>
            <w:r>
              <w:rPr>
                <w:rFonts w:ascii="Arial" w:cs="Arial" w:eastAsia="Arial" w:hAnsi="Arial"/>
                <w:sz w:val="18"/>
                <w:szCs w:val="18"/>
                <w:color w:val="auto"/>
              </w:rPr>
              <w:t>(22)%</w:t>
            </w:r>
          </w:p>
        </w:tc>
        <w:tc>
          <w:tcPr>
            <w:tcW w:w="120" w:type="dxa"/>
            <w:vAlign w:val="bottom"/>
            <w:shd w:val="clear" w:color="auto" w:fill="EAF9E8"/>
          </w:tcPr>
          <w:p>
            <w:pPr>
              <w:spacing w:after="0"/>
              <w:rPr>
                <w:sz w:val="18"/>
                <w:szCs w:val="18"/>
                <w:color w:val="auto"/>
              </w:rPr>
            </w:pP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Prepayment speed (average CPR)</w:t>
            </w:r>
          </w:p>
        </w:tc>
        <w:tc>
          <w:tcPr>
            <w:tcW w:w="400" w:type="dxa"/>
            <w:vAlign w:val="bottom"/>
          </w:tcPr>
          <w:p>
            <w:pPr>
              <w:spacing w:after="0"/>
              <w:rPr>
                <w:sz w:val="18"/>
                <w:szCs w:val="18"/>
                <w:color w:val="auto"/>
              </w:rPr>
            </w:pPr>
          </w:p>
        </w:tc>
        <w:tc>
          <w:tcPr>
            <w:tcW w:w="1660" w:type="dxa"/>
            <w:vAlign w:val="bottom"/>
            <w:gridSpan w:val="2"/>
          </w:tcPr>
          <w:p>
            <w:pPr>
              <w:jc w:val="right"/>
              <w:ind w:right="200"/>
              <w:spacing w:after="0"/>
              <w:rPr>
                <w:sz w:val="20"/>
                <w:szCs w:val="20"/>
                <w:color w:val="auto"/>
              </w:rPr>
            </w:pPr>
            <w:r>
              <w:rPr>
                <w:rFonts w:ascii="Arial" w:cs="Arial" w:eastAsia="Arial" w:hAnsi="Arial"/>
                <w:sz w:val="18"/>
                <w:szCs w:val="18"/>
                <w:color w:val="auto"/>
              </w:rPr>
              <w:t>22%</w:t>
            </w:r>
          </w:p>
        </w:tc>
        <w:tc>
          <w:tcPr>
            <w:tcW w:w="380" w:type="dxa"/>
            <w:vAlign w:val="bottom"/>
          </w:tcPr>
          <w:p>
            <w:pPr>
              <w:spacing w:after="0"/>
              <w:rPr>
                <w:sz w:val="18"/>
                <w:szCs w:val="18"/>
                <w:color w:val="auto"/>
              </w:rPr>
            </w:pPr>
          </w:p>
        </w:tc>
        <w:tc>
          <w:tcPr>
            <w:tcW w:w="1680" w:type="dxa"/>
            <w:vAlign w:val="bottom"/>
            <w:gridSpan w:val="2"/>
          </w:tcPr>
          <w:p>
            <w:pPr>
              <w:jc w:val="right"/>
              <w:ind w:right="180"/>
              <w:spacing w:after="0"/>
              <w:rPr>
                <w:sz w:val="20"/>
                <w:szCs w:val="20"/>
                <w:color w:val="auto"/>
              </w:rPr>
            </w:pPr>
            <w:r>
              <w:rPr>
                <w:rFonts w:ascii="Arial" w:cs="Arial" w:eastAsia="Arial" w:hAnsi="Arial"/>
                <w:sz w:val="18"/>
                <w:szCs w:val="18"/>
                <w:color w:val="auto"/>
              </w:rPr>
              <w:t>23%</w:t>
            </w:r>
          </w:p>
        </w:tc>
        <w:tc>
          <w:tcPr>
            <w:tcW w:w="1640" w:type="dxa"/>
            <w:vAlign w:val="bottom"/>
          </w:tcPr>
          <w:p>
            <w:pPr>
              <w:jc w:val="right"/>
              <w:ind w:right="432"/>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8"/>
                <w:szCs w:val="18"/>
                <w:color w:val="auto"/>
              </w:rPr>
            </w:pPr>
          </w:p>
        </w:tc>
      </w:tr>
      <w:tr>
        <w:trPr>
          <w:trHeight w:val="208"/>
        </w:trPr>
        <w:tc>
          <w:tcPr>
            <w:tcW w:w="5540" w:type="dxa"/>
            <w:vAlign w:val="bottom"/>
            <w:shd w:val="clear" w:color="auto" w:fill="EAF9E8"/>
          </w:tcPr>
          <w:p>
            <w:pPr>
              <w:spacing w:after="0"/>
              <w:rPr>
                <w:sz w:val="20"/>
                <w:szCs w:val="20"/>
                <w:color w:val="auto"/>
              </w:rPr>
            </w:pPr>
            <w:r>
              <w:rPr>
                <w:rFonts w:ascii="Arial" w:cs="Arial" w:eastAsia="Arial" w:hAnsi="Arial"/>
                <w:sz w:val="18"/>
                <w:szCs w:val="18"/>
                <w:color w:val="auto"/>
                <w:w w:val="97"/>
              </w:rPr>
              <w:t>UPB of non-performing loans and real estate serviced as a % of total at</w:t>
            </w:r>
          </w:p>
        </w:tc>
        <w:tc>
          <w:tcPr>
            <w:tcW w:w="400" w:type="dxa"/>
            <w:vAlign w:val="bottom"/>
            <w:shd w:val="clear" w:color="auto" w:fill="EAF9E8"/>
          </w:tcPr>
          <w:p>
            <w:pPr>
              <w:spacing w:after="0"/>
              <w:rPr>
                <w:sz w:val="18"/>
                <w:szCs w:val="18"/>
                <w:color w:val="auto"/>
              </w:rPr>
            </w:pPr>
          </w:p>
        </w:tc>
        <w:tc>
          <w:tcPr>
            <w:tcW w:w="132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380" w:type="dxa"/>
            <w:vAlign w:val="bottom"/>
            <w:shd w:val="clear" w:color="auto" w:fill="EAF9E8"/>
          </w:tcPr>
          <w:p>
            <w:pPr>
              <w:spacing w:after="0"/>
              <w:rPr>
                <w:sz w:val="18"/>
                <w:szCs w:val="18"/>
                <w:color w:val="auto"/>
              </w:rPr>
            </w:pPr>
          </w:p>
        </w:tc>
        <w:tc>
          <w:tcPr>
            <w:tcW w:w="134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164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r>
      <w:tr>
        <w:trPr>
          <w:trHeight w:val="224"/>
        </w:trPr>
        <w:tc>
          <w:tcPr>
            <w:tcW w:w="5540" w:type="dxa"/>
            <w:vAlign w:val="bottom"/>
            <w:shd w:val="clear" w:color="auto" w:fill="EAF9E8"/>
          </w:tcPr>
          <w:p>
            <w:pPr>
              <w:ind w:left="160"/>
              <w:spacing w:after="0"/>
              <w:rPr>
                <w:sz w:val="20"/>
                <w:szCs w:val="20"/>
                <w:color w:val="auto"/>
              </w:rPr>
            </w:pPr>
            <w:r>
              <w:rPr>
                <w:rFonts w:ascii="Arial" w:cs="Arial" w:eastAsia="Arial" w:hAnsi="Arial"/>
                <w:sz w:val="18"/>
                <w:szCs w:val="18"/>
                <w:color w:val="auto"/>
              </w:rPr>
              <w:t>March 31 (1)(2)</w:t>
            </w:r>
          </w:p>
        </w:tc>
        <w:tc>
          <w:tcPr>
            <w:tcW w:w="400" w:type="dxa"/>
            <w:vAlign w:val="bottom"/>
            <w:shd w:val="clear" w:color="auto" w:fill="EAF9E8"/>
          </w:tcPr>
          <w:p>
            <w:pPr>
              <w:spacing w:after="0"/>
              <w:rPr>
                <w:sz w:val="19"/>
                <w:szCs w:val="19"/>
                <w:color w:val="auto"/>
              </w:rPr>
            </w:pPr>
          </w:p>
        </w:tc>
        <w:tc>
          <w:tcPr>
            <w:tcW w:w="166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25.1%</w:t>
            </w:r>
          </w:p>
        </w:tc>
        <w:tc>
          <w:tcPr>
            <w:tcW w:w="380" w:type="dxa"/>
            <w:vAlign w:val="bottom"/>
            <w:shd w:val="clear" w:color="auto" w:fill="EAF9E8"/>
          </w:tcPr>
          <w:p>
            <w:pPr>
              <w:spacing w:after="0"/>
              <w:rPr>
                <w:sz w:val="19"/>
                <w:szCs w:val="19"/>
                <w:color w:val="auto"/>
              </w:rPr>
            </w:pPr>
          </w:p>
        </w:tc>
        <w:tc>
          <w:tcPr>
            <w:tcW w:w="168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21.8%</w:t>
            </w:r>
          </w:p>
        </w:tc>
        <w:tc>
          <w:tcPr>
            <w:tcW w:w="1640" w:type="dxa"/>
            <w:vAlign w:val="bottom"/>
            <w:shd w:val="clear" w:color="auto" w:fill="EAF9E8"/>
          </w:tcPr>
          <w:p>
            <w:pPr>
              <w:jc w:val="right"/>
              <w:ind w:right="492"/>
              <w:spacing w:after="0"/>
              <w:rPr>
                <w:sz w:val="20"/>
                <w:szCs w:val="20"/>
                <w:color w:val="auto"/>
              </w:rPr>
            </w:pPr>
            <w:r>
              <w:rPr>
                <w:rFonts w:ascii="Arial" w:cs="Arial" w:eastAsia="Arial" w:hAnsi="Arial"/>
                <w:sz w:val="18"/>
                <w:szCs w:val="18"/>
                <w:color w:val="auto"/>
              </w:rPr>
              <w:t>15</w:t>
            </w:r>
          </w:p>
        </w:tc>
        <w:tc>
          <w:tcPr>
            <w:tcW w:w="120" w:type="dxa"/>
            <w:vAlign w:val="bottom"/>
            <w:shd w:val="clear" w:color="auto" w:fill="EAF9E8"/>
          </w:tcPr>
          <w:p>
            <w:pPr>
              <w:spacing w:after="0"/>
              <w:rPr>
                <w:sz w:val="19"/>
                <w:szCs w:val="19"/>
                <w:color w:val="auto"/>
              </w:rPr>
            </w:pP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Average number of loans and real estate serviced</w:t>
            </w:r>
          </w:p>
        </w:tc>
        <w:tc>
          <w:tcPr>
            <w:tcW w:w="400" w:type="dxa"/>
            <w:vAlign w:val="bottom"/>
          </w:tcPr>
          <w:p>
            <w:pPr>
              <w:spacing w:after="0"/>
              <w:rPr>
                <w:sz w:val="18"/>
                <w:szCs w:val="18"/>
                <w:color w:val="auto"/>
              </w:rPr>
            </w:pPr>
          </w:p>
        </w:tc>
        <w:tc>
          <w:tcPr>
            <w:tcW w:w="1660" w:type="dxa"/>
            <w:vAlign w:val="bottom"/>
            <w:gridSpan w:val="2"/>
          </w:tcPr>
          <w:p>
            <w:pPr>
              <w:jc w:val="right"/>
              <w:ind w:right="340"/>
              <w:spacing w:after="0"/>
              <w:rPr>
                <w:sz w:val="20"/>
                <w:szCs w:val="20"/>
                <w:color w:val="auto"/>
              </w:rPr>
            </w:pPr>
            <w:r>
              <w:rPr>
                <w:rFonts w:ascii="Arial" w:cs="Arial" w:eastAsia="Arial" w:hAnsi="Arial"/>
                <w:sz w:val="18"/>
                <w:szCs w:val="18"/>
                <w:color w:val="auto"/>
              </w:rPr>
              <w:t>313,093</w:t>
            </w:r>
          </w:p>
        </w:tc>
        <w:tc>
          <w:tcPr>
            <w:tcW w:w="3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401,623</w:t>
            </w:r>
          </w:p>
        </w:tc>
        <w:tc>
          <w:tcPr>
            <w:tcW w:w="340" w:type="dxa"/>
            <w:vAlign w:val="bottom"/>
          </w:tcPr>
          <w:p>
            <w:pPr>
              <w:spacing w:after="0"/>
              <w:rPr>
                <w:sz w:val="18"/>
                <w:szCs w:val="18"/>
                <w:color w:val="auto"/>
              </w:rPr>
            </w:pPr>
          </w:p>
        </w:tc>
        <w:tc>
          <w:tcPr>
            <w:tcW w:w="1640" w:type="dxa"/>
            <w:vAlign w:val="bottom"/>
          </w:tcPr>
          <w:p>
            <w:pPr>
              <w:jc w:val="right"/>
              <w:ind w:right="432"/>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18"/>
                <w:szCs w:val="18"/>
                <w:color w:val="auto"/>
              </w:rPr>
            </w:pPr>
          </w:p>
        </w:tc>
      </w:tr>
      <w:tr>
        <w:trPr>
          <w:trHeight w:val="208"/>
        </w:trPr>
        <w:tc>
          <w:tcPr>
            <w:tcW w:w="5540" w:type="dxa"/>
            <w:vAlign w:val="bottom"/>
            <w:shd w:val="clear" w:color="auto" w:fill="EAF9E8"/>
          </w:tcPr>
          <w:p>
            <w:pPr>
              <w:spacing w:after="0"/>
              <w:rPr>
                <w:sz w:val="20"/>
                <w:szCs w:val="20"/>
                <w:color w:val="auto"/>
              </w:rPr>
            </w:pPr>
            <w:r>
              <w:rPr>
                <w:rFonts w:ascii="Arial" w:cs="Arial" w:eastAsia="Arial" w:hAnsi="Arial"/>
                <w:sz w:val="18"/>
                <w:szCs w:val="18"/>
                <w:color w:val="auto"/>
                <w:w w:val="96"/>
              </w:rPr>
              <w:t>Number of non-performing loans and real estate serviced as a % of total</w:t>
            </w:r>
          </w:p>
        </w:tc>
        <w:tc>
          <w:tcPr>
            <w:tcW w:w="400" w:type="dxa"/>
            <w:vAlign w:val="bottom"/>
            <w:shd w:val="clear" w:color="auto" w:fill="EAF9E8"/>
          </w:tcPr>
          <w:p>
            <w:pPr>
              <w:spacing w:after="0"/>
              <w:rPr>
                <w:sz w:val="18"/>
                <w:szCs w:val="18"/>
                <w:color w:val="auto"/>
              </w:rPr>
            </w:pPr>
          </w:p>
        </w:tc>
        <w:tc>
          <w:tcPr>
            <w:tcW w:w="132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380" w:type="dxa"/>
            <w:vAlign w:val="bottom"/>
            <w:shd w:val="clear" w:color="auto" w:fill="EAF9E8"/>
          </w:tcPr>
          <w:p>
            <w:pPr>
              <w:spacing w:after="0"/>
              <w:rPr>
                <w:sz w:val="18"/>
                <w:szCs w:val="18"/>
                <w:color w:val="auto"/>
              </w:rPr>
            </w:pPr>
          </w:p>
        </w:tc>
        <w:tc>
          <w:tcPr>
            <w:tcW w:w="134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164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r>
      <w:tr>
        <w:trPr>
          <w:trHeight w:val="224"/>
        </w:trPr>
        <w:tc>
          <w:tcPr>
            <w:tcW w:w="5540" w:type="dxa"/>
            <w:vAlign w:val="bottom"/>
            <w:shd w:val="clear" w:color="auto" w:fill="EAF9E8"/>
          </w:tcPr>
          <w:p>
            <w:pPr>
              <w:ind w:left="160"/>
              <w:spacing w:after="0"/>
              <w:rPr>
                <w:sz w:val="20"/>
                <w:szCs w:val="20"/>
                <w:color w:val="auto"/>
              </w:rPr>
            </w:pPr>
            <w:r>
              <w:rPr>
                <w:rFonts w:ascii="Arial" w:cs="Arial" w:eastAsia="Arial" w:hAnsi="Arial"/>
                <w:sz w:val="18"/>
                <w:szCs w:val="18"/>
                <w:color w:val="auto"/>
              </w:rPr>
              <w:t>at March 31 (1)(2)</w:t>
            </w:r>
          </w:p>
        </w:tc>
        <w:tc>
          <w:tcPr>
            <w:tcW w:w="400" w:type="dxa"/>
            <w:vAlign w:val="bottom"/>
            <w:shd w:val="clear" w:color="auto" w:fill="EAF9E8"/>
          </w:tcPr>
          <w:p>
            <w:pPr>
              <w:spacing w:after="0"/>
              <w:rPr>
                <w:sz w:val="19"/>
                <w:szCs w:val="19"/>
                <w:color w:val="auto"/>
              </w:rPr>
            </w:pPr>
          </w:p>
        </w:tc>
        <w:tc>
          <w:tcPr>
            <w:tcW w:w="166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17.2%</w:t>
            </w:r>
          </w:p>
        </w:tc>
        <w:tc>
          <w:tcPr>
            <w:tcW w:w="380" w:type="dxa"/>
            <w:vAlign w:val="bottom"/>
            <w:shd w:val="clear" w:color="auto" w:fill="EAF9E8"/>
          </w:tcPr>
          <w:p>
            <w:pPr>
              <w:spacing w:after="0"/>
              <w:rPr>
                <w:sz w:val="19"/>
                <w:szCs w:val="19"/>
                <w:color w:val="auto"/>
              </w:rPr>
            </w:pPr>
          </w:p>
        </w:tc>
        <w:tc>
          <w:tcPr>
            <w:tcW w:w="168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16.8%</w:t>
            </w:r>
          </w:p>
        </w:tc>
        <w:tc>
          <w:tcPr>
            <w:tcW w:w="1640" w:type="dxa"/>
            <w:vAlign w:val="bottom"/>
            <w:shd w:val="clear" w:color="auto" w:fill="EAF9E8"/>
          </w:tcPr>
          <w:p>
            <w:pPr>
              <w:jc w:val="right"/>
              <w:ind w:right="492"/>
              <w:spacing w:after="0"/>
              <w:rPr>
                <w:sz w:val="20"/>
                <w:szCs w:val="20"/>
                <w:color w:val="auto"/>
              </w:rPr>
            </w:pPr>
            <w:r>
              <w:rPr>
                <w:rFonts w:ascii="Arial" w:cs="Arial" w:eastAsia="Arial" w:hAnsi="Arial"/>
                <w:sz w:val="18"/>
                <w:szCs w:val="18"/>
                <w:color w:val="auto"/>
              </w:rPr>
              <w:t>2</w:t>
            </w:r>
          </w:p>
        </w:tc>
        <w:tc>
          <w:tcPr>
            <w:tcW w:w="120" w:type="dxa"/>
            <w:vAlign w:val="bottom"/>
            <w:shd w:val="clear" w:color="auto" w:fill="EAF9E8"/>
          </w:tcPr>
          <w:p>
            <w:pPr>
              <w:spacing w:after="0"/>
              <w:rPr>
                <w:sz w:val="19"/>
                <w:szCs w:val="19"/>
                <w:color w:val="auto"/>
              </w:rPr>
            </w:pP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Average float balances</w:t>
            </w:r>
          </w:p>
        </w:tc>
        <w:tc>
          <w:tcPr>
            <w:tcW w:w="400" w:type="dxa"/>
            <w:vAlign w:val="bottom"/>
          </w:tcPr>
          <w:p>
            <w:pPr>
              <w:jc w:val="right"/>
              <w:ind w:right="212"/>
              <w:spacing w:after="0"/>
              <w:rPr>
                <w:sz w:val="20"/>
                <w:szCs w:val="20"/>
                <w:color w:val="auto"/>
              </w:rPr>
            </w:pPr>
            <w:r>
              <w:rPr>
                <w:rFonts w:ascii="Arial" w:cs="Arial" w:eastAsia="Arial" w:hAnsi="Arial"/>
                <w:sz w:val="18"/>
                <w:szCs w:val="18"/>
                <w:color w:val="auto"/>
                <w:w w:val="79"/>
              </w:rPr>
              <w:t>$</w:t>
            </w:r>
          </w:p>
        </w:tc>
        <w:tc>
          <w:tcPr>
            <w:tcW w:w="1660" w:type="dxa"/>
            <w:vAlign w:val="bottom"/>
            <w:gridSpan w:val="2"/>
          </w:tcPr>
          <w:p>
            <w:pPr>
              <w:jc w:val="right"/>
              <w:ind w:right="340"/>
              <w:spacing w:after="0"/>
              <w:rPr>
                <w:sz w:val="20"/>
                <w:szCs w:val="20"/>
                <w:color w:val="auto"/>
              </w:rPr>
            </w:pPr>
            <w:r>
              <w:rPr>
                <w:rFonts w:ascii="Arial" w:cs="Arial" w:eastAsia="Arial" w:hAnsi="Arial"/>
                <w:sz w:val="18"/>
                <w:szCs w:val="18"/>
                <w:color w:val="auto"/>
              </w:rPr>
              <w:t>361,300</w:t>
            </w:r>
          </w:p>
        </w:tc>
        <w:tc>
          <w:tcPr>
            <w:tcW w:w="380" w:type="dxa"/>
            <w:vAlign w:val="bottom"/>
          </w:tcPr>
          <w:p>
            <w:pPr>
              <w:jc w:val="right"/>
              <w:ind w:right="223"/>
              <w:spacing w:after="0"/>
              <w:rPr>
                <w:sz w:val="20"/>
                <w:szCs w:val="20"/>
                <w:color w:val="auto"/>
              </w:rPr>
            </w:pPr>
            <w:r>
              <w:rPr>
                <w:rFonts w:ascii="Arial" w:cs="Arial" w:eastAsia="Arial" w:hAnsi="Arial"/>
                <w:sz w:val="15"/>
                <w:szCs w:val="15"/>
                <w:color w:val="auto"/>
                <w:w w:val="71"/>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408,800</w:t>
            </w:r>
          </w:p>
        </w:tc>
        <w:tc>
          <w:tcPr>
            <w:tcW w:w="340" w:type="dxa"/>
            <w:vAlign w:val="bottom"/>
          </w:tcPr>
          <w:p>
            <w:pPr>
              <w:spacing w:after="0"/>
              <w:rPr>
                <w:sz w:val="18"/>
                <w:szCs w:val="18"/>
                <w:color w:val="auto"/>
              </w:rPr>
            </w:pPr>
          </w:p>
        </w:tc>
        <w:tc>
          <w:tcPr>
            <w:tcW w:w="1640" w:type="dxa"/>
            <w:vAlign w:val="bottom"/>
          </w:tcPr>
          <w:p>
            <w:pPr>
              <w:jc w:val="right"/>
              <w:ind w:right="432"/>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8"/>
                <w:szCs w:val="18"/>
                <w:color w:val="auto"/>
              </w:rPr>
            </w:pPr>
          </w:p>
        </w:tc>
      </w:tr>
      <w:tr>
        <w:trPr>
          <w:trHeight w:val="216"/>
        </w:trPr>
        <w:tc>
          <w:tcPr>
            <w:tcW w:w="5540" w:type="dxa"/>
            <w:vAlign w:val="bottom"/>
            <w:shd w:val="clear" w:color="auto" w:fill="EAF9E8"/>
          </w:tcPr>
          <w:p>
            <w:pPr>
              <w:spacing w:after="0"/>
              <w:rPr>
                <w:sz w:val="20"/>
                <w:szCs w:val="20"/>
                <w:color w:val="auto"/>
              </w:rPr>
            </w:pPr>
            <w:r>
              <w:rPr>
                <w:rFonts w:ascii="Arial" w:cs="Arial" w:eastAsia="Arial" w:hAnsi="Arial"/>
                <w:sz w:val="18"/>
                <w:szCs w:val="18"/>
                <w:color w:val="auto"/>
              </w:rPr>
              <w:t>Average balance of advances and match funded advances (3)</w:t>
            </w:r>
          </w:p>
        </w:tc>
        <w:tc>
          <w:tcPr>
            <w:tcW w:w="400" w:type="dxa"/>
            <w:vAlign w:val="bottom"/>
            <w:shd w:val="clear" w:color="auto" w:fill="EAF9E8"/>
          </w:tcPr>
          <w:p>
            <w:pPr>
              <w:jc w:val="right"/>
              <w:ind w:right="212"/>
              <w:spacing w:after="0"/>
              <w:rPr>
                <w:sz w:val="20"/>
                <w:szCs w:val="20"/>
                <w:color w:val="auto"/>
              </w:rPr>
            </w:pPr>
            <w:r>
              <w:rPr>
                <w:rFonts w:ascii="Arial" w:cs="Arial" w:eastAsia="Arial" w:hAnsi="Arial"/>
                <w:sz w:val="18"/>
                <w:szCs w:val="18"/>
                <w:color w:val="auto"/>
                <w:w w:val="79"/>
              </w:rPr>
              <w:t>$</w:t>
            </w:r>
          </w:p>
        </w:tc>
        <w:tc>
          <w:tcPr>
            <w:tcW w:w="1660" w:type="dxa"/>
            <w:vAlign w:val="bottom"/>
            <w:gridSpan w:val="2"/>
            <w:shd w:val="clear" w:color="auto" w:fill="EAF9E8"/>
          </w:tcPr>
          <w:p>
            <w:pPr>
              <w:jc w:val="right"/>
              <w:ind w:right="340"/>
              <w:spacing w:after="0"/>
              <w:rPr>
                <w:sz w:val="20"/>
                <w:szCs w:val="20"/>
                <w:color w:val="auto"/>
              </w:rPr>
            </w:pPr>
            <w:r>
              <w:rPr>
                <w:rFonts w:ascii="Arial" w:cs="Arial" w:eastAsia="Arial" w:hAnsi="Arial"/>
                <w:sz w:val="18"/>
                <w:szCs w:val="18"/>
                <w:color w:val="auto"/>
              </w:rPr>
              <w:t>1,123,776</w:t>
            </w:r>
          </w:p>
        </w:tc>
        <w:tc>
          <w:tcPr>
            <w:tcW w:w="380" w:type="dxa"/>
            <w:vAlign w:val="bottom"/>
            <w:shd w:val="clear" w:color="auto" w:fill="EAF9E8"/>
          </w:tcPr>
          <w:p>
            <w:pPr>
              <w:jc w:val="right"/>
              <w:ind w:right="223"/>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1,350,706</w:t>
            </w:r>
          </w:p>
        </w:tc>
        <w:tc>
          <w:tcPr>
            <w:tcW w:w="340" w:type="dxa"/>
            <w:vAlign w:val="bottom"/>
            <w:shd w:val="clear" w:color="auto" w:fill="EAF9E8"/>
          </w:tcPr>
          <w:p>
            <w:pPr>
              <w:spacing w:after="0"/>
              <w:rPr>
                <w:sz w:val="18"/>
                <w:szCs w:val="18"/>
                <w:color w:val="auto"/>
              </w:rPr>
            </w:pPr>
          </w:p>
        </w:tc>
        <w:tc>
          <w:tcPr>
            <w:tcW w:w="1640" w:type="dxa"/>
            <w:vAlign w:val="bottom"/>
            <w:shd w:val="clear" w:color="auto" w:fill="EAF9E8"/>
          </w:tcPr>
          <w:p>
            <w:pPr>
              <w:jc w:val="right"/>
              <w:ind w:right="432"/>
              <w:spacing w:after="0"/>
              <w:rPr>
                <w:sz w:val="20"/>
                <w:szCs w:val="20"/>
                <w:color w:val="auto"/>
              </w:rPr>
            </w:pPr>
            <w:r>
              <w:rPr>
                <w:rFonts w:ascii="Arial" w:cs="Arial" w:eastAsia="Arial" w:hAnsi="Arial"/>
                <w:sz w:val="18"/>
                <w:szCs w:val="18"/>
                <w:color w:val="auto"/>
              </w:rPr>
              <w:t>(17)</w:t>
            </w:r>
          </w:p>
        </w:tc>
        <w:tc>
          <w:tcPr>
            <w:tcW w:w="120" w:type="dxa"/>
            <w:vAlign w:val="bottom"/>
            <w:shd w:val="clear" w:color="auto" w:fill="EAF9E8"/>
          </w:tcPr>
          <w:p>
            <w:pPr>
              <w:spacing w:after="0"/>
              <w:rPr>
                <w:sz w:val="18"/>
                <w:szCs w:val="18"/>
                <w:color w:val="auto"/>
              </w:rPr>
            </w:pP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Average balance of MSRs</w:t>
            </w:r>
          </w:p>
        </w:tc>
        <w:tc>
          <w:tcPr>
            <w:tcW w:w="400" w:type="dxa"/>
            <w:vAlign w:val="bottom"/>
          </w:tcPr>
          <w:p>
            <w:pPr>
              <w:jc w:val="right"/>
              <w:ind w:right="212"/>
              <w:spacing w:after="0"/>
              <w:rPr>
                <w:sz w:val="20"/>
                <w:szCs w:val="20"/>
                <w:color w:val="auto"/>
              </w:rPr>
            </w:pPr>
            <w:r>
              <w:rPr>
                <w:rFonts w:ascii="Arial" w:cs="Arial" w:eastAsia="Arial" w:hAnsi="Arial"/>
                <w:sz w:val="18"/>
                <w:szCs w:val="18"/>
                <w:color w:val="auto"/>
                <w:w w:val="79"/>
              </w:rPr>
              <w:t>$</w:t>
            </w:r>
          </w:p>
        </w:tc>
        <w:tc>
          <w:tcPr>
            <w:tcW w:w="1660" w:type="dxa"/>
            <w:vAlign w:val="bottom"/>
            <w:gridSpan w:val="2"/>
          </w:tcPr>
          <w:p>
            <w:pPr>
              <w:jc w:val="right"/>
              <w:ind w:right="340"/>
              <w:spacing w:after="0"/>
              <w:rPr>
                <w:sz w:val="20"/>
                <w:szCs w:val="20"/>
                <w:color w:val="auto"/>
              </w:rPr>
            </w:pPr>
            <w:r>
              <w:rPr>
                <w:rFonts w:ascii="Arial" w:cs="Arial" w:eastAsia="Arial" w:hAnsi="Arial"/>
                <w:sz w:val="18"/>
                <w:szCs w:val="18"/>
                <w:color w:val="auto"/>
              </w:rPr>
              <w:t>134,348</w:t>
            </w:r>
          </w:p>
        </w:tc>
        <w:tc>
          <w:tcPr>
            <w:tcW w:w="380" w:type="dxa"/>
            <w:vAlign w:val="bottom"/>
          </w:tcPr>
          <w:p>
            <w:pPr>
              <w:jc w:val="right"/>
              <w:ind w:right="223"/>
              <w:spacing w:after="0"/>
              <w:rPr>
                <w:sz w:val="20"/>
                <w:szCs w:val="20"/>
                <w:color w:val="auto"/>
              </w:rPr>
            </w:pPr>
            <w:r>
              <w:rPr>
                <w:rFonts w:ascii="Arial" w:cs="Arial" w:eastAsia="Arial" w:hAnsi="Arial"/>
                <w:sz w:val="15"/>
                <w:szCs w:val="15"/>
                <w:color w:val="auto"/>
                <w:w w:val="71"/>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188,831</w:t>
            </w:r>
          </w:p>
        </w:tc>
        <w:tc>
          <w:tcPr>
            <w:tcW w:w="340" w:type="dxa"/>
            <w:vAlign w:val="bottom"/>
          </w:tcPr>
          <w:p>
            <w:pPr>
              <w:spacing w:after="0"/>
              <w:rPr>
                <w:sz w:val="18"/>
                <w:szCs w:val="18"/>
                <w:color w:val="auto"/>
              </w:rPr>
            </w:pPr>
          </w:p>
        </w:tc>
        <w:tc>
          <w:tcPr>
            <w:tcW w:w="1640" w:type="dxa"/>
            <w:vAlign w:val="bottom"/>
          </w:tcPr>
          <w:p>
            <w:pPr>
              <w:jc w:val="right"/>
              <w:ind w:right="432"/>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18"/>
                <w:szCs w:val="18"/>
                <w:color w:val="auto"/>
              </w:rPr>
            </w:pPr>
          </w:p>
        </w:tc>
      </w:tr>
      <w:tr>
        <w:trPr>
          <w:trHeight w:val="216"/>
        </w:trPr>
        <w:tc>
          <w:tcPr>
            <w:tcW w:w="5540" w:type="dxa"/>
            <w:vAlign w:val="bottom"/>
            <w:shd w:val="clear" w:color="auto" w:fill="EAF9E8"/>
          </w:tcPr>
          <w:p>
            <w:pPr>
              <w:spacing w:after="0"/>
              <w:rPr>
                <w:sz w:val="20"/>
                <w:szCs w:val="20"/>
                <w:color w:val="auto"/>
              </w:rPr>
            </w:pPr>
            <w:r>
              <w:rPr>
                <w:rFonts w:ascii="Arial" w:cs="Arial" w:eastAsia="Arial" w:hAnsi="Arial"/>
                <w:sz w:val="18"/>
                <w:szCs w:val="18"/>
                <w:color w:val="auto"/>
              </w:rPr>
              <w:t>Collections on loans serviced for others</w:t>
            </w:r>
          </w:p>
        </w:tc>
        <w:tc>
          <w:tcPr>
            <w:tcW w:w="400" w:type="dxa"/>
            <w:vAlign w:val="bottom"/>
            <w:shd w:val="clear" w:color="auto" w:fill="EAF9E8"/>
          </w:tcPr>
          <w:p>
            <w:pPr>
              <w:jc w:val="right"/>
              <w:ind w:right="212"/>
              <w:spacing w:after="0"/>
              <w:rPr>
                <w:sz w:val="20"/>
                <w:szCs w:val="20"/>
                <w:color w:val="auto"/>
              </w:rPr>
            </w:pPr>
            <w:r>
              <w:rPr>
                <w:rFonts w:ascii="Arial" w:cs="Arial" w:eastAsia="Arial" w:hAnsi="Arial"/>
                <w:sz w:val="18"/>
                <w:szCs w:val="18"/>
                <w:color w:val="auto"/>
                <w:w w:val="79"/>
              </w:rPr>
              <w:t>$</w:t>
            </w:r>
          </w:p>
        </w:tc>
        <w:tc>
          <w:tcPr>
            <w:tcW w:w="1660" w:type="dxa"/>
            <w:vAlign w:val="bottom"/>
            <w:gridSpan w:val="2"/>
            <w:shd w:val="clear" w:color="auto" w:fill="EAF9E8"/>
          </w:tcPr>
          <w:p>
            <w:pPr>
              <w:jc w:val="right"/>
              <w:ind w:right="340"/>
              <w:spacing w:after="0"/>
              <w:rPr>
                <w:sz w:val="20"/>
                <w:szCs w:val="20"/>
                <w:color w:val="auto"/>
              </w:rPr>
            </w:pPr>
            <w:r>
              <w:rPr>
                <w:rFonts w:ascii="Arial" w:cs="Arial" w:eastAsia="Arial" w:hAnsi="Arial"/>
                <w:sz w:val="18"/>
                <w:szCs w:val="18"/>
                <w:color w:val="auto"/>
              </w:rPr>
              <w:t>1,843,200</w:t>
            </w:r>
          </w:p>
        </w:tc>
        <w:tc>
          <w:tcPr>
            <w:tcW w:w="380" w:type="dxa"/>
            <w:vAlign w:val="bottom"/>
            <w:shd w:val="clear" w:color="auto" w:fill="EAF9E8"/>
          </w:tcPr>
          <w:p>
            <w:pPr>
              <w:jc w:val="right"/>
              <w:ind w:right="223"/>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3,072,811</w:t>
            </w:r>
          </w:p>
        </w:tc>
        <w:tc>
          <w:tcPr>
            <w:tcW w:w="340" w:type="dxa"/>
            <w:vAlign w:val="bottom"/>
            <w:shd w:val="clear" w:color="auto" w:fill="EAF9E8"/>
          </w:tcPr>
          <w:p>
            <w:pPr>
              <w:spacing w:after="0"/>
              <w:rPr>
                <w:sz w:val="18"/>
                <w:szCs w:val="18"/>
                <w:color w:val="auto"/>
              </w:rPr>
            </w:pPr>
          </w:p>
        </w:tc>
        <w:tc>
          <w:tcPr>
            <w:tcW w:w="1640" w:type="dxa"/>
            <w:vAlign w:val="bottom"/>
            <w:shd w:val="clear" w:color="auto" w:fill="EAF9E8"/>
          </w:tcPr>
          <w:p>
            <w:pPr>
              <w:jc w:val="right"/>
              <w:ind w:right="432"/>
              <w:spacing w:after="0"/>
              <w:rPr>
                <w:sz w:val="20"/>
                <w:szCs w:val="20"/>
                <w:color w:val="auto"/>
              </w:rPr>
            </w:pPr>
            <w:r>
              <w:rPr>
                <w:rFonts w:ascii="Arial" w:cs="Arial" w:eastAsia="Arial" w:hAnsi="Arial"/>
                <w:sz w:val="18"/>
                <w:szCs w:val="18"/>
                <w:color w:val="auto"/>
              </w:rPr>
              <w:t>(40)</w:t>
            </w:r>
          </w:p>
        </w:tc>
        <w:tc>
          <w:tcPr>
            <w:tcW w:w="120" w:type="dxa"/>
            <w:vAlign w:val="bottom"/>
            <w:shd w:val="clear" w:color="auto" w:fill="EAF9E8"/>
          </w:tcPr>
          <w:p>
            <w:pPr>
              <w:spacing w:after="0"/>
              <w:rPr>
                <w:sz w:val="18"/>
                <w:szCs w:val="18"/>
                <w:color w:val="auto"/>
              </w:rPr>
            </w:pP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w w:val="99"/>
              </w:rPr>
              <w:t>Servicing and subservicing fees (excluding float and ancillary income)</w:t>
            </w:r>
          </w:p>
        </w:tc>
        <w:tc>
          <w:tcPr>
            <w:tcW w:w="400" w:type="dxa"/>
            <w:vAlign w:val="bottom"/>
          </w:tcPr>
          <w:p>
            <w:pPr>
              <w:jc w:val="right"/>
              <w:ind w:right="212"/>
              <w:spacing w:after="0"/>
              <w:rPr>
                <w:sz w:val="20"/>
                <w:szCs w:val="20"/>
                <w:color w:val="auto"/>
              </w:rPr>
            </w:pPr>
            <w:r>
              <w:rPr>
                <w:rFonts w:ascii="Arial" w:cs="Arial" w:eastAsia="Arial" w:hAnsi="Arial"/>
                <w:sz w:val="18"/>
                <w:szCs w:val="18"/>
                <w:color w:val="auto"/>
                <w:w w:val="79"/>
              </w:rPr>
              <w:t>$</w:t>
            </w:r>
          </w:p>
        </w:tc>
        <w:tc>
          <w:tcPr>
            <w:tcW w:w="1660" w:type="dxa"/>
            <w:vAlign w:val="bottom"/>
            <w:gridSpan w:val="2"/>
          </w:tcPr>
          <w:p>
            <w:pPr>
              <w:jc w:val="right"/>
              <w:ind w:right="340"/>
              <w:spacing w:after="0"/>
              <w:rPr>
                <w:sz w:val="20"/>
                <w:szCs w:val="20"/>
                <w:color w:val="auto"/>
              </w:rPr>
            </w:pPr>
            <w:r>
              <w:rPr>
                <w:rFonts w:ascii="Arial" w:cs="Arial" w:eastAsia="Arial" w:hAnsi="Arial"/>
                <w:sz w:val="18"/>
                <w:szCs w:val="18"/>
                <w:color w:val="auto"/>
              </w:rPr>
              <w:t>45,878</w:t>
            </w:r>
          </w:p>
        </w:tc>
        <w:tc>
          <w:tcPr>
            <w:tcW w:w="380" w:type="dxa"/>
            <w:vAlign w:val="bottom"/>
          </w:tcPr>
          <w:p>
            <w:pPr>
              <w:jc w:val="right"/>
              <w:ind w:right="223"/>
              <w:spacing w:after="0"/>
              <w:rPr>
                <w:sz w:val="20"/>
                <w:szCs w:val="20"/>
                <w:color w:val="auto"/>
              </w:rPr>
            </w:pPr>
            <w:r>
              <w:rPr>
                <w:rFonts w:ascii="Arial" w:cs="Arial" w:eastAsia="Arial" w:hAnsi="Arial"/>
                <w:sz w:val="15"/>
                <w:szCs w:val="15"/>
                <w:color w:val="auto"/>
                <w:w w:val="71"/>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55,187</w:t>
            </w:r>
          </w:p>
        </w:tc>
        <w:tc>
          <w:tcPr>
            <w:tcW w:w="340" w:type="dxa"/>
            <w:vAlign w:val="bottom"/>
          </w:tcPr>
          <w:p>
            <w:pPr>
              <w:spacing w:after="0"/>
              <w:rPr>
                <w:sz w:val="18"/>
                <w:szCs w:val="18"/>
                <w:color w:val="auto"/>
              </w:rPr>
            </w:pPr>
          </w:p>
        </w:tc>
        <w:tc>
          <w:tcPr>
            <w:tcW w:w="1640" w:type="dxa"/>
            <w:vAlign w:val="bottom"/>
          </w:tcPr>
          <w:p>
            <w:pPr>
              <w:jc w:val="right"/>
              <w:ind w:right="432"/>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18"/>
                <w:szCs w:val="18"/>
                <w:color w:val="auto"/>
              </w:rPr>
            </w:pPr>
          </w:p>
        </w:tc>
      </w:tr>
      <w:tr>
        <w:trPr>
          <w:trHeight w:val="216"/>
        </w:trPr>
        <w:tc>
          <w:tcPr>
            <w:tcW w:w="5540" w:type="dxa"/>
            <w:vAlign w:val="bottom"/>
            <w:shd w:val="clear" w:color="auto" w:fill="EAF9E8"/>
          </w:tcPr>
          <w:p>
            <w:pPr>
              <w:spacing w:after="0"/>
              <w:rPr>
                <w:sz w:val="20"/>
                <w:szCs w:val="20"/>
                <w:color w:val="auto"/>
              </w:rPr>
            </w:pPr>
            <w:r>
              <w:rPr>
                <w:rFonts w:ascii="Arial" w:cs="Arial" w:eastAsia="Arial" w:hAnsi="Arial"/>
                <w:sz w:val="18"/>
                <w:szCs w:val="18"/>
                <w:color w:val="auto"/>
              </w:rPr>
              <w:t>Float earnings</w:t>
            </w:r>
          </w:p>
        </w:tc>
        <w:tc>
          <w:tcPr>
            <w:tcW w:w="400" w:type="dxa"/>
            <w:vAlign w:val="bottom"/>
            <w:shd w:val="clear" w:color="auto" w:fill="EAF9E8"/>
          </w:tcPr>
          <w:p>
            <w:pPr>
              <w:jc w:val="right"/>
              <w:ind w:right="212"/>
              <w:spacing w:after="0"/>
              <w:rPr>
                <w:sz w:val="20"/>
                <w:szCs w:val="20"/>
                <w:color w:val="auto"/>
              </w:rPr>
            </w:pPr>
            <w:r>
              <w:rPr>
                <w:rFonts w:ascii="Arial" w:cs="Arial" w:eastAsia="Arial" w:hAnsi="Arial"/>
                <w:sz w:val="18"/>
                <w:szCs w:val="18"/>
                <w:color w:val="auto"/>
                <w:w w:val="79"/>
              </w:rPr>
              <w:t>$</w:t>
            </w:r>
          </w:p>
        </w:tc>
        <w:tc>
          <w:tcPr>
            <w:tcW w:w="1660" w:type="dxa"/>
            <w:vAlign w:val="bottom"/>
            <w:gridSpan w:val="2"/>
            <w:shd w:val="clear" w:color="auto" w:fill="EAF9E8"/>
          </w:tcPr>
          <w:p>
            <w:pPr>
              <w:jc w:val="right"/>
              <w:ind w:right="340"/>
              <w:spacing w:after="0"/>
              <w:rPr>
                <w:sz w:val="20"/>
                <w:szCs w:val="20"/>
                <w:color w:val="auto"/>
              </w:rPr>
            </w:pPr>
            <w:r>
              <w:rPr>
                <w:rFonts w:ascii="Arial" w:cs="Arial" w:eastAsia="Arial" w:hAnsi="Arial"/>
                <w:sz w:val="18"/>
                <w:szCs w:val="18"/>
                <w:color w:val="auto"/>
              </w:rPr>
              <w:t>1,850</w:t>
            </w:r>
          </w:p>
        </w:tc>
        <w:tc>
          <w:tcPr>
            <w:tcW w:w="380" w:type="dxa"/>
            <w:vAlign w:val="bottom"/>
            <w:shd w:val="clear" w:color="auto" w:fill="EAF9E8"/>
          </w:tcPr>
          <w:p>
            <w:pPr>
              <w:jc w:val="right"/>
              <w:ind w:right="223"/>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4,433</w:t>
            </w:r>
          </w:p>
        </w:tc>
        <w:tc>
          <w:tcPr>
            <w:tcW w:w="340" w:type="dxa"/>
            <w:vAlign w:val="bottom"/>
            <w:shd w:val="clear" w:color="auto" w:fill="EAF9E8"/>
          </w:tcPr>
          <w:p>
            <w:pPr>
              <w:spacing w:after="0"/>
              <w:rPr>
                <w:sz w:val="18"/>
                <w:szCs w:val="18"/>
                <w:color w:val="auto"/>
              </w:rPr>
            </w:pPr>
          </w:p>
        </w:tc>
        <w:tc>
          <w:tcPr>
            <w:tcW w:w="1640" w:type="dxa"/>
            <w:vAlign w:val="bottom"/>
            <w:shd w:val="clear" w:color="auto" w:fill="EAF9E8"/>
          </w:tcPr>
          <w:p>
            <w:pPr>
              <w:jc w:val="right"/>
              <w:ind w:right="432"/>
              <w:spacing w:after="0"/>
              <w:rPr>
                <w:sz w:val="20"/>
                <w:szCs w:val="20"/>
                <w:color w:val="auto"/>
              </w:rPr>
            </w:pPr>
            <w:r>
              <w:rPr>
                <w:rFonts w:ascii="Arial" w:cs="Arial" w:eastAsia="Arial" w:hAnsi="Arial"/>
                <w:sz w:val="18"/>
                <w:szCs w:val="18"/>
                <w:color w:val="auto"/>
              </w:rPr>
              <w:t>(58)</w:t>
            </w:r>
          </w:p>
        </w:tc>
        <w:tc>
          <w:tcPr>
            <w:tcW w:w="120" w:type="dxa"/>
            <w:vAlign w:val="bottom"/>
            <w:shd w:val="clear" w:color="auto" w:fill="EAF9E8"/>
          </w:tcPr>
          <w:p>
            <w:pPr>
              <w:spacing w:after="0"/>
              <w:rPr>
                <w:sz w:val="18"/>
                <w:szCs w:val="18"/>
                <w:color w:val="auto"/>
              </w:rPr>
            </w:pP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Amortization of servicing rights (4)</w:t>
            </w:r>
          </w:p>
        </w:tc>
        <w:tc>
          <w:tcPr>
            <w:tcW w:w="400" w:type="dxa"/>
            <w:vAlign w:val="bottom"/>
          </w:tcPr>
          <w:p>
            <w:pPr>
              <w:jc w:val="right"/>
              <w:ind w:right="212"/>
              <w:spacing w:after="0"/>
              <w:rPr>
                <w:sz w:val="20"/>
                <w:szCs w:val="20"/>
                <w:color w:val="auto"/>
              </w:rPr>
            </w:pPr>
            <w:r>
              <w:rPr>
                <w:rFonts w:ascii="Arial" w:cs="Arial" w:eastAsia="Arial" w:hAnsi="Arial"/>
                <w:sz w:val="18"/>
                <w:szCs w:val="18"/>
                <w:color w:val="auto"/>
                <w:w w:val="79"/>
              </w:rPr>
              <w:t>$</w:t>
            </w:r>
          </w:p>
        </w:tc>
        <w:tc>
          <w:tcPr>
            <w:tcW w:w="1660" w:type="dxa"/>
            <w:vAlign w:val="bottom"/>
            <w:gridSpan w:val="2"/>
          </w:tcPr>
          <w:p>
            <w:pPr>
              <w:jc w:val="right"/>
              <w:ind w:right="340"/>
              <w:spacing w:after="0"/>
              <w:rPr>
                <w:sz w:val="20"/>
                <w:szCs w:val="20"/>
                <w:color w:val="auto"/>
              </w:rPr>
            </w:pPr>
            <w:r>
              <w:rPr>
                <w:rFonts w:ascii="Arial" w:cs="Arial" w:eastAsia="Arial" w:hAnsi="Arial"/>
                <w:sz w:val="18"/>
                <w:szCs w:val="18"/>
                <w:color w:val="auto"/>
              </w:rPr>
              <w:t>9,126</w:t>
            </w:r>
          </w:p>
        </w:tc>
        <w:tc>
          <w:tcPr>
            <w:tcW w:w="380" w:type="dxa"/>
            <w:vAlign w:val="bottom"/>
          </w:tcPr>
          <w:p>
            <w:pPr>
              <w:jc w:val="right"/>
              <w:ind w:right="223"/>
              <w:spacing w:after="0"/>
              <w:rPr>
                <w:sz w:val="20"/>
                <w:szCs w:val="20"/>
                <w:color w:val="auto"/>
              </w:rPr>
            </w:pPr>
            <w:r>
              <w:rPr>
                <w:rFonts w:ascii="Arial" w:cs="Arial" w:eastAsia="Arial" w:hAnsi="Arial"/>
                <w:sz w:val="15"/>
                <w:szCs w:val="15"/>
                <w:color w:val="auto"/>
                <w:w w:val="71"/>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13,804</w:t>
            </w:r>
          </w:p>
        </w:tc>
        <w:tc>
          <w:tcPr>
            <w:tcW w:w="340" w:type="dxa"/>
            <w:vAlign w:val="bottom"/>
          </w:tcPr>
          <w:p>
            <w:pPr>
              <w:spacing w:after="0"/>
              <w:rPr>
                <w:sz w:val="18"/>
                <w:szCs w:val="18"/>
                <w:color w:val="auto"/>
              </w:rPr>
            </w:pPr>
          </w:p>
        </w:tc>
        <w:tc>
          <w:tcPr>
            <w:tcW w:w="1640" w:type="dxa"/>
            <w:vAlign w:val="bottom"/>
          </w:tcPr>
          <w:p>
            <w:pPr>
              <w:jc w:val="right"/>
              <w:ind w:right="432"/>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18"/>
                <w:szCs w:val="18"/>
                <w:color w:val="auto"/>
              </w:rPr>
            </w:pPr>
          </w:p>
        </w:tc>
      </w:tr>
      <w:tr>
        <w:trPr>
          <w:trHeight w:val="216"/>
        </w:trPr>
        <w:tc>
          <w:tcPr>
            <w:tcW w:w="5540" w:type="dxa"/>
            <w:vAlign w:val="bottom"/>
            <w:shd w:val="clear" w:color="auto" w:fill="EAF9E8"/>
          </w:tcPr>
          <w:p>
            <w:pPr>
              <w:spacing w:after="0"/>
              <w:rPr>
                <w:sz w:val="20"/>
                <w:szCs w:val="20"/>
                <w:color w:val="auto"/>
              </w:rPr>
            </w:pPr>
            <w:r>
              <w:rPr>
                <w:rFonts w:ascii="Arial" w:cs="Arial" w:eastAsia="Arial" w:hAnsi="Arial"/>
                <w:sz w:val="18"/>
                <w:szCs w:val="18"/>
                <w:color w:val="auto"/>
              </w:rPr>
              <w:t>Interest expense on match funded liabilities and lines of credit</w:t>
            </w:r>
          </w:p>
        </w:tc>
        <w:tc>
          <w:tcPr>
            <w:tcW w:w="400" w:type="dxa"/>
            <w:vAlign w:val="bottom"/>
            <w:shd w:val="clear" w:color="auto" w:fill="EAF9E8"/>
          </w:tcPr>
          <w:p>
            <w:pPr>
              <w:jc w:val="right"/>
              <w:ind w:right="212"/>
              <w:spacing w:after="0"/>
              <w:rPr>
                <w:sz w:val="20"/>
                <w:szCs w:val="20"/>
                <w:color w:val="auto"/>
              </w:rPr>
            </w:pPr>
            <w:r>
              <w:rPr>
                <w:rFonts w:ascii="Arial" w:cs="Arial" w:eastAsia="Arial" w:hAnsi="Arial"/>
                <w:sz w:val="18"/>
                <w:szCs w:val="18"/>
                <w:color w:val="auto"/>
                <w:w w:val="79"/>
              </w:rPr>
              <w:t>$</w:t>
            </w:r>
          </w:p>
        </w:tc>
        <w:tc>
          <w:tcPr>
            <w:tcW w:w="1660" w:type="dxa"/>
            <w:vAlign w:val="bottom"/>
            <w:gridSpan w:val="2"/>
            <w:shd w:val="clear" w:color="auto" w:fill="EAF9E8"/>
          </w:tcPr>
          <w:p>
            <w:pPr>
              <w:jc w:val="right"/>
              <w:ind w:right="340"/>
              <w:spacing w:after="0"/>
              <w:rPr>
                <w:sz w:val="20"/>
                <w:szCs w:val="20"/>
                <w:color w:val="auto"/>
              </w:rPr>
            </w:pPr>
            <w:r>
              <w:rPr>
                <w:rFonts w:ascii="Arial" w:cs="Arial" w:eastAsia="Arial" w:hAnsi="Arial"/>
                <w:sz w:val="18"/>
                <w:szCs w:val="18"/>
                <w:color w:val="auto"/>
              </w:rPr>
              <w:t>13,045</w:t>
            </w:r>
          </w:p>
        </w:tc>
        <w:tc>
          <w:tcPr>
            <w:tcW w:w="380" w:type="dxa"/>
            <w:vAlign w:val="bottom"/>
            <w:shd w:val="clear" w:color="auto" w:fill="EAF9E8"/>
          </w:tcPr>
          <w:p>
            <w:pPr>
              <w:jc w:val="right"/>
              <w:ind w:right="223"/>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20,789</w:t>
            </w:r>
          </w:p>
        </w:tc>
        <w:tc>
          <w:tcPr>
            <w:tcW w:w="340" w:type="dxa"/>
            <w:vAlign w:val="bottom"/>
            <w:shd w:val="clear" w:color="auto" w:fill="EAF9E8"/>
          </w:tcPr>
          <w:p>
            <w:pPr>
              <w:spacing w:after="0"/>
              <w:rPr>
                <w:sz w:val="18"/>
                <w:szCs w:val="18"/>
                <w:color w:val="auto"/>
              </w:rPr>
            </w:pPr>
          </w:p>
        </w:tc>
        <w:tc>
          <w:tcPr>
            <w:tcW w:w="1640" w:type="dxa"/>
            <w:vAlign w:val="bottom"/>
            <w:shd w:val="clear" w:color="auto" w:fill="EAF9E8"/>
          </w:tcPr>
          <w:p>
            <w:pPr>
              <w:jc w:val="right"/>
              <w:ind w:right="432"/>
              <w:spacing w:after="0"/>
              <w:rPr>
                <w:sz w:val="20"/>
                <w:szCs w:val="20"/>
                <w:color w:val="auto"/>
              </w:rPr>
            </w:pPr>
            <w:r>
              <w:rPr>
                <w:rFonts w:ascii="Arial" w:cs="Arial" w:eastAsia="Arial" w:hAnsi="Arial"/>
                <w:sz w:val="18"/>
                <w:szCs w:val="18"/>
                <w:color w:val="auto"/>
              </w:rPr>
              <w:t>(37)</w:t>
            </w:r>
          </w:p>
        </w:tc>
        <w:tc>
          <w:tcPr>
            <w:tcW w:w="120" w:type="dxa"/>
            <w:vAlign w:val="bottom"/>
            <w:shd w:val="clear" w:color="auto" w:fill="EAF9E8"/>
          </w:tcPr>
          <w:p>
            <w:pPr>
              <w:spacing w:after="0"/>
              <w:rPr>
                <w:sz w:val="18"/>
                <w:szCs w:val="18"/>
                <w:color w:val="auto"/>
              </w:rPr>
            </w:pP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Compensating interest expense</w:t>
            </w:r>
          </w:p>
        </w:tc>
        <w:tc>
          <w:tcPr>
            <w:tcW w:w="400" w:type="dxa"/>
            <w:vAlign w:val="bottom"/>
          </w:tcPr>
          <w:p>
            <w:pPr>
              <w:jc w:val="right"/>
              <w:ind w:right="212"/>
              <w:spacing w:after="0"/>
              <w:rPr>
                <w:sz w:val="20"/>
                <w:szCs w:val="20"/>
                <w:color w:val="auto"/>
              </w:rPr>
            </w:pPr>
            <w:r>
              <w:rPr>
                <w:rFonts w:ascii="Arial" w:cs="Arial" w:eastAsia="Arial" w:hAnsi="Arial"/>
                <w:sz w:val="18"/>
                <w:szCs w:val="18"/>
                <w:color w:val="auto"/>
                <w:w w:val="79"/>
              </w:rPr>
              <w:t>$</w:t>
            </w:r>
          </w:p>
        </w:tc>
        <w:tc>
          <w:tcPr>
            <w:tcW w:w="1660" w:type="dxa"/>
            <w:vAlign w:val="bottom"/>
            <w:gridSpan w:val="2"/>
          </w:tcPr>
          <w:p>
            <w:pPr>
              <w:jc w:val="right"/>
              <w:ind w:right="340"/>
              <w:spacing w:after="0"/>
              <w:rPr>
                <w:sz w:val="20"/>
                <w:szCs w:val="20"/>
                <w:color w:val="auto"/>
              </w:rPr>
            </w:pPr>
            <w:r>
              <w:rPr>
                <w:rFonts w:ascii="Arial" w:cs="Arial" w:eastAsia="Arial" w:hAnsi="Arial"/>
                <w:sz w:val="18"/>
                <w:szCs w:val="18"/>
                <w:color w:val="auto"/>
              </w:rPr>
              <w:t>275</w:t>
            </w:r>
          </w:p>
        </w:tc>
        <w:tc>
          <w:tcPr>
            <w:tcW w:w="380" w:type="dxa"/>
            <w:vAlign w:val="bottom"/>
          </w:tcPr>
          <w:p>
            <w:pPr>
              <w:jc w:val="right"/>
              <w:ind w:right="223"/>
              <w:spacing w:after="0"/>
              <w:rPr>
                <w:sz w:val="20"/>
                <w:szCs w:val="20"/>
                <w:color w:val="auto"/>
              </w:rPr>
            </w:pPr>
            <w:r>
              <w:rPr>
                <w:rFonts w:ascii="Arial" w:cs="Arial" w:eastAsia="Arial" w:hAnsi="Arial"/>
                <w:sz w:val="15"/>
                <w:szCs w:val="15"/>
                <w:color w:val="auto"/>
                <w:w w:val="71"/>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1,110</w:t>
            </w:r>
          </w:p>
        </w:tc>
        <w:tc>
          <w:tcPr>
            <w:tcW w:w="340" w:type="dxa"/>
            <w:vAlign w:val="bottom"/>
          </w:tcPr>
          <w:p>
            <w:pPr>
              <w:spacing w:after="0"/>
              <w:rPr>
                <w:sz w:val="18"/>
                <w:szCs w:val="18"/>
                <w:color w:val="auto"/>
              </w:rPr>
            </w:pPr>
          </w:p>
        </w:tc>
        <w:tc>
          <w:tcPr>
            <w:tcW w:w="1640" w:type="dxa"/>
            <w:vAlign w:val="bottom"/>
          </w:tcPr>
          <w:p>
            <w:pPr>
              <w:jc w:val="right"/>
              <w:ind w:right="432"/>
              <w:spacing w:after="0"/>
              <w:rPr>
                <w:sz w:val="20"/>
                <w:szCs w:val="20"/>
                <w:color w:val="auto"/>
              </w:rPr>
            </w:pPr>
            <w:r>
              <w:rPr>
                <w:rFonts w:ascii="Arial" w:cs="Arial" w:eastAsia="Arial" w:hAnsi="Arial"/>
                <w:sz w:val="18"/>
                <w:szCs w:val="18"/>
                <w:color w:val="auto"/>
              </w:rPr>
              <w:t>(75)</w:t>
            </w:r>
          </w:p>
        </w:tc>
        <w:tc>
          <w:tcPr>
            <w:tcW w:w="120" w:type="dxa"/>
            <w:vAlign w:val="bottom"/>
          </w:tcPr>
          <w:p>
            <w:pPr>
              <w:spacing w:after="0"/>
              <w:rPr>
                <w:sz w:val="18"/>
                <w:szCs w:val="18"/>
                <w:color w:val="auto"/>
              </w:rPr>
            </w:pPr>
          </w:p>
        </w:tc>
      </w:tr>
      <w:tr>
        <w:trPr>
          <w:trHeight w:val="216"/>
        </w:trPr>
        <w:tc>
          <w:tcPr>
            <w:tcW w:w="5540" w:type="dxa"/>
            <w:vAlign w:val="bottom"/>
            <w:shd w:val="clear" w:color="auto" w:fill="EAF9E8"/>
          </w:tcPr>
          <w:p>
            <w:pPr>
              <w:spacing w:after="0"/>
              <w:rPr>
                <w:sz w:val="20"/>
                <w:szCs w:val="20"/>
                <w:color w:val="auto"/>
              </w:rPr>
            </w:pPr>
            <w:r>
              <w:rPr>
                <w:rFonts w:ascii="Arial" w:cs="Arial" w:eastAsia="Arial" w:hAnsi="Arial"/>
                <w:sz w:val="18"/>
                <w:szCs w:val="18"/>
                <w:color w:val="auto"/>
              </w:rPr>
              <w:t>Operating expenses directly related to loss mitigation activities</w:t>
            </w:r>
          </w:p>
        </w:tc>
        <w:tc>
          <w:tcPr>
            <w:tcW w:w="400" w:type="dxa"/>
            <w:vAlign w:val="bottom"/>
            <w:shd w:val="clear" w:color="auto" w:fill="EAF9E8"/>
          </w:tcPr>
          <w:p>
            <w:pPr>
              <w:jc w:val="right"/>
              <w:ind w:right="212"/>
              <w:spacing w:after="0"/>
              <w:rPr>
                <w:sz w:val="20"/>
                <w:szCs w:val="20"/>
                <w:color w:val="auto"/>
              </w:rPr>
            </w:pPr>
            <w:r>
              <w:rPr>
                <w:rFonts w:ascii="Arial" w:cs="Arial" w:eastAsia="Arial" w:hAnsi="Arial"/>
                <w:sz w:val="18"/>
                <w:szCs w:val="18"/>
                <w:color w:val="auto"/>
                <w:w w:val="79"/>
              </w:rPr>
              <w:t>$</w:t>
            </w:r>
          </w:p>
        </w:tc>
        <w:tc>
          <w:tcPr>
            <w:tcW w:w="1660" w:type="dxa"/>
            <w:vAlign w:val="bottom"/>
            <w:gridSpan w:val="2"/>
            <w:shd w:val="clear" w:color="auto" w:fill="EAF9E8"/>
          </w:tcPr>
          <w:p>
            <w:pPr>
              <w:jc w:val="right"/>
              <w:ind w:right="340"/>
              <w:spacing w:after="0"/>
              <w:rPr>
                <w:sz w:val="20"/>
                <w:szCs w:val="20"/>
                <w:color w:val="auto"/>
              </w:rPr>
            </w:pPr>
            <w:r>
              <w:rPr>
                <w:rFonts w:ascii="Arial" w:cs="Arial" w:eastAsia="Arial" w:hAnsi="Arial"/>
                <w:sz w:val="18"/>
                <w:szCs w:val="18"/>
                <w:color w:val="auto"/>
              </w:rPr>
              <w:t>7,193</w:t>
            </w:r>
          </w:p>
        </w:tc>
        <w:tc>
          <w:tcPr>
            <w:tcW w:w="380" w:type="dxa"/>
            <w:vAlign w:val="bottom"/>
            <w:shd w:val="clear" w:color="auto" w:fill="EAF9E8"/>
          </w:tcPr>
          <w:p>
            <w:pPr>
              <w:jc w:val="right"/>
              <w:ind w:right="223"/>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6,778</w:t>
            </w:r>
          </w:p>
        </w:tc>
        <w:tc>
          <w:tcPr>
            <w:tcW w:w="340" w:type="dxa"/>
            <w:vAlign w:val="bottom"/>
            <w:shd w:val="clear" w:color="auto" w:fill="EAF9E8"/>
          </w:tcPr>
          <w:p>
            <w:pPr>
              <w:spacing w:after="0"/>
              <w:rPr>
                <w:sz w:val="18"/>
                <w:szCs w:val="18"/>
                <w:color w:val="auto"/>
              </w:rPr>
            </w:pPr>
          </w:p>
        </w:tc>
        <w:tc>
          <w:tcPr>
            <w:tcW w:w="1640" w:type="dxa"/>
            <w:vAlign w:val="bottom"/>
            <w:shd w:val="clear" w:color="auto" w:fill="EAF9E8"/>
          </w:tcPr>
          <w:p>
            <w:pPr>
              <w:jc w:val="right"/>
              <w:ind w:right="492"/>
              <w:spacing w:after="0"/>
              <w:rPr>
                <w:sz w:val="20"/>
                <w:szCs w:val="20"/>
                <w:color w:val="auto"/>
              </w:rPr>
            </w:pPr>
            <w:r>
              <w:rPr>
                <w:rFonts w:ascii="Arial" w:cs="Arial" w:eastAsia="Arial" w:hAnsi="Arial"/>
                <w:sz w:val="18"/>
                <w:szCs w:val="18"/>
                <w:color w:val="auto"/>
              </w:rPr>
              <w:t>6</w:t>
            </w:r>
          </w:p>
        </w:tc>
        <w:tc>
          <w:tcPr>
            <w:tcW w:w="120" w:type="dxa"/>
            <w:vAlign w:val="bottom"/>
            <w:shd w:val="clear" w:color="auto" w:fill="EAF9E8"/>
          </w:tcPr>
          <w:p>
            <w:pPr>
              <w:spacing w:after="0"/>
              <w:rPr>
                <w:sz w:val="18"/>
                <w:szCs w:val="18"/>
                <w:color w:val="auto"/>
              </w:rPr>
            </w:pPr>
          </w:p>
        </w:tc>
      </w:tr>
    </w:tbl>
    <w:p>
      <w:pPr>
        <w:spacing w:after="0" w:line="248" w:lineRule="exact"/>
        <w:rPr>
          <w:sz w:val="20"/>
          <w:szCs w:val="20"/>
          <w:color w:val="auto"/>
        </w:rPr>
      </w:pPr>
    </w:p>
    <w:p>
      <w:pPr>
        <w:ind w:left="580" w:right="20" w:hanging="572"/>
        <w:spacing w:after="0" w:line="254" w:lineRule="auto"/>
        <w:tabs>
          <w:tab w:leader="none" w:pos="5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Excluding non-performing loans serviced for Freddie Mac. Also excludes real estate serviced pursuant to our contract with the VA which expired on July 24, 2008.</w:t>
      </w:r>
    </w:p>
    <w:p>
      <w:pPr>
        <w:ind w:left="580" w:hanging="572"/>
        <w:spacing w:after="0" w:line="250" w:lineRule="auto"/>
        <w:tabs>
          <w:tab w:leader="none" w:pos="5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At December 31, 2008, the UPB of non-performing assets comprised 24.3% of the total and the number of non-performing assets serviced comprised 19% of the total.</w:t>
      </w:r>
    </w:p>
    <w:p>
      <w:pPr>
        <w:ind w:left="580" w:hanging="572"/>
        <w:spacing w:after="0"/>
        <w:tabs>
          <w:tab w:leader="none" w:pos="5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combined average balance of advances and match funded advances was $1,146,613 for the fourth quarter of 2008.</w:t>
      </w:r>
    </w:p>
    <w:p>
      <w:pPr>
        <w:spacing w:after="0" w:line="9" w:lineRule="exact"/>
        <w:rPr>
          <w:rFonts w:ascii="Arial" w:cs="Arial" w:eastAsia="Arial" w:hAnsi="Arial"/>
          <w:sz w:val="18"/>
          <w:szCs w:val="18"/>
          <w:color w:val="auto"/>
        </w:rPr>
      </w:pPr>
    </w:p>
    <w:p>
      <w:pPr>
        <w:jc w:val="both"/>
        <w:ind w:left="580" w:hanging="572"/>
        <w:spacing w:after="0" w:line="255" w:lineRule="auto"/>
        <w:tabs>
          <w:tab w:leader="none" w:pos="5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During the three months ended March 31, 2009, the amount of charges we recognized to increase our servicing liability obligations exceeded amortization by $915, and we reported this net expense as amortization of servicing rights. The total amount of amortization of servicing rights reported by the servicing segment for the first quarter of 2009 is $10,041.</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8" w:name="page39"/>
    <w:bookmarkEnd w:id="38"/>
    <w:p>
      <w:pPr>
        <w:ind w:left="440"/>
        <w:spacing w:after="0"/>
        <w:rPr>
          <w:sz w:val="20"/>
          <w:szCs w:val="20"/>
          <w:color w:val="auto"/>
        </w:rPr>
      </w:pPr>
      <w:r>
        <w:rPr>
          <w:rFonts w:ascii="Arial" w:cs="Arial" w:eastAsia="Arial" w:hAnsi="Arial"/>
          <w:sz w:val="18"/>
          <w:szCs w:val="18"/>
          <w:color w:val="auto"/>
        </w:rPr>
        <w:t>The following table sets forth information regarding residential loans and real estate serviced for others: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gridSpan w:val="4"/>
          </w:tcPr>
          <w:p>
            <w:pPr>
              <w:ind w:left="740"/>
              <w:spacing w:after="0"/>
              <w:rPr>
                <w:sz w:val="20"/>
                <w:szCs w:val="20"/>
                <w:color w:val="auto"/>
              </w:rPr>
            </w:pPr>
            <w:r>
              <w:rPr>
                <w:rFonts w:ascii="Arial" w:cs="Arial" w:eastAsia="Arial" w:hAnsi="Arial"/>
                <w:sz w:val="18"/>
                <w:szCs w:val="18"/>
                <w:color w:val="auto"/>
                <w:w w:val="97"/>
              </w:rPr>
              <w:t>Loans (1)</w:t>
            </w:r>
          </w:p>
        </w:tc>
        <w:tc>
          <w:tcPr>
            <w:tcW w:w="8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gridSpan w:val="3"/>
          </w:tcPr>
          <w:p>
            <w:pPr>
              <w:ind w:left="600"/>
              <w:spacing w:after="0"/>
              <w:rPr>
                <w:sz w:val="20"/>
                <w:szCs w:val="20"/>
                <w:color w:val="auto"/>
              </w:rPr>
            </w:pPr>
            <w:r>
              <w:rPr>
                <w:rFonts w:ascii="Arial" w:cs="Arial" w:eastAsia="Arial" w:hAnsi="Arial"/>
                <w:sz w:val="18"/>
                <w:szCs w:val="18"/>
                <w:color w:val="auto"/>
                <w:w w:val="84"/>
              </w:rPr>
              <w:t>Real Estate (2)</w:t>
            </w: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gridSpan w:val="3"/>
          </w:tcPr>
          <w:p>
            <w:pPr>
              <w:ind w:left="720"/>
              <w:spacing w:after="0"/>
              <w:rPr>
                <w:sz w:val="20"/>
                <w:szCs w:val="20"/>
                <w:color w:val="auto"/>
              </w:rPr>
            </w:pPr>
            <w:r>
              <w:rPr>
                <w:rFonts w:ascii="Arial" w:cs="Arial" w:eastAsia="Arial" w:hAnsi="Arial"/>
                <w:sz w:val="18"/>
                <w:szCs w:val="18"/>
                <w:color w:val="auto"/>
                <w:w w:val="96"/>
              </w:rPr>
              <w:t>Total (4)(5)</w:t>
            </w: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5"/>
        </w:trPr>
        <w:tc>
          <w:tcPr>
            <w:tcW w:w="28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34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16"/>
        </w:trPr>
        <w:tc>
          <w:tcPr>
            <w:tcW w:w="2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gridSpan w:val="4"/>
          </w:tcPr>
          <w:p>
            <w:pPr>
              <w:ind w:left="100"/>
              <w:spacing w:after="0"/>
              <w:rPr>
                <w:sz w:val="20"/>
                <w:szCs w:val="20"/>
                <w:color w:val="auto"/>
              </w:rPr>
            </w:pPr>
            <w:r>
              <w:rPr>
                <w:rFonts w:ascii="Arial" w:cs="Arial" w:eastAsia="Arial" w:hAnsi="Arial"/>
                <w:sz w:val="18"/>
                <w:szCs w:val="18"/>
                <w:color w:val="auto"/>
              </w:rPr>
              <w:t>Amount</w:t>
            </w:r>
          </w:p>
        </w:tc>
        <w:tc>
          <w:tcPr>
            <w:tcW w:w="860" w:type="dxa"/>
            <w:vAlign w:val="bottom"/>
          </w:tcPr>
          <w:p>
            <w:pPr>
              <w:jc w:val="right"/>
              <w:ind w:right="272"/>
              <w:spacing w:after="0"/>
              <w:rPr>
                <w:sz w:val="20"/>
                <w:szCs w:val="20"/>
                <w:color w:val="auto"/>
              </w:rPr>
            </w:pPr>
            <w:r>
              <w:rPr>
                <w:rFonts w:ascii="Arial" w:cs="Arial" w:eastAsia="Arial" w:hAnsi="Arial"/>
                <w:sz w:val="18"/>
                <w:szCs w:val="18"/>
                <w:color w:val="auto"/>
                <w:w w:val="99"/>
              </w:rPr>
              <w:t>Count</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gridSpan w:val="3"/>
          </w:tcPr>
          <w:p>
            <w:pPr>
              <w:ind w:left="100"/>
              <w:spacing w:after="0"/>
              <w:rPr>
                <w:sz w:val="20"/>
                <w:szCs w:val="20"/>
                <w:color w:val="auto"/>
              </w:rPr>
            </w:pPr>
            <w:r>
              <w:rPr>
                <w:rFonts w:ascii="Arial" w:cs="Arial" w:eastAsia="Arial" w:hAnsi="Arial"/>
                <w:sz w:val="18"/>
                <w:szCs w:val="18"/>
                <w:color w:val="auto"/>
              </w:rPr>
              <w:t>Amount</w:t>
            </w:r>
          </w:p>
        </w:tc>
        <w:tc>
          <w:tcPr>
            <w:tcW w:w="780" w:type="dxa"/>
            <w:vAlign w:val="bottom"/>
          </w:tcPr>
          <w:p>
            <w:pPr>
              <w:jc w:val="right"/>
              <w:ind w:right="252"/>
              <w:spacing w:after="0"/>
              <w:rPr>
                <w:sz w:val="20"/>
                <w:szCs w:val="20"/>
                <w:color w:val="auto"/>
              </w:rPr>
            </w:pPr>
            <w:r>
              <w:rPr>
                <w:rFonts w:ascii="Arial" w:cs="Arial" w:eastAsia="Arial" w:hAnsi="Arial"/>
                <w:sz w:val="18"/>
                <w:szCs w:val="18"/>
                <w:color w:val="auto"/>
                <w:w w:val="87"/>
              </w:rPr>
              <w:t>Count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gridSpan w:val="3"/>
          </w:tcPr>
          <w:p>
            <w:pPr>
              <w:ind w:left="100"/>
              <w:spacing w:after="0"/>
              <w:rPr>
                <w:sz w:val="20"/>
                <w:szCs w:val="20"/>
                <w:color w:val="auto"/>
              </w:rPr>
            </w:pPr>
            <w:r>
              <w:rPr>
                <w:rFonts w:ascii="Arial" w:cs="Arial" w:eastAsia="Arial" w:hAnsi="Arial"/>
                <w:sz w:val="18"/>
                <w:szCs w:val="18"/>
                <w:color w:val="auto"/>
              </w:rPr>
              <w:t>Amount</w:t>
            </w:r>
          </w:p>
        </w:tc>
        <w:tc>
          <w:tcPr>
            <w:tcW w:w="840" w:type="dxa"/>
            <w:vAlign w:val="bottom"/>
          </w:tcPr>
          <w:p>
            <w:pPr>
              <w:jc w:val="right"/>
              <w:ind w:right="272"/>
              <w:spacing w:after="0"/>
              <w:rPr>
                <w:sz w:val="20"/>
                <w:szCs w:val="20"/>
                <w:color w:val="auto"/>
              </w:rPr>
            </w:pPr>
            <w:r>
              <w:rPr>
                <w:rFonts w:ascii="Arial" w:cs="Arial" w:eastAsia="Arial" w:hAnsi="Arial"/>
                <w:sz w:val="18"/>
                <w:szCs w:val="18"/>
                <w:color w:val="auto"/>
                <w:w w:val="95"/>
              </w:rPr>
              <w:t>Count</w:t>
            </w:r>
          </w:p>
        </w:tc>
        <w:tc>
          <w:tcPr>
            <w:tcW w:w="100" w:type="dxa"/>
            <w:vAlign w:val="bottom"/>
          </w:tcPr>
          <w:p>
            <w:pPr>
              <w:spacing w:after="0"/>
              <w:rPr>
                <w:sz w:val="18"/>
                <w:szCs w:val="18"/>
                <w:color w:val="auto"/>
              </w:rPr>
            </w:pPr>
          </w:p>
        </w:tc>
      </w:tr>
      <w:tr>
        <w:trPr>
          <w:trHeight w:val="237"/>
        </w:trPr>
        <w:tc>
          <w:tcPr>
            <w:tcW w:w="28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2880" w:type="dxa"/>
            <w:vAlign w:val="bottom"/>
            <w:shd w:val="clear" w:color="auto" w:fill="EAF9E8"/>
          </w:tcPr>
          <w:p>
            <w:pPr>
              <w:spacing w:after="0"/>
              <w:rPr>
                <w:sz w:val="20"/>
                <w:szCs w:val="20"/>
                <w:color w:val="auto"/>
              </w:rPr>
            </w:pPr>
            <w:r>
              <w:rPr>
                <w:rFonts w:ascii="Arial" w:cs="Arial" w:eastAsia="Arial" w:hAnsi="Arial"/>
                <w:sz w:val="18"/>
                <w:szCs w:val="18"/>
                <w:color w:val="auto"/>
              </w:rPr>
              <w:t>March 31, 2009:</w:t>
            </w:r>
          </w:p>
        </w:tc>
        <w:tc>
          <w:tcPr>
            <w:tcW w:w="180" w:type="dxa"/>
            <w:vAlign w:val="bottom"/>
            <w:shd w:val="clear" w:color="auto" w:fill="EAF9E8"/>
          </w:tcPr>
          <w:p>
            <w:pPr>
              <w:spacing w:after="0"/>
              <w:rPr>
                <w:sz w:val="18"/>
                <w:szCs w:val="18"/>
                <w:color w:val="auto"/>
              </w:rPr>
            </w:pPr>
          </w:p>
        </w:tc>
        <w:tc>
          <w:tcPr>
            <w:tcW w:w="98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300" w:type="dxa"/>
            <w:vAlign w:val="bottom"/>
            <w:shd w:val="clear" w:color="auto" w:fill="EAF9E8"/>
          </w:tcPr>
          <w:p>
            <w:pPr>
              <w:spacing w:after="0"/>
              <w:rPr>
                <w:sz w:val="18"/>
                <w:szCs w:val="18"/>
                <w:color w:val="auto"/>
              </w:rPr>
            </w:pPr>
          </w:p>
        </w:tc>
        <w:tc>
          <w:tcPr>
            <w:tcW w:w="86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96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78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96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300" w:type="dxa"/>
            <w:vAlign w:val="bottom"/>
            <w:shd w:val="clear" w:color="auto" w:fill="EAF9E8"/>
          </w:tcPr>
          <w:p>
            <w:pPr>
              <w:spacing w:after="0"/>
              <w:rPr>
                <w:sz w:val="18"/>
                <w:szCs w:val="18"/>
                <w:color w:val="auto"/>
              </w:rPr>
            </w:pPr>
          </w:p>
        </w:tc>
        <w:tc>
          <w:tcPr>
            <w:tcW w:w="8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r>
      <w:tr>
        <w:trPr>
          <w:trHeight w:val="216"/>
        </w:trPr>
        <w:tc>
          <w:tcPr>
            <w:tcW w:w="2880" w:type="dxa"/>
            <w:vAlign w:val="bottom"/>
          </w:tcPr>
          <w:p>
            <w:pPr>
              <w:ind w:left="160"/>
              <w:spacing w:after="0"/>
              <w:rPr>
                <w:sz w:val="20"/>
                <w:szCs w:val="20"/>
                <w:color w:val="auto"/>
              </w:rPr>
            </w:pPr>
            <w:r>
              <w:rPr>
                <w:rFonts w:ascii="Arial" w:cs="Arial" w:eastAsia="Arial" w:hAnsi="Arial"/>
                <w:sz w:val="18"/>
                <w:szCs w:val="18"/>
                <w:color w:val="auto"/>
              </w:rPr>
              <w:t>Performing</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29,880,797</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248,215</w:t>
            </w:r>
          </w:p>
        </w:tc>
        <w:tc>
          <w:tcPr>
            <w:tcW w:w="520" w:type="dxa"/>
            <w:vAlign w:val="bottom"/>
            <w:gridSpan w:val="2"/>
          </w:tcPr>
          <w:p>
            <w:pPr>
              <w:jc w:val="right"/>
              <w:ind w:right="23"/>
              <w:spacing w:after="0"/>
              <w:rPr>
                <w:sz w:val="20"/>
                <w:szCs w:val="20"/>
                <w:color w:val="auto"/>
              </w:rPr>
            </w:pPr>
            <w:r>
              <w:rPr>
                <w:rFonts w:ascii="Arial" w:cs="Arial" w:eastAsia="Arial" w:hAnsi="Arial"/>
                <w:sz w:val="18"/>
                <w:szCs w:val="18"/>
                <w:color w:val="auto"/>
              </w:rPr>
              <w:t>$</w:t>
            </w:r>
          </w:p>
        </w:tc>
        <w:tc>
          <w:tcPr>
            <w:tcW w:w="164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29,880,797</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248,215</w:t>
            </w:r>
          </w:p>
        </w:tc>
      </w:tr>
      <w:tr>
        <w:trPr>
          <w:trHeight w:val="216"/>
        </w:trPr>
        <w:tc>
          <w:tcPr>
            <w:tcW w:w="2880" w:type="dxa"/>
            <w:vAlign w:val="bottom"/>
            <w:shd w:val="clear" w:color="auto" w:fill="EAF9E8"/>
          </w:tcPr>
          <w:p>
            <w:pPr>
              <w:ind w:left="160"/>
              <w:spacing w:after="0"/>
              <w:rPr>
                <w:sz w:val="20"/>
                <w:szCs w:val="20"/>
                <w:color w:val="auto"/>
              </w:rPr>
            </w:pPr>
            <w:r>
              <w:rPr>
                <w:rFonts w:ascii="Arial" w:cs="Arial" w:eastAsia="Arial" w:hAnsi="Arial"/>
                <w:sz w:val="18"/>
                <w:szCs w:val="18"/>
                <w:color w:val="auto"/>
              </w:rPr>
              <w:t>Non-performing (3)</w:t>
            </w:r>
          </w:p>
        </w:tc>
        <w:tc>
          <w:tcPr>
            <w:tcW w:w="180" w:type="dxa"/>
            <w:vAlign w:val="bottom"/>
            <w:shd w:val="clear" w:color="auto" w:fill="EAF9E8"/>
          </w:tcPr>
          <w:p>
            <w:pPr>
              <w:spacing w:after="0"/>
              <w:rPr>
                <w:sz w:val="18"/>
                <w:szCs w:val="18"/>
                <w:color w:val="auto"/>
              </w:rPr>
            </w:pPr>
          </w:p>
        </w:tc>
        <w:tc>
          <w:tcPr>
            <w:tcW w:w="100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8,118,175</w:t>
            </w:r>
          </w:p>
        </w:tc>
        <w:tc>
          <w:tcPr>
            <w:tcW w:w="200" w:type="dxa"/>
            <w:vAlign w:val="bottom"/>
            <w:shd w:val="clear" w:color="auto" w:fill="EAF9E8"/>
          </w:tcPr>
          <w:p>
            <w:pPr>
              <w:spacing w:after="0"/>
              <w:rPr>
                <w:sz w:val="18"/>
                <w:szCs w:val="18"/>
                <w:color w:val="auto"/>
              </w:rPr>
            </w:pPr>
          </w:p>
        </w:tc>
        <w:tc>
          <w:tcPr>
            <w:tcW w:w="300" w:type="dxa"/>
            <w:vAlign w:val="bottom"/>
            <w:shd w:val="clear" w:color="auto" w:fill="EAF9E8"/>
          </w:tcPr>
          <w:p>
            <w:pPr>
              <w:spacing w:after="0"/>
              <w:rPr>
                <w:sz w:val="18"/>
                <w:szCs w:val="18"/>
                <w:color w:val="auto"/>
              </w:rPr>
            </w:pPr>
          </w:p>
        </w:tc>
        <w:tc>
          <w:tcPr>
            <w:tcW w:w="8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43,657</w:t>
            </w:r>
          </w:p>
        </w:tc>
        <w:tc>
          <w:tcPr>
            <w:tcW w:w="34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300" w:type="dxa"/>
            <w:vAlign w:val="bottom"/>
            <w:gridSpan w:val="2"/>
            <w:shd w:val="clear" w:color="auto" w:fill="EAF9E8"/>
          </w:tcPr>
          <w:p>
            <w:pPr>
              <w:jc w:val="right"/>
              <w:ind w:right="340"/>
              <w:spacing w:after="0"/>
              <w:rPr>
                <w:sz w:val="20"/>
                <w:szCs w:val="20"/>
                <w:color w:val="auto"/>
              </w:rPr>
            </w:pPr>
            <w:r>
              <w:rPr>
                <w:rFonts w:ascii="Arial" w:cs="Arial" w:eastAsia="Arial" w:hAnsi="Arial"/>
                <w:sz w:val="18"/>
                <w:szCs w:val="18"/>
                <w:color w:val="auto"/>
              </w:rPr>
              <w:t>2,790,163</w:t>
            </w:r>
          </w:p>
        </w:tc>
        <w:tc>
          <w:tcPr>
            <w:tcW w:w="340" w:type="dxa"/>
            <w:vAlign w:val="bottom"/>
            <w:shd w:val="clear" w:color="auto" w:fill="EAF9E8"/>
          </w:tcPr>
          <w:p>
            <w:pPr>
              <w:spacing w:after="0"/>
              <w:rPr>
                <w:sz w:val="18"/>
                <w:szCs w:val="18"/>
                <w:color w:val="auto"/>
              </w:rPr>
            </w:pPr>
          </w:p>
        </w:tc>
        <w:tc>
          <w:tcPr>
            <w:tcW w:w="96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12,228</w:t>
            </w:r>
          </w:p>
        </w:tc>
        <w:tc>
          <w:tcPr>
            <w:tcW w:w="16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9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10,908,338</w:t>
            </w:r>
          </w:p>
        </w:tc>
        <w:tc>
          <w:tcPr>
            <w:tcW w:w="340" w:type="dxa"/>
            <w:vAlign w:val="bottom"/>
            <w:shd w:val="clear" w:color="auto" w:fill="EAF9E8"/>
          </w:tcPr>
          <w:p>
            <w:pPr>
              <w:spacing w:after="0"/>
              <w:rPr>
                <w:sz w:val="18"/>
                <w:szCs w:val="18"/>
                <w:color w:val="auto"/>
              </w:rPr>
            </w:pPr>
          </w:p>
        </w:tc>
        <w:tc>
          <w:tcPr>
            <w:tcW w:w="300" w:type="dxa"/>
            <w:vAlign w:val="bottom"/>
            <w:shd w:val="clear" w:color="auto" w:fill="EAF9E8"/>
          </w:tcPr>
          <w:p>
            <w:pPr>
              <w:spacing w:after="0"/>
              <w:rPr>
                <w:sz w:val="18"/>
                <w:szCs w:val="18"/>
                <w:color w:val="auto"/>
              </w:rPr>
            </w:pPr>
          </w:p>
        </w:tc>
        <w:tc>
          <w:tcPr>
            <w:tcW w:w="9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55,885</w:t>
            </w:r>
          </w:p>
        </w:tc>
      </w:tr>
      <w:tr>
        <w:trPr>
          <w:trHeight w:val="243"/>
        </w:trPr>
        <w:tc>
          <w:tcPr>
            <w:tcW w:w="28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gridSpan w:val="2"/>
          </w:tcPr>
          <w:p>
            <w:pPr>
              <w:spacing w:after="0"/>
              <w:rPr>
                <w:sz w:val="21"/>
                <w:szCs w:val="21"/>
                <w:color w:val="auto"/>
              </w:rPr>
            </w:pP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520" w:type="dxa"/>
            <w:vAlign w:val="bottom"/>
            <w:gridSpan w:val="2"/>
          </w:tcPr>
          <w:p>
            <w:pPr>
              <w:spacing w:after="0"/>
              <w:rPr>
                <w:sz w:val="21"/>
                <w:szCs w:val="21"/>
                <w:color w:val="auto"/>
              </w:rPr>
            </w:pPr>
          </w:p>
        </w:tc>
        <w:tc>
          <w:tcPr>
            <w:tcW w:w="1300" w:type="dxa"/>
            <w:vAlign w:val="bottom"/>
            <w:gridSpan w:val="2"/>
          </w:tcPr>
          <w:p>
            <w:pPr>
              <w:spacing w:after="0"/>
              <w:rPr>
                <w:sz w:val="21"/>
                <w:szCs w:val="21"/>
                <w:color w:val="auto"/>
              </w:rPr>
            </w:pPr>
          </w:p>
        </w:tc>
        <w:tc>
          <w:tcPr>
            <w:tcW w:w="340" w:type="dxa"/>
            <w:vAlign w:val="bottom"/>
          </w:tcPr>
          <w:p>
            <w:pPr>
              <w:spacing w:after="0"/>
              <w:rPr>
                <w:sz w:val="21"/>
                <w:szCs w:val="21"/>
                <w:color w:val="auto"/>
              </w:rPr>
            </w:pPr>
          </w:p>
        </w:tc>
        <w:tc>
          <w:tcPr>
            <w:tcW w:w="960" w:type="dxa"/>
            <w:vAlign w:val="bottom"/>
            <w:gridSpan w:val="2"/>
          </w:tcPr>
          <w:p>
            <w:pPr>
              <w:spacing w:after="0"/>
              <w:rPr>
                <w:sz w:val="21"/>
                <w:szCs w:val="21"/>
                <w:color w:val="auto"/>
              </w:rPr>
            </w:pPr>
          </w:p>
        </w:tc>
        <w:tc>
          <w:tcPr>
            <w:tcW w:w="340" w:type="dxa"/>
            <w:vAlign w:val="bottom"/>
            <w:gridSpan w:val="2"/>
          </w:tcPr>
          <w:p>
            <w:pPr>
              <w:spacing w:after="0"/>
              <w:rPr>
                <w:sz w:val="21"/>
                <w:szCs w:val="21"/>
                <w:color w:val="auto"/>
              </w:rPr>
            </w:pPr>
          </w:p>
        </w:tc>
        <w:tc>
          <w:tcPr>
            <w:tcW w:w="9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gridSpan w:val="2"/>
          </w:tcPr>
          <w:p>
            <w:pPr>
              <w:spacing w:after="0"/>
              <w:rPr>
                <w:sz w:val="21"/>
                <w:szCs w:val="21"/>
                <w:color w:val="auto"/>
              </w:rPr>
            </w:pPr>
          </w:p>
        </w:tc>
      </w:tr>
      <w:tr>
        <w:trPr>
          <w:trHeight w:val="216"/>
        </w:trPr>
        <w:tc>
          <w:tcPr>
            <w:tcW w:w="2880" w:type="dxa"/>
            <w:vAlign w:val="bottom"/>
          </w:tcPr>
          <w:p>
            <w:pPr>
              <w:spacing w:after="0"/>
              <w:rPr>
                <w:sz w:val="18"/>
                <w:szCs w:val="18"/>
                <w:color w:val="auto"/>
              </w:rPr>
            </w:pPr>
          </w:p>
        </w:tc>
        <w:tc>
          <w:tcPr>
            <w:tcW w:w="180" w:type="dxa"/>
            <w:vAlign w:val="bottom"/>
            <w:tcBorders>
              <w:top w:val="single" w:sz="8" w:color="auto"/>
            </w:tcBorders>
          </w:tcPr>
          <w:p>
            <w:pPr>
              <w:jc w:val="right"/>
              <w:ind w:right="23"/>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37,998,972</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291,872</w:t>
            </w:r>
          </w:p>
        </w:tc>
        <w:tc>
          <w:tcPr>
            <w:tcW w:w="340" w:type="dxa"/>
            <w:vAlign w:val="bottom"/>
          </w:tcPr>
          <w:p>
            <w:pPr>
              <w:spacing w:after="0"/>
              <w:rPr>
                <w:sz w:val="18"/>
                <w:szCs w:val="18"/>
                <w:color w:val="auto"/>
              </w:rPr>
            </w:pPr>
          </w:p>
        </w:tc>
        <w:tc>
          <w:tcPr>
            <w:tcW w:w="180" w:type="dxa"/>
            <w:vAlign w:val="bottom"/>
            <w:tcBorders>
              <w:top w:val="single" w:sz="8" w:color="auto"/>
            </w:tcBorders>
          </w:tcPr>
          <w:p>
            <w:pPr>
              <w:jc w:val="right"/>
              <w:ind w:right="23"/>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2,790,163</w:t>
            </w:r>
          </w:p>
        </w:tc>
        <w:tc>
          <w:tcPr>
            <w:tcW w:w="34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12,228</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40,789,135</w:t>
            </w:r>
          </w:p>
        </w:tc>
        <w:tc>
          <w:tcPr>
            <w:tcW w:w="34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304,100</w:t>
            </w:r>
          </w:p>
        </w:tc>
        <w:tc>
          <w:tcPr>
            <w:tcW w:w="100" w:type="dxa"/>
            <w:vAlign w:val="bottom"/>
          </w:tcPr>
          <w:p>
            <w:pPr>
              <w:spacing w:after="0"/>
              <w:rPr>
                <w:sz w:val="18"/>
                <w:szCs w:val="18"/>
                <w:color w:val="auto"/>
              </w:rPr>
            </w:pPr>
          </w:p>
        </w:tc>
      </w:tr>
      <w:tr>
        <w:trPr>
          <w:trHeight w:val="237"/>
        </w:trPr>
        <w:tc>
          <w:tcPr>
            <w:tcW w:w="28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
        </w:trPr>
        <w:tc>
          <w:tcPr>
            <w:tcW w:w="28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2880" w:type="dxa"/>
            <w:vAlign w:val="bottom"/>
            <w:shd w:val="clear" w:color="auto" w:fill="EAF9E8"/>
          </w:tcPr>
          <w:p>
            <w:pPr>
              <w:spacing w:after="0" w:line="196" w:lineRule="exact"/>
              <w:rPr>
                <w:sz w:val="20"/>
                <w:szCs w:val="20"/>
                <w:color w:val="auto"/>
              </w:rPr>
            </w:pPr>
            <w:r>
              <w:rPr>
                <w:rFonts w:ascii="Arial" w:cs="Arial" w:eastAsia="Arial" w:hAnsi="Arial"/>
                <w:sz w:val="18"/>
                <w:szCs w:val="18"/>
                <w:color w:val="auto"/>
              </w:rPr>
              <w:t>December 31, 2008:</w:t>
            </w:r>
          </w:p>
        </w:tc>
        <w:tc>
          <w:tcPr>
            <w:tcW w:w="180" w:type="dxa"/>
            <w:vAlign w:val="bottom"/>
            <w:shd w:val="clear" w:color="auto" w:fill="EAF9E8"/>
          </w:tcPr>
          <w:p>
            <w:pPr>
              <w:spacing w:after="0"/>
              <w:rPr>
                <w:sz w:val="17"/>
                <w:szCs w:val="17"/>
                <w:color w:val="auto"/>
              </w:rPr>
            </w:pPr>
          </w:p>
        </w:tc>
        <w:tc>
          <w:tcPr>
            <w:tcW w:w="980" w:type="dxa"/>
            <w:vAlign w:val="bottom"/>
            <w:shd w:val="clear" w:color="auto" w:fill="EAF9E8"/>
          </w:tcPr>
          <w:p>
            <w:pPr>
              <w:spacing w:after="0"/>
              <w:rPr>
                <w:sz w:val="17"/>
                <w:szCs w:val="17"/>
                <w:color w:val="auto"/>
              </w:rPr>
            </w:pPr>
          </w:p>
        </w:tc>
        <w:tc>
          <w:tcPr>
            <w:tcW w:w="20" w:type="dxa"/>
            <w:vAlign w:val="bottom"/>
            <w:shd w:val="clear" w:color="auto" w:fill="EAF9E8"/>
          </w:tcPr>
          <w:p>
            <w:pPr>
              <w:spacing w:after="0"/>
              <w:rPr>
                <w:sz w:val="17"/>
                <w:szCs w:val="17"/>
                <w:color w:val="auto"/>
              </w:rPr>
            </w:pPr>
          </w:p>
        </w:tc>
        <w:tc>
          <w:tcPr>
            <w:tcW w:w="200" w:type="dxa"/>
            <w:vAlign w:val="bottom"/>
            <w:shd w:val="clear" w:color="auto" w:fill="EAF9E8"/>
          </w:tcPr>
          <w:p>
            <w:pPr>
              <w:spacing w:after="0"/>
              <w:rPr>
                <w:sz w:val="17"/>
                <w:szCs w:val="17"/>
                <w:color w:val="auto"/>
              </w:rPr>
            </w:pPr>
          </w:p>
        </w:tc>
        <w:tc>
          <w:tcPr>
            <w:tcW w:w="300" w:type="dxa"/>
            <w:vAlign w:val="bottom"/>
            <w:shd w:val="clear" w:color="auto" w:fill="EAF9E8"/>
          </w:tcPr>
          <w:p>
            <w:pPr>
              <w:spacing w:after="0"/>
              <w:rPr>
                <w:sz w:val="17"/>
                <w:szCs w:val="17"/>
                <w:color w:val="auto"/>
              </w:rPr>
            </w:pPr>
          </w:p>
        </w:tc>
        <w:tc>
          <w:tcPr>
            <w:tcW w:w="860" w:type="dxa"/>
            <w:vAlign w:val="bottom"/>
            <w:shd w:val="clear" w:color="auto" w:fill="EAF9E8"/>
          </w:tcPr>
          <w:p>
            <w:pPr>
              <w:spacing w:after="0"/>
              <w:rPr>
                <w:sz w:val="17"/>
                <w:szCs w:val="17"/>
                <w:color w:val="auto"/>
              </w:rPr>
            </w:pPr>
          </w:p>
        </w:tc>
        <w:tc>
          <w:tcPr>
            <w:tcW w:w="340" w:type="dxa"/>
            <w:vAlign w:val="bottom"/>
            <w:shd w:val="clear" w:color="auto" w:fill="EAF9E8"/>
          </w:tcPr>
          <w:p>
            <w:pPr>
              <w:spacing w:after="0"/>
              <w:rPr>
                <w:sz w:val="17"/>
                <w:szCs w:val="17"/>
                <w:color w:val="auto"/>
              </w:rPr>
            </w:pPr>
          </w:p>
        </w:tc>
        <w:tc>
          <w:tcPr>
            <w:tcW w:w="180" w:type="dxa"/>
            <w:vAlign w:val="bottom"/>
            <w:shd w:val="clear" w:color="auto" w:fill="EAF9E8"/>
          </w:tcPr>
          <w:p>
            <w:pPr>
              <w:spacing w:after="0"/>
              <w:rPr>
                <w:sz w:val="17"/>
                <w:szCs w:val="17"/>
                <w:color w:val="auto"/>
              </w:rPr>
            </w:pPr>
          </w:p>
        </w:tc>
        <w:tc>
          <w:tcPr>
            <w:tcW w:w="960" w:type="dxa"/>
            <w:vAlign w:val="bottom"/>
            <w:shd w:val="clear" w:color="auto" w:fill="EAF9E8"/>
          </w:tcPr>
          <w:p>
            <w:pPr>
              <w:spacing w:after="0"/>
              <w:rPr>
                <w:sz w:val="17"/>
                <w:szCs w:val="17"/>
                <w:color w:val="auto"/>
              </w:rPr>
            </w:pPr>
          </w:p>
        </w:tc>
        <w:tc>
          <w:tcPr>
            <w:tcW w:w="340" w:type="dxa"/>
            <w:vAlign w:val="bottom"/>
            <w:shd w:val="clear" w:color="auto" w:fill="EAF9E8"/>
          </w:tcPr>
          <w:p>
            <w:pPr>
              <w:spacing w:after="0"/>
              <w:rPr>
                <w:sz w:val="17"/>
                <w:szCs w:val="17"/>
                <w:color w:val="auto"/>
              </w:rPr>
            </w:pPr>
          </w:p>
        </w:tc>
        <w:tc>
          <w:tcPr>
            <w:tcW w:w="340" w:type="dxa"/>
            <w:vAlign w:val="bottom"/>
            <w:shd w:val="clear" w:color="auto" w:fill="EAF9E8"/>
          </w:tcPr>
          <w:p>
            <w:pPr>
              <w:spacing w:after="0"/>
              <w:rPr>
                <w:sz w:val="17"/>
                <w:szCs w:val="17"/>
                <w:color w:val="auto"/>
              </w:rPr>
            </w:pPr>
          </w:p>
        </w:tc>
        <w:tc>
          <w:tcPr>
            <w:tcW w:w="780" w:type="dxa"/>
            <w:vAlign w:val="bottom"/>
            <w:shd w:val="clear" w:color="auto" w:fill="EAF9E8"/>
          </w:tcPr>
          <w:p>
            <w:pPr>
              <w:spacing w:after="0"/>
              <w:rPr>
                <w:sz w:val="17"/>
                <w:szCs w:val="17"/>
                <w:color w:val="auto"/>
              </w:rPr>
            </w:pPr>
          </w:p>
        </w:tc>
        <w:tc>
          <w:tcPr>
            <w:tcW w:w="180" w:type="dxa"/>
            <w:vAlign w:val="bottom"/>
            <w:shd w:val="clear" w:color="auto" w:fill="EAF9E8"/>
          </w:tcPr>
          <w:p>
            <w:pPr>
              <w:spacing w:after="0"/>
              <w:rPr>
                <w:sz w:val="17"/>
                <w:szCs w:val="17"/>
                <w:color w:val="auto"/>
              </w:rPr>
            </w:pPr>
          </w:p>
        </w:tc>
        <w:tc>
          <w:tcPr>
            <w:tcW w:w="160" w:type="dxa"/>
            <w:vAlign w:val="bottom"/>
            <w:shd w:val="clear" w:color="auto" w:fill="EAF9E8"/>
          </w:tcPr>
          <w:p>
            <w:pPr>
              <w:spacing w:after="0"/>
              <w:rPr>
                <w:sz w:val="17"/>
                <w:szCs w:val="17"/>
                <w:color w:val="auto"/>
              </w:rPr>
            </w:pPr>
          </w:p>
        </w:tc>
        <w:tc>
          <w:tcPr>
            <w:tcW w:w="180" w:type="dxa"/>
            <w:vAlign w:val="bottom"/>
            <w:shd w:val="clear" w:color="auto" w:fill="EAF9E8"/>
          </w:tcPr>
          <w:p>
            <w:pPr>
              <w:spacing w:after="0"/>
              <w:rPr>
                <w:sz w:val="17"/>
                <w:szCs w:val="17"/>
                <w:color w:val="auto"/>
              </w:rPr>
            </w:pPr>
          </w:p>
        </w:tc>
        <w:tc>
          <w:tcPr>
            <w:tcW w:w="960" w:type="dxa"/>
            <w:vAlign w:val="bottom"/>
            <w:shd w:val="clear" w:color="auto" w:fill="EAF9E8"/>
          </w:tcPr>
          <w:p>
            <w:pPr>
              <w:spacing w:after="0"/>
              <w:rPr>
                <w:sz w:val="17"/>
                <w:szCs w:val="17"/>
                <w:color w:val="auto"/>
              </w:rPr>
            </w:pPr>
          </w:p>
        </w:tc>
        <w:tc>
          <w:tcPr>
            <w:tcW w:w="340" w:type="dxa"/>
            <w:vAlign w:val="bottom"/>
            <w:shd w:val="clear" w:color="auto" w:fill="EAF9E8"/>
          </w:tcPr>
          <w:p>
            <w:pPr>
              <w:spacing w:after="0"/>
              <w:rPr>
                <w:sz w:val="17"/>
                <w:szCs w:val="17"/>
                <w:color w:val="auto"/>
              </w:rPr>
            </w:pPr>
          </w:p>
        </w:tc>
        <w:tc>
          <w:tcPr>
            <w:tcW w:w="300" w:type="dxa"/>
            <w:vAlign w:val="bottom"/>
            <w:shd w:val="clear" w:color="auto" w:fill="EAF9E8"/>
          </w:tcPr>
          <w:p>
            <w:pPr>
              <w:spacing w:after="0"/>
              <w:rPr>
                <w:sz w:val="17"/>
                <w:szCs w:val="17"/>
                <w:color w:val="auto"/>
              </w:rPr>
            </w:pPr>
          </w:p>
        </w:tc>
        <w:tc>
          <w:tcPr>
            <w:tcW w:w="84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r>
      <w:tr>
        <w:trPr>
          <w:trHeight w:val="216"/>
        </w:trPr>
        <w:tc>
          <w:tcPr>
            <w:tcW w:w="2880" w:type="dxa"/>
            <w:vAlign w:val="bottom"/>
          </w:tcPr>
          <w:p>
            <w:pPr>
              <w:ind w:left="160"/>
              <w:spacing w:after="0"/>
              <w:rPr>
                <w:sz w:val="20"/>
                <w:szCs w:val="20"/>
                <w:color w:val="auto"/>
              </w:rPr>
            </w:pPr>
            <w:r>
              <w:rPr>
                <w:rFonts w:ascii="Arial" w:cs="Arial" w:eastAsia="Arial" w:hAnsi="Arial"/>
                <w:sz w:val="18"/>
                <w:szCs w:val="18"/>
                <w:color w:val="auto"/>
              </w:rPr>
              <w:t>Performing</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30,416,049</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261,387</w:t>
            </w:r>
          </w:p>
        </w:tc>
        <w:tc>
          <w:tcPr>
            <w:tcW w:w="520" w:type="dxa"/>
            <w:vAlign w:val="bottom"/>
            <w:gridSpan w:val="2"/>
          </w:tcPr>
          <w:p>
            <w:pPr>
              <w:jc w:val="right"/>
              <w:ind w:right="23"/>
              <w:spacing w:after="0"/>
              <w:rPr>
                <w:sz w:val="20"/>
                <w:szCs w:val="20"/>
                <w:color w:val="auto"/>
              </w:rPr>
            </w:pPr>
            <w:r>
              <w:rPr>
                <w:rFonts w:ascii="Arial" w:cs="Arial" w:eastAsia="Arial" w:hAnsi="Arial"/>
                <w:sz w:val="18"/>
                <w:szCs w:val="18"/>
                <w:color w:val="auto"/>
              </w:rPr>
              <w:t>$</w:t>
            </w:r>
          </w:p>
        </w:tc>
        <w:tc>
          <w:tcPr>
            <w:tcW w:w="164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30,416,049</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261,387</w:t>
            </w:r>
          </w:p>
        </w:tc>
      </w:tr>
      <w:tr>
        <w:trPr>
          <w:trHeight w:val="216"/>
        </w:trPr>
        <w:tc>
          <w:tcPr>
            <w:tcW w:w="2880" w:type="dxa"/>
            <w:vAlign w:val="bottom"/>
            <w:shd w:val="clear" w:color="auto" w:fill="EAF9E8"/>
          </w:tcPr>
          <w:p>
            <w:pPr>
              <w:ind w:left="160"/>
              <w:spacing w:after="0"/>
              <w:rPr>
                <w:sz w:val="20"/>
                <w:szCs w:val="20"/>
                <w:color w:val="auto"/>
              </w:rPr>
            </w:pPr>
            <w:r>
              <w:rPr>
                <w:rFonts w:ascii="Arial" w:cs="Arial" w:eastAsia="Arial" w:hAnsi="Arial"/>
                <w:sz w:val="18"/>
                <w:szCs w:val="18"/>
                <w:color w:val="auto"/>
              </w:rPr>
              <w:t>Non-performing</w:t>
            </w:r>
          </w:p>
        </w:tc>
        <w:tc>
          <w:tcPr>
            <w:tcW w:w="180" w:type="dxa"/>
            <w:vAlign w:val="bottom"/>
            <w:shd w:val="clear" w:color="auto" w:fill="EAF9E8"/>
          </w:tcPr>
          <w:p>
            <w:pPr>
              <w:spacing w:after="0"/>
              <w:rPr>
                <w:sz w:val="18"/>
                <w:szCs w:val="18"/>
                <w:color w:val="auto"/>
              </w:rPr>
            </w:pPr>
          </w:p>
        </w:tc>
        <w:tc>
          <w:tcPr>
            <w:tcW w:w="100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6,937,002</w:t>
            </w:r>
          </w:p>
        </w:tc>
        <w:tc>
          <w:tcPr>
            <w:tcW w:w="200" w:type="dxa"/>
            <w:vAlign w:val="bottom"/>
            <w:shd w:val="clear" w:color="auto" w:fill="EAF9E8"/>
          </w:tcPr>
          <w:p>
            <w:pPr>
              <w:spacing w:after="0"/>
              <w:rPr>
                <w:sz w:val="18"/>
                <w:szCs w:val="18"/>
                <w:color w:val="auto"/>
              </w:rPr>
            </w:pPr>
          </w:p>
        </w:tc>
        <w:tc>
          <w:tcPr>
            <w:tcW w:w="300" w:type="dxa"/>
            <w:vAlign w:val="bottom"/>
            <w:shd w:val="clear" w:color="auto" w:fill="EAF9E8"/>
          </w:tcPr>
          <w:p>
            <w:pPr>
              <w:spacing w:after="0"/>
              <w:rPr>
                <w:sz w:val="18"/>
                <w:szCs w:val="18"/>
                <w:color w:val="auto"/>
              </w:rPr>
            </w:pPr>
          </w:p>
        </w:tc>
        <w:tc>
          <w:tcPr>
            <w:tcW w:w="8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47,611</w:t>
            </w:r>
          </w:p>
        </w:tc>
        <w:tc>
          <w:tcPr>
            <w:tcW w:w="34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300" w:type="dxa"/>
            <w:vAlign w:val="bottom"/>
            <w:gridSpan w:val="2"/>
            <w:shd w:val="clear" w:color="auto" w:fill="EAF9E8"/>
          </w:tcPr>
          <w:p>
            <w:pPr>
              <w:jc w:val="right"/>
              <w:ind w:right="340"/>
              <w:spacing w:after="0"/>
              <w:rPr>
                <w:sz w:val="20"/>
                <w:szCs w:val="20"/>
                <w:color w:val="auto"/>
              </w:rPr>
            </w:pPr>
            <w:r>
              <w:rPr>
                <w:rFonts w:ascii="Arial" w:cs="Arial" w:eastAsia="Arial" w:hAnsi="Arial"/>
                <w:sz w:val="18"/>
                <w:szCs w:val="18"/>
                <w:color w:val="auto"/>
              </w:rPr>
              <w:t>2,818,481</w:t>
            </w:r>
          </w:p>
        </w:tc>
        <w:tc>
          <w:tcPr>
            <w:tcW w:w="340" w:type="dxa"/>
            <w:vAlign w:val="bottom"/>
            <w:shd w:val="clear" w:color="auto" w:fill="EAF9E8"/>
          </w:tcPr>
          <w:p>
            <w:pPr>
              <w:spacing w:after="0"/>
              <w:rPr>
                <w:sz w:val="18"/>
                <w:szCs w:val="18"/>
                <w:color w:val="auto"/>
              </w:rPr>
            </w:pPr>
          </w:p>
        </w:tc>
        <w:tc>
          <w:tcPr>
            <w:tcW w:w="96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13,517</w:t>
            </w:r>
          </w:p>
        </w:tc>
        <w:tc>
          <w:tcPr>
            <w:tcW w:w="16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9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9,755,483</w:t>
            </w:r>
          </w:p>
        </w:tc>
        <w:tc>
          <w:tcPr>
            <w:tcW w:w="340" w:type="dxa"/>
            <w:vAlign w:val="bottom"/>
            <w:shd w:val="clear" w:color="auto" w:fill="EAF9E8"/>
          </w:tcPr>
          <w:p>
            <w:pPr>
              <w:spacing w:after="0"/>
              <w:rPr>
                <w:sz w:val="18"/>
                <w:szCs w:val="18"/>
                <w:color w:val="auto"/>
              </w:rPr>
            </w:pPr>
          </w:p>
        </w:tc>
        <w:tc>
          <w:tcPr>
            <w:tcW w:w="300" w:type="dxa"/>
            <w:vAlign w:val="bottom"/>
            <w:shd w:val="clear" w:color="auto" w:fill="EAF9E8"/>
          </w:tcPr>
          <w:p>
            <w:pPr>
              <w:spacing w:after="0"/>
              <w:rPr>
                <w:sz w:val="18"/>
                <w:szCs w:val="18"/>
                <w:color w:val="auto"/>
              </w:rPr>
            </w:pPr>
          </w:p>
        </w:tc>
        <w:tc>
          <w:tcPr>
            <w:tcW w:w="9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61,128</w:t>
            </w:r>
          </w:p>
        </w:tc>
      </w:tr>
      <w:tr>
        <w:trPr>
          <w:trHeight w:val="243"/>
        </w:trPr>
        <w:tc>
          <w:tcPr>
            <w:tcW w:w="28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gridSpan w:val="2"/>
          </w:tcPr>
          <w:p>
            <w:pPr>
              <w:spacing w:after="0"/>
              <w:rPr>
                <w:sz w:val="21"/>
                <w:szCs w:val="21"/>
                <w:color w:val="auto"/>
              </w:rPr>
            </w:pP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520" w:type="dxa"/>
            <w:vAlign w:val="bottom"/>
            <w:gridSpan w:val="2"/>
          </w:tcPr>
          <w:p>
            <w:pPr>
              <w:spacing w:after="0"/>
              <w:rPr>
                <w:sz w:val="21"/>
                <w:szCs w:val="21"/>
                <w:color w:val="auto"/>
              </w:rPr>
            </w:pPr>
          </w:p>
        </w:tc>
        <w:tc>
          <w:tcPr>
            <w:tcW w:w="1300" w:type="dxa"/>
            <w:vAlign w:val="bottom"/>
            <w:gridSpan w:val="2"/>
          </w:tcPr>
          <w:p>
            <w:pPr>
              <w:spacing w:after="0"/>
              <w:rPr>
                <w:sz w:val="21"/>
                <w:szCs w:val="21"/>
                <w:color w:val="auto"/>
              </w:rPr>
            </w:pPr>
          </w:p>
        </w:tc>
        <w:tc>
          <w:tcPr>
            <w:tcW w:w="340" w:type="dxa"/>
            <w:vAlign w:val="bottom"/>
          </w:tcPr>
          <w:p>
            <w:pPr>
              <w:spacing w:after="0"/>
              <w:rPr>
                <w:sz w:val="21"/>
                <w:szCs w:val="21"/>
                <w:color w:val="auto"/>
              </w:rPr>
            </w:pPr>
          </w:p>
        </w:tc>
        <w:tc>
          <w:tcPr>
            <w:tcW w:w="960" w:type="dxa"/>
            <w:vAlign w:val="bottom"/>
            <w:gridSpan w:val="2"/>
          </w:tcPr>
          <w:p>
            <w:pPr>
              <w:spacing w:after="0"/>
              <w:rPr>
                <w:sz w:val="21"/>
                <w:szCs w:val="21"/>
                <w:color w:val="auto"/>
              </w:rPr>
            </w:pPr>
          </w:p>
        </w:tc>
        <w:tc>
          <w:tcPr>
            <w:tcW w:w="340" w:type="dxa"/>
            <w:vAlign w:val="bottom"/>
            <w:gridSpan w:val="2"/>
          </w:tcPr>
          <w:p>
            <w:pPr>
              <w:spacing w:after="0"/>
              <w:rPr>
                <w:sz w:val="21"/>
                <w:szCs w:val="21"/>
                <w:color w:val="auto"/>
              </w:rPr>
            </w:pPr>
          </w:p>
        </w:tc>
        <w:tc>
          <w:tcPr>
            <w:tcW w:w="9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gridSpan w:val="2"/>
          </w:tcPr>
          <w:p>
            <w:pPr>
              <w:spacing w:after="0"/>
              <w:rPr>
                <w:sz w:val="21"/>
                <w:szCs w:val="21"/>
                <w:color w:val="auto"/>
              </w:rPr>
            </w:pPr>
          </w:p>
        </w:tc>
      </w:tr>
      <w:tr>
        <w:trPr>
          <w:trHeight w:val="216"/>
        </w:trPr>
        <w:tc>
          <w:tcPr>
            <w:tcW w:w="2880" w:type="dxa"/>
            <w:vAlign w:val="bottom"/>
          </w:tcPr>
          <w:p>
            <w:pPr>
              <w:spacing w:after="0"/>
              <w:rPr>
                <w:sz w:val="18"/>
                <w:szCs w:val="18"/>
                <w:color w:val="auto"/>
              </w:rPr>
            </w:pPr>
          </w:p>
        </w:tc>
        <w:tc>
          <w:tcPr>
            <w:tcW w:w="180" w:type="dxa"/>
            <w:vAlign w:val="bottom"/>
            <w:tcBorders>
              <w:top w:val="single" w:sz="8" w:color="auto"/>
            </w:tcBorders>
          </w:tcPr>
          <w:p>
            <w:pPr>
              <w:jc w:val="right"/>
              <w:ind w:right="23"/>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37,353,051</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308,998</w:t>
            </w:r>
          </w:p>
        </w:tc>
        <w:tc>
          <w:tcPr>
            <w:tcW w:w="340" w:type="dxa"/>
            <w:vAlign w:val="bottom"/>
          </w:tcPr>
          <w:p>
            <w:pPr>
              <w:spacing w:after="0"/>
              <w:rPr>
                <w:sz w:val="18"/>
                <w:szCs w:val="18"/>
                <w:color w:val="auto"/>
              </w:rPr>
            </w:pPr>
          </w:p>
        </w:tc>
        <w:tc>
          <w:tcPr>
            <w:tcW w:w="180" w:type="dxa"/>
            <w:vAlign w:val="bottom"/>
            <w:tcBorders>
              <w:top w:val="single" w:sz="8" w:color="auto"/>
            </w:tcBorders>
          </w:tcPr>
          <w:p>
            <w:pPr>
              <w:jc w:val="right"/>
              <w:ind w:right="23"/>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2,818,481</w:t>
            </w:r>
          </w:p>
        </w:tc>
        <w:tc>
          <w:tcPr>
            <w:tcW w:w="34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13,517</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40,171,532</w:t>
            </w:r>
          </w:p>
        </w:tc>
        <w:tc>
          <w:tcPr>
            <w:tcW w:w="34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322,515</w:t>
            </w:r>
          </w:p>
        </w:tc>
        <w:tc>
          <w:tcPr>
            <w:tcW w:w="100" w:type="dxa"/>
            <w:vAlign w:val="bottom"/>
          </w:tcPr>
          <w:p>
            <w:pPr>
              <w:spacing w:after="0"/>
              <w:rPr>
                <w:sz w:val="18"/>
                <w:szCs w:val="18"/>
                <w:color w:val="auto"/>
              </w:rPr>
            </w:pPr>
          </w:p>
        </w:tc>
      </w:tr>
      <w:tr>
        <w:trPr>
          <w:trHeight w:val="237"/>
        </w:trPr>
        <w:tc>
          <w:tcPr>
            <w:tcW w:w="28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
        </w:trPr>
        <w:tc>
          <w:tcPr>
            <w:tcW w:w="28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2880" w:type="dxa"/>
            <w:vAlign w:val="bottom"/>
            <w:shd w:val="clear" w:color="auto" w:fill="EAF9E8"/>
          </w:tcPr>
          <w:p>
            <w:pPr>
              <w:spacing w:after="0" w:line="196" w:lineRule="exact"/>
              <w:rPr>
                <w:sz w:val="20"/>
                <w:szCs w:val="20"/>
                <w:color w:val="auto"/>
              </w:rPr>
            </w:pPr>
            <w:r>
              <w:rPr>
                <w:rFonts w:ascii="Arial" w:cs="Arial" w:eastAsia="Arial" w:hAnsi="Arial"/>
                <w:sz w:val="18"/>
                <w:szCs w:val="18"/>
                <w:color w:val="auto"/>
              </w:rPr>
              <w:t>March 31, 2008:</w:t>
            </w:r>
          </w:p>
        </w:tc>
        <w:tc>
          <w:tcPr>
            <w:tcW w:w="180" w:type="dxa"/>
            <w:vAlign w:val="bottom"/>
            <w:shd w:val="clear" w:color="auto" w:fill="EAF9E8"/>
          </w:tcPr>
          <w:p>
            <w:pPr>
              <w:spacing w:after="0"/>
              <w:rPr>
                <w:sz w:val="17"/>
                <w:szCs w:val="17"/>
                <w:color w:val="auto"/>
              </w:rPr>
            </w:pPr>
          </w:p>
        </w:tc>
        <w:tc>
          <w:tcPr>
            <w:tcW w:w="980" w:type="dxa"/>
            <w:vAlign w:val="bottom"/>
            <w:shd w:val="clear" w:color="auto" w:fill="EAF9E8"/>
          </w:tcPr>
          <w:p>
            <w:pPr>
              <w:spacing w:after="0"/>
              <w:rPr>
                <w:sz w:val="17"/>
                <w:szCs w:val="17"/>
                <w:color w:val="auto"/>
              </w:rPr>
            </w:pPr>
          </w:p>
        </w:tc>
        <w:tc>
          <w:tcPr>
            <w:tcW w:w="20" w:type="dxa"/>
            <w:vAlign w:val="bottom"/>
            <w:shd w:val="clear" w:color="auto" w:fill="EAF9E8"/>
          </w:tcPr>
          <w:p>
            <w:pPr>
              <w:spacing w:after="0"/>
              <w:rPr>
                <w:sz w:val="17"/>
                <w:szCs w:val="17"/>
                <w:color w:val="auto"/>
              </w:rPr>
            </w:pPr>
          </w:p>
        </w:tc>
        <w:tc>
          <w:tcPr>
            <w:tcW w:w="200" w:type="dxa"/>
            <w:vAlign w:val="bottom"/>
            <w:shd w:val="clear" w:color="auto" w:fill="EAF9E8"/>
          </w:tcPr>
          <w:p>
            <w:pPr>
              <w:spacing w:after="0"/>
              <w:rPr>
                <w:sz w:val="17"/>
                <w:szCs w:val="17"/>
                <w:color w:val="auto"/>
              </w:rPr>
            </w:pPr>
          </w:p>
        </w:tc>
        <w:tc>
          <w:tcPr>
            <w:tcW w:w="300" w:type="dxa"/>
            <w:vAlign w:val="bottom"/>
            <w:shd w:val="clear" w:color="auto" w:fill="EAF9E8"/>
          </w:tcPr>
          <w:p>
            <w:pPr>
              <w:spacing w:after="0"/>
              <w:rPr>
                <w:sz w:val="17"/>
                <w:szCs w:val="17"/>
                <w:color w:val="auto"/>
              </w:rPr>
            </w:pPr>
          </w:p>
        </w:tc>
        <w:tc>
          <w:tcPr>
            <w:tcW w:w="860" w:type="dxa"/>
            <w:vAlign w:val="bottom"/>
            <w:shd w:val="clear" w:color="auto" w:fill="EAF9E8"/>
          </w:tcPr>
          <w:p>
            <w:pPr>
              <w:spacing w:after="0"/>
              <w:rPr>
                <w:sz w:val="17"/>
                <w:szCs w:val="17"/>
                <w:color w:val="auto"/>
              </w:rPr>
            </w:pPr>
          </w:p>
        </w:tc>
        <w:tc>
          <w:tcPr>
            <w:tcW w:w="340" w:type="dxa"/>
            <w:vAlign w:val="bottom"/>
            <w:shd w:val="clear" w:color="auto" w:fill="EAF9E8"/>
          </w:tcPr>
          <w:p>
            <w:pPr>
              <w:spacing w:after="0"/>
              <w:rPr>
                <w:sz w:val="17"/>
                <w:szCs w:val="17"/>
                <w:color w:val="auto"/>
              </w:rPr>
            </w:pPr>
          </w:p>
        </w:tc>
        <w:tc>
          <w:tcPr>
            <w:tcW w:w="180" w:type="dxa"/>
            <w:vAlign w:val="bottom"/>
            <w:shd w:val="clear" w:color="auto" w:fill="EAF9E8"/>
          </w:tcPr>
          <w:p>
            <w:pPr>
              <w:spacing w:after="0"/>
              <w:rPr>
                <w:sz w:val="17"/>
                <w:szCs w:val="17"/>
                <w:color w:val="auto"/>
              </w:rPr>
            </w:pPr>
          </w:p>
        </w:tc>
        <w:tc>
          <w:tcPr>
            <w:tcW w:w="960" w:type="dxa"/>
            <w:vAlign w:val="bottom"/>
            <w:shd w:val="clear" w:color="auto" w:fill="EAF9E8"/>
          </w:tcPr>
          <w:p>
            <w:pPr>
              <w:spacing w:after="0"/>
              <w:rPr>
                <w:sz w:val="17"/>
                <w:szCs w:val="17"/>
                <w:color w:val="auto"/>
              </w:rPr>
            </w:pPr>
          </w:p>
        </w:tc>
        <w:tc>
          <w:tcPr>
            <w:tcW w:w="340" w:type="dxa"/>
            <w:vAlign w:val="bottom"/>
            <w:shd w:val="clear" w:color="auto" w:fill="EAF9E8"/>
          </w:tcPr>
          <w:p>
            <w:pPr>
              <w:spacing w:after="0"/>
              <w:rPr>
                <w:sz w:val="17"/>
                <w:szCs w:val="17"/>
                <w:color w:val="auto"/>
              </w:rPr>
            </w:pPr>
          </w:p>
        </w:tc>
        <w:tc>
          <w:tcPr>
            <w:tcW w:w="340" w:type="dxa"/>
            <w:vAlign w:val="bottom"/>
            <w:shd w:val="clear" w:color="auto" w:fill="EAF9E8"/>
          </w:tcPr>
          <w:p>
            <w:pPr>
              <w:spacing w:after="0"/>
              <w:rPr>
                <w:sz w:val="17"/>
                <w:szCs w:val="17"/>
                <w:color w:val="auto"/>
              </w:rPr>
            </w:pPr>
          </w:p>
        </w:tc>
        <w:tc>
          <w:tcPr>
            <w:tcW w:w="780" w:type="dxa"/>
            <w:vAlign w:val="bottom"/>
            <w:shd w:val="clear" w:color="auto" w:fill="EAF9E8"/>
          </w:tcPr>
          <w:p>
            <w:pPr>
              <w:spacing w:after="0"/>
              <w:rPr>
                <w:sz w:val="17"/>
                <w:szCs w:val="17"/>
                <w:color w:val="auto"/>
              </w:rPr>
            </w:pPr>
          </w:p>
        </w:tc>
        <w:tc>
          <w:tcPr>
            <w:tcW w:w="180" w:type="dxa"/>
            <w:vAlign w:val="bottom"/>
            <w:shd w:val="clear" w:color="auto" w:fill="EAF9E8"/>
          </w:tcPr>
          <w:p>
            <w:pPr>
              <w:spacing w:after="0"/>
              <w:rPr>
                <w:sz w:val="17"/>
                <w:szCs w:val="17"/>
                <w:color w:val="auto"/>
              </w:rPr>
            </w:pPr>
          </w:p>
        </w:tc>
        <w:tc>
          <w:tcPr>
            <w:tcW w:w="160" w:type="dxa"/>
            <w:vAlign w:val="bottom"/>
            <w:shd w:val="clear" w:color="auto" w:fill="EAF9E8"/>
          </w:tcPr>
          <w:p>
            <w:pPr>
              <w:spacing w:after="0"/>
              <w:rPr>
                <w:sz w:val="17"/>
                <w:szCs w:val="17"/>
                <w:color w:val="auto"/>
              </w:rPr>
            </w:pPr>
          </w:p>
        </w:tc>
        <w:tc>
          <w:tcPr>
            <w:tcW w:w="180" w:type="dxa"/>
            <w:vAlign w:val="bottom"/>
            <w:shd w:val="clear" w:color="auto" w:fill="EAF9E8"/>
          </w:tcPr>
          <w:p>
            <w:pPr>
              <w:spacing w:after="0"/>
              <w:rPr>
                <w:sz w:val="17"/>
                <w:szCs w:val="17"/>
                <w:color w:val="auto"/>
              </w:rPr>
            </w:pPr>
          </w:p>
        </w:tc>
        <w:tc>
          <w:tcPr>
            <w:tcW w:w="960" w:type="dxa"/>
            <w:vAlign w:val="bottom"/>
            <w:shd w:val="clear" w:color="auto" w:fill="EAF9E8"/>
          </w:tcPr>
          <w:p>
            <w:pPr>
              <w:spacing w:after="0"/>
              <w:rPr>
                <w:sz w:val="17"/>
                <w:szCs w:val="17"/>
                <w:color w:val="auto"/>
              </w:rPr>
            </w:pPr>
          </w:p>
        </w:tc>
        <w:tc>
          <w:tcPr>
            <w:tcW w:w="340" w:type="dxa"/>
            <w:vAlign w:val="bottom"/>
            <w:shd w:val="clear" w:color="auto" w:fill="EAF9E8"/>
          </w:tcPr>
          <w:p>
            <w:pPr>
              <w:spacing w:after="0"/>
              <w:rPr>
                <w:sz w:val="17"/>
                <w:szCs w:val="17"/>
                <w:color w:val="auto"/>
              </w:rPr>
            </w:pPr>
          </w:p>
        </w:tc>
        <w:tc>
          <w:tcPr>
            <w:tcW w:w="300" w:type="dxa"/>
            <w:vAlign w:val="bottom"/>
            <w:shd w:val="clear" w:color="auto" w:fill="EAF9E8"/>
          </w:tcPr>
          <w:p>
            <w:pPr>
              <w:spacing w:after="0"/>
              <w:rPr>
                <w:sz w:val="17"/>
                <w:szCs w:val="17"/>
                <w:color w:val="auto"/>
              </w:rPr>
            </w:pPr>
          </w:p>
        </w:tc>
        <w:tc>
          <w:tcPr>
            <w:tcW w:w="84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r>
      <w:tr>
        <w:trPr>
          <w:trHeight w:val="216"/>
        </w:trPr>
        <w:tc>
          <w:tcPr>
            <w:tcW w:w="2880" w:type="dxa"/>
            <w:vAlign w:val="bottom"/>
          </w:tcPr>
          <w:p>
            <w:pPr>
              <w:ind w:left="160"/>
              <w:spacing w:after="0"/>
              <w:rPr>
                <w:sz w:val="20"/>
                <w:szCs w:val="20"/>
                <w:color w:val="auto"/>
              </w:rPr>
            </w:pPr>
            <w:r>
              <w:rPr>
                <w:rFonts w:ascii="Arial" w:cs="Arial" w:eastAsia="Arial" w:hAnsi="Arial"/>
                <w:sz w:val="18"/>
                <w:szCs w:val="18"/>
                <w:color w:val="auto"/>
              </w:rPr>
              <w:t>Performing</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38,573,686</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328,783</w:t>
            </w:r>
          </w:p>
        </w:tc>
        <w:tc>
          <w:tcPr>
            <w:tcW w:w="520" w:type="dxa"/>
            <w:vAlign w:val="bottom"/>
            <w:gridSpan w:val="2"/>
          </w:tcPr>
          <w:p>
            <w:pPr>
              <w:jc w:val="right"/>
              <w:ind w:right="23"/>
              <w:spacing w:after="0"/>
              <w:rPr>
                <w:sz w:val="20"/>
                <w:szCs w:val="20"/>
                <w:color w:val="auto"/>
              </w:rPr>
            </w:pPr>
            <w:r>
              <w:rPr>
                <w:rFonts w:ascii="Arial" w:cs="Arial" w:eastAsia="Arial" w:hAnsi="Arial"/>
                <w:sz w:val="18"/>
                <w:szCs w:val="18"/>
                <w:color w:val="auto"/>
              </w:rPr>
              <w:t>$</w:t>
            </w:r>
          </w:p>
        </w:tc>
        <w:tc>
          <w:tcPr>
            <w:tcW w:w="164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38,573,686</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328,783</w:t>
            </w:r>
          </w:p>
        </w:tc>
      </w:tr>
      <w:tr>
        <w:trPr>
          <w:trHeight w:val="216"/>
        </w:trPr>
        <w:tc>
          <w:tcPr>
            <w:tcW w:w="2880" w:type="dxa"/>
            <w:vAlign w:val="bottom"/>
            <w:shd w:val="clear" w:color="auto" w:fill="EAF9E8"/>
          </w:tcPr>
          <w:p>
            <w:pPr>
              <w:ind w:left="160"/>
              <w:spacing w:after="0"/>
              <w:rPr>
                <w:sz w:val="20"/>
                <w:szCs w:val="20"/>
                <w:color w:val="auto"/>
              </w:rPr>
            </w:pPr>
            <w:r>
              <w:rPr>
                <w:rFonts w:ascii="Arial" w:cs="Arial" w:eastAsia="Arial" w:hAnsi="Arial"/>
                <w:sz w:val="18"/>
                <w:szCs w:val="18"/>
                <w:color w:val="auto"/>
              </w:rPr>
              <w:t>Non-performing</w:t>
            </w:r>
          </w:p>
        </w:tc>
        <w:tc>
          <w:tcPr>
            <w:tcW w:w="180" w:type="dxa"/>
            <w:vAlign w:val="bottom"/>
            <w:shd w:val="clear" w:color="auto" w:fill="EAF9E8"/>
          </w:tcPr>
          <w:p>
            <w:pPr>
              <w:spacing w:after="0"/>
              <w:rPr>
                <w:sz w:val="18"/>
                <w:szCs w:val="18"/>
                <w:color w:val="auto"/>
              </w:rPr>
            </w:pPr>
          </w:p>
        </w:tc>
        <w:tc>
          <w:tcPr>
            <w:tcW w:w="100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7,294,604</w:t>
            </w:r>
          </w:p>
        </w:tc>
        <w:tc>
          <w:tcPr>
            <w:tcW w:w="200" w:type="dxa"/>
            <w:vAlign w:val="bottom"/>
            <w:shd w:val="clear" w:color="auto" w:fill="EAF9E8"/>
          </w:tcPr>
          <w:p>
            <w:pPr>
              <w:spacing w:after="0"/>
              <w:rPr>
                <w:sz w:val="18"/>
                <w:szCs w:val="18"/>
                <w:color w:val="auto"/>
              </w:rPr>
            </w:pPr>
          </w:p>
        </w:tc>
        <w:tc>
          <w:tcPr>
            <w:tcW w:w="300" w:type="dxa"/>
            <w:vAlign w:val="bottom"/>
            <w:shd w:val="clear" w:color="auto" w:fill="EAF9E8"/>
          </w:tcPr>
          <w:p>
            <w:pPr>
              <w:spacing w:after="0"/>
              <w:rPr>
                <w:sz w:val="18"/>
                <w:szCs w:val="18"/>
                <w:color w:val="auto"/>
              </w:rPr>
            </w:pPr>
          </w:p>
        </w:tc>
        <w:tc>
          <w:tcPr>
            <w:tcW w:w="8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48,623</w:t>
            </w:r>
          </w:p>
        </w:tc>
        <w:tc>
          <w:tcPr>
            <w:tcW w:w="34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300" w:type="dxa"/>
            <w:vAlign w:val="bottom"/>
            <w:gridSpan w:val="2"/>
            <w:shd w:val="clear" w:color="auto" w:fill="EAF9E8"/>
          </w:tcPr>
          <w:p>
            <w:pPr>
              <w:jc w:val="right"/>
              <w:ind w:right="340"/>
              <w:spacing w:after="0"/>
              <w:rPr>
                <w:sz w:val="20"/>
                <w:szCs w:val="20"/>
                <w:color w:val="auto"/>
              </w:rPr>
            </w:pPr>
            <w:r>
              <w:rPr>
                <w:rFonts w:ascii="Arial" w:cs="Arial" w:eastAsia="Arial" w:hAnsi="Arial"/>
                <w:sz w:val="18"/>
                <w:szCs w:val="18"/>
                <w:color w:val="auto"/>
              </w:rPr>
              <w:t>4,256,286</w:t>
            </w:r>
          </w:p>
        </w:tc>
        <w:tc>
          <w:tcPr>
            <w:tcW w:w="340" w:type="dxa"/>
            <w:vAlign w:val="bottom"/>
            <w:shd w:val="clear" w:color="auto" w:fill="EAF9E8"/>
          </w:tcPr>
          <w:p>
            <w:pPr>
              <w:spacing w:after="0"/>
              <w:rPr>
                <w:sz w:val="18"/>
                <w:szCs w:val="18"/>
                <w:color w:val="auto"/>
              </w:rPr>
            </w:pPr>
          </w:p>
        </w:tc>
        <w:tc>
          <w:tcPr>
            <w:tcW w:w="96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26,298</w:t>
            </w:r>
          </w:p>
        </w:tc>
        <w:tc>
          <w:tcPr>
            <w:tcW w:w="16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9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11,550,890</w:t>
            </w:r>
          </w:p>
        </w:tc>
        <w:tc>
          <w:tcPr>
            <w:tcW w:w="340" w:type="dxa"/>
            <w:vAlign w:val="bottom"/>
            <w:shd w:val="clear" w:color="auto" w:fill="EAF9E8"/>
          </w:tcPr>
          <w:p>
            <w:pPr>
              <w:spacing w:after="0"/>
              <w:rPr>
                <w:sz w:val="18"/>
                <w:szCs w:val="18"/>
                <w:color w:val="auto"/>
              </w:rPr>
            </w:pPr>
          </w:p>
        </w:tc>
        <w:tc>
          <w:tcPr>
            <w:tcW w:w="300" w:type="dxa"/>
            <w:vAlign w:val="bottom"/>
            <w:shd w:val="clear" w:color="auto" w:fill="EAF9E8"/>
          </w:tcPr>
          <w:p>
            <w:pPr>
              <w:spacing w:after="0"/>
              <w:rPr>
                <w:sz w:val="18"/>
                <w:szCs w:val="18"/>
                <w:color w:val="auto"/>
              </w:rPr>
            </w:pPr>
          </w:p>
        </w:tc>
        <w:tc>
          <w:tcPr>
            <w:tcW w:w="9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74,921</w:t>
            </w:r>
          </w:p>
        </w:tc>
      </w:tr>
      <w:tr>
        <w:trPr>
          <w:trHeight w:val="243"/>
        </w:trPr>
        <w:tc>
          <w:tcPr>
            <w:tcW w:w="28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gridSpan w:val="2"/>
          </w:tcPr>
          <w:p>
            <w:pPr>
              <w:spacing w:after="0"/>
              <w:rPr>
                <w:sz w:val="21"/>
                <w:szCs w:val="21"/>
                <w:color w:val="auto"/>
              </w:rPr>
            </w:pP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520" w:type="dxa"/>
            <w:vAlign w:val="bottom"/>
            <w:gridSpan w:val="2"/>
          </w:tcPr>
          <w:p>
            <w:pPr>
              <w:spacing w:after="0"/>
              <w:rPr>
                <w:sz w:val="21"/>
                <w:szCs w:val="21"/>
                <w:color w:val="auto"/>
              </w:rPr>
            </w:pPr>
          </w:p>
        </w:tc>
        <w:tc>
          <w:tcPr>
            <w:tcW w:w="1300" w:type="dxa"/>
            <w:vAlign w:val="bottom"/>
            <w:gridSpan w:val="2"/>
          </w:tcPr>
          <w:p>
            <w:pPr>
              <w:spacing w:after="0"/>
              <w:rPr>
                <w:sz w:val="21"/>
                <w:szCs w:val="21"/>
                <w:color w:val="auto"/>
              </w:rPr>
            </w:pPr>
          </w:p>
        </w:tc>
        <w:tc>
          <w:tcPr>
            <w:tcW w:w="340" w:type="dxa"/>
            <w:vAlign w:val="bottom"/>
          </w:tcPr>
          <w:p>
            <w:pPr>
              <w:spacing w:after="0"/>
              <w:rPr>
                <w:sz w:val="21"/>
                <w:szCs w:val="21"/>
                <w:color w:val="auto"/>
              </w:rPr>
            </w:pPr>
          </w:p>
        </w:tc>
        <w:tc>
          <w:tcPr>
            <w:tcW w:w="960" w:type="dxa"/>
            <w:vAlign w:val="bottom"/>
            <w:gridSpan w:val="2"/>
          </w:tcPr>
          <w:p>
            <w:pPr>
              <w:spacing w:after="0"/>
              <w:rPr>
                <w:sz w:val="21"/>
                <w:szCs w:val="21"/>
                <w:color w:val="auto"/>
              </w:rPr>
            </w:pPr>
          </w:p>
        </w:tc>
        <w:tc>
          <w:tcPr>
            <w:tcW w:w="340" w:type="dxa"/>
            <w:vAlign w:val="bottom"/>
            <w:gridSpan w:val="2"/>
          </w:tcPr>
          <w:p>
            <w:pPr>
              <w:spacing w:after="0"/>
              <w:rPr>
                <w:sz w:val="21"/>
                <w:szCs w:val="21"/>
                <w:color w:val="auto"/>
              </w:rPr>
            </w:pPr>
          </w:p>
        </w:tc>
        <w:tc>
          <w:tcPr>
            <w:tcW w:w="9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gridSpan w:val="2"/>
          </w:tcPr>
          <w:p>
            <w:pPr>
              <w:spacing w:after="0"/>
              <w:rPr>
                <w:sz w:val="21"/>
                <w:szCs w:val="21"/>
                <w:color w:val="auto"/>
              </w:rPr>
            </w:pPr>
          </w:p>
        </w:tc>
      </w:tr>
      <w:tr>
        <w:trPr>
          <w:trHeight w:val="216"/>
        </w:trPr>
        <w:tc>
          <w:tcPr>
            <w:tcW w:w="2880" w:type="dxa"/>
            <w:vAlign w:val="bottom"/>
          </w:tcPr>
          <w:p>
            <w:pPr>
              <w:spacing w:after="0"/>
              <w:rPr>
                <w:sz w:val="18"/>
                <w:szCs w:val="18"/>
                <w:color w:val="auto"/>
              </w:rPr>
            </w:pPr>
          </w:p>
        </w:tc>
        <w:tc>
          <w:tcPr>
            <w:tcW w:w="180" w:type="dxa"/>
            <w:vAlign w:val="bottom"/>
            <w:tcBorders>
              <w:top w:val="single" w:sz="8" w:color="auto"/>
            </w:tcBorders>
          </w:tcPr>
          <w:p>
            <w:pPr>
              <w:jc w:val="right"/>
              <w:ind w:right="23"/>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45,868,290</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377,406</w:t>
            </w:r>
          </w:p>
        </w:tc>
        <w:tc>
          <w:tcPr>
            <w:tcW w:w="340" w:type="dxa"/>
            <w:vAlign w:val="bottom"/>
          </w:tcPr>
          <w:p>
            <w:pPr>
              <w:spacing w:after="0"/>
              <w:rPr>
                <w:sz w:val="18"/>
                <w:szCs w:val="18"/>
                <w:color w:val="auto"/>
              </w:rPr>
            </w:pPr>
          </w:p>
        </w:tc>
        <w:tc>
          <w:tcPr>
            <w:tcW w:w="180" w:type="dxa"/>
            <w:vAlign w:val="bottom"/>
            <w:tcBorders>
              <w:top w:val="single" w:sz="8" w:color="auto"/>
            </w:tcBorders>
          </w:tcPr>
          <w:p>
            <w:pPr>
              <w:jc w:val="right"/>
              <w:ind w:right="23"/>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4,256,286</w:t>
            </w:r>
          </w:p>
        </w:tc>
        <w:tc>
          <w:tcPr>
            <w:tcW w:w="34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26,298</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50,124,576</w:t>
            </w:r>
          </w:p>
        </w:tc>
        <w:tc>
          <w:tcPr>
            <w:tcW w:w="34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403,704</w:t>
            </w:r>
          </w:p>
        </w:tc>
        <w:tc>
          <w:tcPr>
            <w:tcW w:w="100" w:type="dxa"/>
            <w:vAlign w:val="bottom"/>
          </w:tcPr>
          <w:p>
            <w:pPr>
              <w:spacing w:after="0"/>
              <w:rPr>
                <w:sz w:val="18"/>
                <w:szCs w:val="18"/>
                <w:color w:val="auto"/>
              </w:rPr>
            </w:pPr>
          </w:p>
        </w:tc>
      </w:tr>
      <w:tr>
        <w:trPr>
          <w:trHeight w:val="237"/>
        </w:trPr>
        <w:tc>
          <w:tcPr>
            <w:tcW w:w="28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
        </w:trPr>
        <w:tc>
          <w:tcPr>
            <w:tcW w:w="28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8" w:lineRule="exact"/>
        <w:rPr>
          <w:sz w:val="20"/>
          <w:szCs w:val="20"/>
          <w:color w:val="auto"/>
        </w:rPr>
      </w:pPr>
    </w:p>
    <w:p>
      <w:pPr>
        <w:jc w:val="both"/>
        <w:ind w:left="580" w:hanging="572"/>
        <w:spacing w:after="0" w:line="253" w:lineRule="auto"/>
        <w:tabs>
          <w:tab w:leader="none" w:pos="5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Performing loans include those loans that are current or have been delinquent for less than 90 days in accordance with their original terms and those loans for which borrowers are making scheduled payments under modification, forbearance or bankruptcy plans. We consider all other loans to be non-performing.</w:t>
      </w:r>
    </w:p>
    <w:p>
      <w:pPr>
        <w:ind w:left="580" w:hanging="572"/>
        <w:spacing w:after="0" w:line="250" w:lineRule="auto"/>
        <w:tabs>
          <w:tab w:leader="none" w:pos="5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Real estate includes $804,814 of foreclosed residential properties serviced for the VA at March 31, 2008. We elected not to renew our contract with VA in July 2008.</w:t>
      </w:r>
    </w:p>
    <w:p>
      <w:pPr>
        <w:ind w:left="580" w:hanging="572"/>
        <w:spacing w:after="0"/>
        <w:tabs>
          <w:tab w:leader="none" w:pos="5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Non-performing loans at March 31, 2009 include loans serviced for Freddie Mac.</w:t>
      </w:r>
    </w:p>
    <w:p>
      <w:pPr>
        <w:spacing w:after="0" w:line="9" w:lineRule="exact"/>
        <w:rPr>
          <w:rFonts w:ascii="Arial" w:cs="Arial" w:eastAsia="Arial" w:hAnsi="Arial"/>
          <w:sz w:val="18"/>
          <w:szCs w:val="18"/>
          <w:color w:val="auto"/>
        </w:rPr>
      </w:pPr>
    </w:p>
    <w:p>
      <w:pPr>
        <w:ind w:left="580" w:hanging="572"/>
        <w:spacing w:after="0" w:line="281" w:lineRule="auto"/>
        <w:tabs>
          <w:tab w:leader="none" w:pos="5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At March 31, 2009, we serviced 213,802 subprime loans and real estate with a UPB of $30,951,647 as compared to 227,929 with a UPB of $32,776,696 at December 31, 2008. At March 31, 2008, we serviced 277,660 subprime loans and real estate with a UPB of $40,161,725.</w:t>
      </w:r>
    </w:p>
    <w:p>
      <w:pPr>
        <w:spacing w:after="0" w:line="1" w:lineRule="exact"/>
        <w:rPr>
          <w:rFonts w:ascii="Arial" w:cs="Arial" w:eastAsia="Arial" w:hAnsi="Arial"/>
          <w:sz w:val="16"/>
          <w:szCs w:val="16"/>
          <w:color w:val="auto"/>
        </w:rPr>
      </w:pPr>
    </w:p>
    <w:p>
      <w:pPr>
        <w:ind w:left="580" w:hanging="572"/>
        <w:spacing w:after="0" w:line="399" w:lineRule="auto"/>
        <w:tabs>
          <w:tab w:leader="none" w:pos="5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We serviced under subservicing contracts 87,256 residential loans with a UPB of $10,428,990 as of March 31, 2009. This compares to 108,545 residential loans with a UPB of $10,340,878 as of December 31, 2008 and 121,725 residential loans and real estate with a UPB of $11,967,956 at March 31, 2008. The following table sets forth information regarding the changes in our portfolio of residential assets serviced for others: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04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900" w:type="dxa"/>
            <w:vAlign w:val="bottom"/>
            <w:gridSpan w:val="2"/>
          </w:tcPr>
          <w:p>
            <w:pPr>
              <w:jc w:val="right"/>
              <w:ind w:right="1020"/>
              <w:spacing w:after="0"/>
              <w:rPr>
                <w:sz w:val="20"/>
                <w:szCs w:val="20"/>
                <w:color w:val="auto"/>
              </w:rPr>
            </w:pPr>
            <w:r>
              <w:rPr>
                <w:rFonts w:ascii="Arial" w:cs="Arial" w:eastAsia="Arial" w:hAnsi="Arial"/>
                <w:sz w:val="18"/>
                <w:szCs w:val="18"/>
                <w:color w:val="auto"/>
              </w:rPr>
              <w:t>Amount</w:t>
            </w:r>
          </w:p>
        </w:tc>
        <w:tc>
          <w:tcPr>
            <w:tcW w:w="2040" w:type="dxa"/>
            <w:vAlign w:val="bottom"/>
            <w:gridSpan w:val="2"/>
          </w:tcPr>
          <w:p>
            <w:pPr>
              <w:jc w:val="right"/>
              <w:ind w:right="860"/>
              <w:spacing w:after="0"/>
              <w:rPr>
                <w:sz w:val="20"/>
                <w:szCs w:val="20"/>
                <w:color w:val="auto"/>
              </w:rPr>
            </w:pPr>
            <w:r>
              <w:rPr>
                <w:rFonts w:ascii="Arial" w:cs="Arial" w:eastAsia="Arial" w:hAnsi="Arial"/>
                <w:sz w:val="18"/>
                <w:szCs w:val="18"/>
                <w:color w:val="auto"/>
              </w:rPr>
              <w:t>Count</w:t>
            </w:r>
          </w:p>
        </w:tc>
        <w:tc>
          <w:tcPr>
            <w:tcW w:w="0" w:type="dxa"/>
            <w:vAlign w:val="bottom"/>
          </w:tcPr>
          <w:p>
            <w:pPr>
              <w:spacing w:after="0"/>
              <w:rPr>
                <w:sz w:val="1"/>
                <w:szCs w:val="1"/>
                <w:color w:val="auto"/>
              </w:rPr>
            </w:pPr>
          </w:p>
        </w:tc>
      </w:tr>
      <w:tr>
        <w:trPr>
          <w:trHeight w:val="245"/>
        </w:trPr>
        <w:tc>
          <w:tcPr>
            <w:tcW w:w="5040" w:type="dxa"/>
            <w:vAlign w:val="bottom"/>
          </w:tcPr>
          <w:p>
            <w:pPr>
              <w:spacing w:after="0"/>
              <w:rPr>
                <w:sz w:val="21"/>
                <w:szCs w:val="21"/>
                <w:color w:val="auto"/>
              </w:rPr>
            </w:pPr>
          </w:p>
        </w:tc>
        <w:tc>
          <w:tcPr>
            <w:tcW w:w="2440" w:type="dxa"/>
            <w:vAlign w:val="bottom"/>
            <w:gridSpan w:val="2"/>
          </w:tcPr>
          <w:p>
            <w:pPr>
              <w:spacing w:after="0"/>
              <w:rPr>
                <w:sz w:val="21"/>
                <w:szCs w:val="21"/>
                <w:color w:val="auto"/>
              </w:rPr>
            </w:pPr>
          </w:p>
        </w:tc>
        <w:tc>
          <w:tcPr>
            <w:tcW w:w="15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5040" w:type="dxa"/>
            <w:vAlign w:val="bottom"/>
            <w:shd w:val="clear" w:color="auto" w:fill="EAF9E8"/>
          </w:tcPr>
          <w:p>
            <w:pPr>
              <w:spacing w:after="0"/>
              <w:rPr>
                <w:sz w:val="20"/>
                <w:szCs w:val="20"/>
                <w:color w:val="auto"/>
              </w:rPr>
            </w:pPr>
            <w:r>
              <w:rPr>
                <w:rFonts w:ascii="Arial" w:cs="Arial" w:eastAsia="Arial" w:hAnsi="Arial"/>
                <w:sz w:val="18"/>
                <w:szCs w:val="18"/>
                <w:color w:val="auto"/>
              </w:rPr>
              <w:t>Servicing portfolio at December 31, 2007</w:t>
            </w:r>
          </w:p>
        </w:tc>
        <w:tc>
          <w:tcPr>
            <w:tcW w:w="2060" w:type="dxa"/>
            <w:vAlign w:val="bottom"/>
            <w:shd w:val="clear" w:color="auto" w:fill="EAF9E8"/>
          </w:tcPr>
          <w:p>
            <w:pPr>
              <w:spacing w:after="0"/>
              <w:rPr>
                <w:sz w:val="18"/>
                <w:szCs w:val="18"/>
                <w:color w:val="auto"/>
              </w:rPr>
            </w:pPr>
          </w:p>
        </w:tc>
        <w:tc>
          <w:tcPr>
            <w:tcW w:w="380" w:type="dxa"/>
            <w:vAlign w:val="bottom"/>
            <w:tcBorders>
              <w:top w:val="single" w:sz="8" w:color="auto"/>
            </w:tcBorders>
            <w:shd w:val="clear" w:color="auto" w:fill="EAF9E8"/>
          </w:tcPr>
          <w:p>
            <w:pPr>
              <w:jc w:val="right"/>
              <w:ind w:right="223"/>
              <w:spacing w:after="0"/>
              <w:rPr>
                <w:sz w:val="20"/>
                <w:szCs w:val="20"/>
                <w:color w:val="auto"/>
              </w:rPr>
            </w:pPr>
            <w:r>
              <w:rPr>
                <w:rFonts w:ascii="Arial" w:cs="Arial" w:eastAsia="Arial" w:hAnsi="Arial"/>
                <w:sz w:val="15"/>
                <w:szCs w:val="15"/>
                <w:color w:val="auto"/>
                <w:w w:val="71"/>
              </w:rPr>
              <w:t>$</w:t>
            </w:r>
          </w:p>
        </w:tc>
        <w:tc>
          <w:tcPr>
            <w:tcW w:w="156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53,545,985</w:t>
            </w:r>
          </w:p>
        </w:tc>
        <w:tc>
          <w:tcPr>
            <w:tcW w:w="340" w:type="dxa"/>
            <w:vAlign w:val="bottom"/>
            <w:shd w:val="clear" w:color="auto" w:fill="EAF9E8"/>
          </w:tcPr>
          <w:p>
            <w:pPr>
              <w:spacing w:after="0"/>
              <w:rPr>
                <w:sz w:val="18"/>
                <w:szCs w:val="18"/>
                <w:color w:val="auto"/>
              </w:rPr>
            </w:pPr>
          </w:p>
        </w:tc>
        <w:tc>
          <w:tcPr>
            <w:tcW w:w="194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435,616</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tcPr>
          <w:p>
            <w:pPr>
              <w:ind w:left="160"/>
              <w:spacing w:after="0"/>
              <w:rPr>
                <w:sz w:val="20"/>
                <w:szCs w:val="20"/>
                <w:color w:val="auto"/>
              </w:rPr>
            </w:pPr>
            <w:r>
              <w:rPr>
                <w:rFonts w:ascii="Arial" w:cs="Arial" w:eastAsia="Arial" w:hAnsi="Arial"/>
                <w:sz w:val="18"/>
                <w:szCs w:val="18"/>
                <w:color w:val="auto"/>
              </w:rPr>
              <w:t>Additions</w:t>
            </w:r>
          </w:p>
        </w:tc>
        <w:tc>
          <w:tcPr>
            <w:tcW w:w="20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518,439</w:t>
            </w:r>
          </w:p>
        </w:tc>
        <w:tc>
          <w:tcPr>
            <w:tcW w:w="340" w:type="dxa"/>
            <w:vAlign w:val="bottom"/>
          </w:tcPr>
          <w:p>
            <w:pPr>
              <w:spacing w:after="0"/>
              <w:rPr>
                <w:sz w:val="18"/>
                <w:szCs w:val="18"/>
                <w:color w:val="auto"/>
              </w:rPr>
            </w:pPr>
          </w:p>
        </w:tc>
        <w:tc>
          <w:tcPr>
            <w:tcW w:w="2040" w:type="dxa"/>
            <w:vAlign w:val="bottom"/>
            <w:gridSpan w:val="2"/>
          </w:tcPr>
          <w:p>
            <w:pPr>
              <w:jc w:val="right"/>
              <w:ind w:right="100"/>
              <w:spacing w:after="0"/>
              <w:rPr>
                <w:sz w:val="20"/>
                <w:szCs w:val="20"/>
                <w:color w:val="auto"/>
              </w:rPr>
            </w:pPr>
            <w:r>
              <w:rPr>
                <w:rFonts w:ascii="Arial" w:cs="Arial" w:eastAsia="Arial" w:hAnsi="Arial"/>
                <w:sz w:val="18"/>
                <w:szCs w:val="18"/>
                <w:color w:val="auto"/>
              </w:rPr>
              <w:t>4,483</w:t>
            </w:r>
          </w:p>
        </w:tc>
        <w:tc>
          <w:tcPr>
            <w:tcW w:w="0" w:type="dxa"/>
            <w:vAlign w:val="bottom"/>
          </w:tcPr>
          <w:p>
            <w:pPr>
              <w:spacing w:after="0"/>
              <w:rPr>
                <w:sz w:val="1"/>
                <w:szCs w:val="1"/>
                <w:color w:val="auto"/>
              </w:rPr>
            </w:pPr>
          </w:p>
        </w:tc>
      </w:tr>
      <w:tr>
        <w:trPr>
          <w:trHeight w:val="216"/>
        </w:trPr>
        <w:tc>
          <w:tcPr>
            <w:tcW w:w="5040" w:type="dxa"/>
            <w:vAlign w:val="bottom"/>
            <w:shd w:val="clear" w:color="auto" w:fill="EAF9E8"/>
          </w:tcPr>
          <w:p>
            <w:pPr>
              <w:ind w:left="160"/>
              <w:spacing w:after="0"/>
              <w:rPr>
                <w:sz w:val="20"/>
                <w:szCs w:val="20"/>
                <w:color w:val="auto"/>
              </w:rPr>
            </w:pPr>
            <w:r>
              <w:rPr>
                <w:rFonts w:ascii="Arial" w:cs="Arial" w:eastAsia="Arial" w:hAnsi="Arial"/>
                <w:sz w:val="18"/>
                <w:szCs w:val="18"/>
                <w:color w:val="auto"/>
              </w:rPr>
              <w:t>Runoff</w:t>
            </w:r>
          </w:p>
        </w:tc>
        <w:tc>
          <w:tcPr>
            <w:tcW w:w="2060" w:type="dxa"/>
            <w:vAlign w:val="bottom"/>
            <w:shd w:val="clear" w:color="auto" w:fill="EAF9E8"/>
          </w:tcPr>
          <w:p>
            <w:pPr>
              <w:spacing w:after="0"/>
              <w:rPr>
                <w:sz w:val="18"/>
                <w:szCs w:val="18"/>
                <w:color w:val="auto"/>
              </w:rPr>
            </w:pPr>
          </w:p>
        </w:tc>
        <w:tc>
          <w:tcPr>
            <w:tcW w:w="380" w:type="dxa"/>
            <w:vAlign w:val="bottom"/>
            <w:shd w:val="clear" w:color="auto" w:fill="EAF9E8"/>
          </w:tcPr>
          <w:p>
            <w:pPr>
              <w:spacing w:after="0"/>
              <w:rPr>
                <w:sz w:val="18"/>
                <w:szCs w:val="18"/>
                <w:color w:val="auto"/>
              </w:rPr>
            </w:pPr>
          </w:p>
        </w:tc>
        <w:tc>
          <w:tcPr>
            <w:tcW w:w="190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rPr>
              <w:t>(3,939,848)</w:t>
            </w:r>
          </w:p>
        </w:tc>
        <w:tc>
          <w:tcPr>
            <w:tcW w:w="204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(36,395)</w:t>
            </w:r>
          </w:p>
        </w:tc>
        <w:tc>
          <w:tcPr>
            <w:tcW w:w="0" w:type="dxa"/>
            <w:vAlign w:val="bottom"/>
          </w:tcPr>
          <w:p>
            <w:pPr>
              <w:spacing w:after="0"/>
              <w:rPr>
                <w:sz w:val="1"/>
                <w:szCs w:val="1"/>
                <w:color w:val="auto"/>
              </w:rPr>
            </w:pPr>
          </w:p>
        </w:tc>
      </w:tr>
      <w:tr>
        <w:trPr>
          <w:trHeight w:val="243"/>
        </w:trPr>
        <w:tc>
          <w:tcPr>
            <w:tcW w:w="5040" w:type="dxa"/>
            <w:vAlign w:val="bottom"/>
            <w:vMerge w:val="restart"/>
          </w:tcPr>
          <w:p>
            <w:pPr>
              <w:spacing w:after="0"/>
              <w:rPr>
                <w:sz w:val="20"/>
                <w:szCs w:val="20"/>
                <w:color w:val="auto"/>
              </w:rPr>
            </w:pPr>
            <w:r>
              <w:rPr>
                <w:rFonts w:ascii="Arial" w:cs="Arial" w:eastAsia="Arial" w:hAnsi="Arial"/>
                <w:sz w:val="18"/>
                <w:szCs w:val="18"/>
                <w:color w:val="auto"/>
              </w:rPr>
              <w:t>Servicing portfolio at March 31, 2008</w:t>
            </w:r>
          </w:p>
        </w:tc>
        <w:tc>
          <w:tcPr>
            <w:tcW w:w="20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40" w:type="dxa"/>
            <w:vAlign w:val="bottom"/>
            <w:gridSpan w:val="2"/>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5040" w:type="dxa"/>
            <w:vAlign w:val="bottom"/>
            <w:vMerge w:val="continue"/>
          </w:tcPr>
          <w:p>
            <w:pPr>
              <w:spacing w:after="0"/>
              <w:rPr>
                <w:sz w:val="18"/>
                <w:szCs w:val="18"/>
                <w:color w:val="auto"/>
              </w:rPr>
            </w:pPr>
          </w:p>
        </w:tc>
        <w:tc>
          <w:tcPr>
            <w:tcW w:w="206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50,124,576</w:t>
            </w:r>
          </w:p>
        </w:tc>
        <w:tc>
          <w:tcPr>
            <w:tcW w:w="340" w:type="dxa"/>
            <w:vAlign w:val="bottom"/>
          </w:tcPr>
          <w:p>
            <w:pPr>
              <w:spacing w:after="0"/>
              <w:rPr>
                <w:sz w:val="18"/>
                <w:szCs w:val="18"/>
                <w:color w:val="auto"/>
              </w:rPr>
            </w:pPr>
          </w:p>
        </w:tc>
        <w:tc>
          <w:tcPr>
            <w:tcW w:w="1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403,704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shd w:val="clear" w:color="auto" w:fill="EAF9E8"/>
          </w:tcPr>
          <w:p>
            <w:pPr>
              <w:ind w:left="160"/>
              <w:spacing w:after="0"/>
              <w:rPr>
                <w:sz w:val="20"/>
                <w:szCs w:val="20"/>
                <w:color w:val="auto"/>
              </w:rPr>
            </w:pPr>
            <w:r>
              <w:rPr>
                <w:rFonts w:ascii="Arial" w:cs="Arial" w:eastAsia="Arial" w:hAnsi="Arial"/>
                <w:sz w:val="18"/>
                <w:szCs w:val="18"/>
                <w:color w:val="auto"/>
              </w:rPr>
              <w:t>Additions</w:t>
            </w:r>
          </w:p>
        </w:tc>
        <w:tc>
          <w:tcPr>
            <w:tcW w:w="2060" w:type="dxa"/>
            <w:vAlign w:val="bottom"/>
            <w:shd w:val="clear" w:color="auto" w:fill="EAF9E8"/>
          </w:tcPr>
          <w:p>
            <w:pPr>
              <w:spacing w:after="0"/>
              <w:rPr>
                <w:sz w:val="18"/>
                <w:szCs w:val="18"/>
                <w:color w:val="auto"/>
              </w:rPr>
            </w:pPr>
          </w:p>
        </w:tc>
        <w:tc>
          <w:tcPr>
            <w:tcW w:w="380" w:type="dxa"/>
            <w:vAlign w:val="bottom"/>
            <w:shd w:val="clear" w:color="auto" w:fill="EAF9E8"/>
          </w:tcPr>
          <w:p>
            <w:pPr>
              <w:spacing w:after="0"/>
              <w:rPr>
                <w:sz w:val="18"/>
                <w:szCs w:val="18"/>
                <w:color w:val="auto"/>
              </w:rPr>
            </w:pPr>
          </w:p>
        </w:tc>
        <w:tc>
          <w:tcPr>
            <w:tcW w:w="15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255,912</w:t>
            </w:r>
          </w:p>
        </w:tc>
        <w:tc>
          <w:tcPr>
            <w:tcW w:w="340" w:type="dxa"/>
            <w:vAlign w:val="bottom"/>
            <w:shd w:val="clear" w:color="auto" w:fill="EAF9E8"/>
          </w:tcPr>
          <w:p>
            <w:pPr>
              <w:spacing w:after="0"/>
              <w:rPr>
                <w:sz w:val="18"/>
                <w:szCs w:val="18"/>
                <w:color w:val="auto"/>
              </w:rPr>
            </w:pPr>
          </w:p>
        </w:tc>
        <w:tc>
          <w:tcPr>
            <w:tcW w:w="20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2,421</w:t>
            </w:r>
          </w:p>
        </w:tc>
        <w:tc>
          <w:tcPr>
            <w:tcW w:w="0" w:type="dxa"/>
            <w:vAlign w:val="bottom"/>
          </w:tcPr>
          <w:p>
            <w:pPr>
              <w:spacing w:after="0"/>
              <w:rPr>
                <w:sz w:val="1"/>
                <w:szCs w:val="1"/>
                <w:color w:val="auto"/>
              </w:rPr>
            </w:pPr>
          </w:p>
        </w:tc>
      </w:tr>
      <w:tr>
        <w:trPr>
          <w:trHeight w:val="222"/>
        </w:trPr>
        <w:tc>
          <w:tcPr>
            <w:tcW w:w="5040" w:type="dxa"/>
            <w:vAlign w:val="bottom"/>
          </w:tcPr>
          <w:p>
            <w:pPr>
              <w:ind w:left="160"/>
              <w:spacing w:after="0"/>
              <w:rPr>
                <w:sz w:val="20"/>
                <w:szCs w:val="20"/>
                <w:color w:val="auto"/>
              </w:rPr>
            </w:pPr>
            <w:r>
              <w:rPr>
                <w:rFonts w:ascii="Arial" w:cs="Arial" w:eastAsia="Arial" w:hAnsi="Arial"/>
                <w:sz w:val="18"/>
                <w:szCs w:val="18"/>
                <w:color w:val="auto"/>
              </w:rPr>
              <w:t>Runoff</w:t>
            </w:r>
          </w:p>
        </w:tc>
        <w:tc>
          <w:tcPr>
            <w:tcW w:w="20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900" w:type="dxa"/>
            <w:vAlign w:val="bottom"/>
            <w:gridSpan w:val="2"/>
          </w:tcPr>
          <w:p>
            <w:pPr>
              <w:jc w:val="right"/>
              <w:ind w:right="280"/>
              <w:spacing w:after="0"/>
              <w:rPr>
                <w:sz w:val="20"/>
                <w:szCs w:val="20"/>
                <w:color w:val="auto"/>
              </w:rPr>
            </w:pPr>
            <w:r>
              <w:rPr>
                <w:rFonts w:ascii="Arial" w:cs="Arial" w:eastAsia="Arial" w:hAnsi="Arial"/>
                <w:sz w:val="18"/>
                <w:szCs w:val="18"/>
                <w:color w:val="auto"/>
              </w:rPr>
              <w:t>(4,712,421)</w:t>
            </w:r>
          </w:p>
        </w:tc>
        <w:tc>
          <w:tcPr>
            <w:tcW w:w="2040" w:type="dxa"/>
            <w:vAlign w:val="bottom"/>
            <w:gridSpan w:val="2"/>
          </w:tcPr>
          <w:p>
            <w:pPr>
              <w:jc w:val="right"/>
              <w:ind w:right="40"/>
              <w:spacing w:after="0"/>
              <w:rPr>
                <w:sz w:val="20"/>
                <w:szCs w:val="20"/>
                <w:color w:val="auto"/>
              </w:rPr>
            </w:pPr>
            <w:r>
              <w:rPr>
                <w:rFonts w:ascii="Arial" w:cs="Arial" w:eastAsia="Arial" w:hAnsi="Arial"/>
                <w:sz w:val="18"/>
                <w:szCs w:val="18"/>
                <w:color w:val="auto"/>
              </w:rPr>
              <w:t>(37,347)</w:t>
            </w:r>
          </w:p>
        </w:tc>
        <w:tc>
          <w:tcPr>
            <w:tcW w:w="0" w:type="dxa"/>
            <w:vAlign w:val="bottom"/>
          </w:tcPr>
          <w:p>
            <w:pPr>
              <w:spacing w:after="0"/>
              <w:rPr>
                <w:sz w:val="1"/>
                <w:szCs w:val="1"/>
                <w:color w:val="auto"/>
              </w:rPr>
            </w:pPr>
          </w:p>
        </w:tc>
      </w:tr>
      <w:tr>
        <w:trPr>
          <w:trHeight w:val="237"/>
        </w:trPr>
        <w:tc>
          <w:tcPr>
            <w:tcW w:w="504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4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040" w:type="dxa"/>
            <w:vAlign w:val="bottom"/>
            <w:shd w:val="clear" w:color="auto" w:fill="EAF9E8"/>
          </w:tcPr>
          <w:p>
            <w:pPr>
              <w:spacing w:after="0"/>
              <w:rPr>
                <w:sz w:val="20"/>
                <w:szCs w:val="20"/>
                <w:color w:val="auto"/>
              </w:rPr>
            </w:pPr>
            <w:r>
              <w:rPr>
                <w:rFonts w:ascii="Arial" w:cs="Arial" w:eastAsia="Arial" w:hAnsi="Arial"/>
                <w:sz w:val="18"/>
                <w:szCs w:val="18"/>
                <w:color w:val="auto"/>
              </w:rPr>
              <w:t>Servicing portfolio at June 30, 2008</w:t>
            </w:r>
          </w:p>
        </w:tc>
        <w:tc>
          <w:tcPr>
            <w:tcW w:w="2060" w:type="dxa"/>
            <w:vAlign w:val="bottom"/>
            <w:shd w:val="clear" w:color="auto" w:fill="EAF9E8"/>
          </w:tcPr>
          <w:p>
            <w:pPr>
              <w:spacing w:after="0"/>
              <w:rPr>
                <w:sz w:val="18"/>
                <w:szCs w:val="18"/>
                <w:color w:val="auto"/>
              </w:rPr>
            </w:pPr>
          </w:p>
        </w:tc>
        <w:tc>
          <w:tcPr>
            <w:tcW w:w="380" w:type="dxa"/>
            <w:vAlign w:val="bottom"/>
            <w:tcBorders>
              <w:top w:val="single" w:sz="8" w:color="auto"/>
            </w:tcBorders>
            <w:shd w:val="clear" w:color="auto" w:fill="EAF9E8"/>
          </w:tcPr>
          <w:p>
            <w:pPr>
              <w:spacing w:after="0"/>
              <w:rPr>
                <w:sz w:val="18"/>
                <w:szCs w:val="18"/>
                <w:color w:val="auto"/>
              </w:rPr>
            </w:pPr>
          </w:p>
        </w:tc>
        <w:tc>
          <w:tcPr>
            <w:tcW w:w="156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45,668,067</w:t>
            </w:r>
          </w:p>
        </w:tc>
        <w:tc>
          <w:tcPr>
            <w:tcW w:w="340" w:type="dxa"/>
            <w:vAlign w:val="bottom"/>
            <w:shd w:val="clear" w:color="auto" w:fill="EAF9E8"/>
          </w:tcPr>
          <w:p>
            <w:pPr>
              <w:spacing w:after="0"/>
              <w:rPr>
                <w:sz w:val="18"/>
                <w:szCs w:val="18"/>
                <w:color w:val="auto"/>
              </w:rPr>
            </w:pPr>
          </w:p>
        </w:tc>
        <w:tc>
          <w:tcPr>
            <w:tcW w:w="194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368,778</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tcPr>
          <w:p>
            <w:pPr>
              <w:ind w:left="160"/>
              <w:spacing w:after="0"/>
              <w:rPr>
                <w:sz w:val="20"/>
                <w:szCs w:val="20"/>
                <w:color w:val="auto"/>
              </w:rPr>
            </w:pPr>
            <w:r>
              <w:rPr>
                <w:rFonts w:ascii="Arial" w:cs="Arial" w:eastAsia="Arial" w:hAnsi="Arial"/>
                <w:sz w:val="18"/>
                <w:szCs w:val="18"/>
                <w:color w:val="auto"/>
              </w:rPr>
              <w:t>Additions</w:t>
            </w:r>
          </w:p>
        </w:tc>
        <w:tc>
          <w:tcPr>
            <w:tcW w:w="20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146,000</w:t>
            </w:r>
          </w:p>
        </w:tc>
        <w:tc>
          <w:tcPr>
            <w:tcW w:w="340" w:type="dxa"/>
            <w:vAlign w:val="bottom"/>
          </w:tcPr>
          <w:p>
            <w:pPr>
              <w:spacing w:after="0"/>
              <w:rPr>
                <w:sz w:val="18"/>
                <w:szCs w:val="18"/>
                <w:color w:val="auto"/>
              </w:rPr>
            </w:pPr>
          </w:p>
        </w:tc>
        <w:tc>
          <w:tcPr>
            <w:tcW w:w="2040" w:type="dxa"/>
            <w:vAlign w:val="bottom"/>
            <w:gridSpan w:val="2"/>
          </w:tcPr>
          <w:p>
            <w:pPr>
              <w:jc w:val="right"/>
              <w:ind w:right="100"/>
              <w:spacing w:after="0"/>
              <w:rPr>
                <w:sz w:val="20"/>
                <w:szCs w:val="20"/>
                <w:color w:val="auto"/>
              </w:rPr>
            </w:pPr>
            <w:r>
              <w:rPr>
                <w:rFonts w:ascii="Arial" w:cs="Arial" w:eastAsia="Arial" w:hAnsi="Arial"/>
                <w:sz w:val="18"/>
                <w:szCs w:val="18"/>
                <w:color w:val="auto"/>
              </w:rPr>
              <w:t>1,075</w:t>
            </w:r>
          </w:p>
        </w:tc>
        <w:tc>
          <w:tcPr>
            <w:tcW w:w="0" w:type="dxa"/>
            <w:vAlign w:val="bottom"/>
          </w:tcPr>
          <w:p>
            <w:pPr>
              <w:spacing w:after="0"/>
              <w:rPr>
                <w:sz w:val="1"/>
                <w:szCs w:val="1"/>
                <w:color w:val="auto"/>
              </w:rPr>
            </w:pPr>
          </w:p>
        </w:tc>
      </w:tr>
      <w:tr>
        <w:trPr>
          <w:trHeight w:val="216"/>
        </w:trPr>
        <w:tc>
          <w:tcPr>
            <w:tcW w:w="5040" w:type="dxa"/>
            <w:vAlign w:val="bottom"/>
            <w:shd w:val="clear" w:color="auto" w:fill="EAF9E8"/>
          </w:tcPr>
          <w:p>
            <w:pPr>
              <w:ind w:left="160"/>
              <w:spacing w:after="0"/>
              <w:rPr>
                <w:sz w:val="20"/>
                <w:szCs w:val="20"/>
                <w:color w:val="auto"/>
              </w:rPr>
            </w:pPr>
            <w:r>
              <w:rPr>
                <w:rFonts w:ascii="Arial" w:cs="Arial" w:eastAsia="Arial" w:hAnsi="Arial"/>
                <w:sz w:val="18"/>
                <w:szCs w:val="18"/>
                <w:color w:val="auto"/>
              </w:rPr>
              <w:t>Runoff</w:t>
            </w:r>
          </w:p>
        </w:tc>
        <w:tc>
          <w:tcPr>
            <w:tcW w:w="2060" w:type="dxa"/>
            <w:vAlign w:val="bottom"/>
            <w:shd w:val="clear" w:color="auto" w:fill="EAF9E8"/>
          </w:tcPr>
          <w:p>
            <w:pPr>
              <w:spacing w:after="0"/>
              <w:rPr>
                <w:sz w:val="18"/>
                <w:szCs w:val="18"/>
                <w:color w:val="auto"/>
              </w:rPr>
            </w:pPr>
          </w:p>
        </w:tc>
        <w:tc>
          <w:tcPr>
            <w:tcW w:w="380" w:type="dxa"/>
            <w:vAlign w:val="bottom"/>
            <w:shd w:val="clear" w:color="auto" w:fill="EAF9E8"/>
          </w:tcPr>
          <w:p>
            <w:pPr>
              <w:spacing w:after="0"/>
              <w:rPr>
                <w:sz w:val="18"/>
                <w:szCs w:val="18"/>
                <w:color w:val="auto"/>
              </w:rPr>
            </w:pPr>
          </w:p>
        </w:tc>
        <w:tc>
          <w:tcPr>
            <w:tcW w:w="190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rPr>
              <w:t>(3,365,036)</w:t>
            </w:r>
          </w:p>
        </w:tc>
        <w:tc>
          <w:tcPr>
            <w:tcW w:w="204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(27,366)</w:t>
            </w:r>
          </w:p>
        </w:tc>
        <w:tc>
          <w:tcPr>
            <w:tcW w:w="0" w:type="dxa"/>
            <w:vAlign w:val="bottom"/>
          </w:tcPr>
          <w:p>
            <w:pPr>
              <w:spacing w:after="0"/>
              <w:rPr>
                <w:sz w:val="1"/>
                <w:szCs w:val="1"/>
                <w:color w:val="auto"/>
              </w:rPr>
            </w:pPr>
          </w:p>
        </w:tc>
      </w:tr>
      <w:tr>
        <w:trPr>
          <w:trHeight w:val="243"/>
        </w:trPr>
        <w:tc>
          <w:tcPr>
            <w:tcW w:w="5040" w:type="dxa"/>
            <w:vAlign w:val="bottom"/>
            <w:vMerge w:val="restart"/>
          </w:tcPr>
          <w:p>
            <w:pPr>
              <w:spacing w:after="0"/>
              <w:rPr>
                <w:sz w:val="20"/>
                <w:szCs w:val="20"/>
                <w:color w:val="auto"/>
              </w:rPr>
            </w:pPr>
            <w:r>
              <w:rPr>
                <w:rFonts w:ascii="Arial" w:cs="Arial" w:eastAsia="Arial" w:hAnsi="Arial"/>
                <w:sz w:val="18"/>
                <w:szCs w:val="18"/>
                <w:color w:val="auto"/>
              </w:rPr>
              <w:t>Servicing portfolio at September 30, 2008</w:t>
            </w:r>
          </w:p>
        </w:tc>
        <w:tc>
          <w:tcPr>
            <w:tcW w:w="20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40" w:type="dxa"/>
            <w:vAlign w:val="bottom"/>
            <w:gridSpan w:val="2"/>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5040" w:type="dxa"/>
            <w:vAlign w:val="bottom"/>
            <w:vMerge w:val="continue"/>
          </w:tcPr>
          <w:p>
            <w:pPr>
              <w:spacing w:after="0"/>
              <w:rPr>
                <w:sz w:val="18"/>
                <w:szCs w:val="18"/>
                <w:color w:val="auto"/>
              </w:rPr>
            </w:pPr>
          </w:p>
        </w:tc>
        <w:tc>
          <w:tcPr>
            <w:tcW w:w="206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42,449,031</w:t>
            </w:r>
          </w:p>
        </w:tc>
        <w:tc>
          <w:tcPr>
            <w:tcW w:w="340" w:type="dxa"/>
            <w:vAlign w:val="bottom"/>
          </w:tcPr>
          <w:p>
            <w:pPr>
              <w:spacing w:after="0"/>
              <w:rPr>
                <w:sz w:val="18"/>
                <w:szCs w:val="18"/>
                <w:color w:val="auto"/>
              </w:rPr>
            </w:pPr>
          </w:p>
        </w:tc>
        <w:tc>
          <w:tcPr>
            <w:tcW w:w="1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342,487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shd w:val="clear" w:color="auto" w:fill="EAF9E8"/>
          </w:tcPr>
          <w:p>
            <w:pPr>
              <w:ind w:left="160"/>
              <w:spacing w:after="0"/>
              <w:rPr>
                <w:sz w:val="20"/>
                <w:szCs w:val="20"/>
                <w:color w:val="auto"/>
              </w:rPr>
            </w:pPr>
            <w:r>
              <w:rPr>
                <w:rFonts w:ascii="Arial" w:cs="Arial" w:eastAsia="Arial" w:hAnsi="Arial"/>
                <w:sz w:val="18"/>
                <w:szCs w:val="18"/>
                <w:color w:val="auto"/>
              </w:rPr>
              <w:t>Additions</w:t>
            </w:r>
          </w:p>
        </w:tc>
        <w:tc>
          <w:tcPr>
            <w:tcW w:w="2060" w:type="dxa"/>
            <w:vAlign w:val="bottom"/>
            <w:shd w:val="clear" w:color="auto" w:fill="EAF9E8"/>
          </w:tcPr>
          <w:p>
            <w:pPr>
              <w:spacing w:after="0"/>
              <w:rPr>
                <w:sz w:val="18"/>
                <w:szCs w:val="18"/>
                <w:color w:val="auto"/>
              </w:rPr>
            </w:pPr>
          </w:p>
        </w:tc>
        <w:tc>
          <w:tcPr>
            <w:tcW w:w="380" w:type="dxa"/>
            <w:vAlign w:val="bottom"/>
            <w:shd w:val="clear" w:color="auto" w:fill="EAF9E8"/>
          </w:tcPr>
          <w:p>
            <w:pPr>
              <w:spacing w:after="0"/>
              <w:rPr>
                <w:sz w:val="18"/>
                <w:szCs w:val="18"/>
                <w:color w:val="auto"/>
              </w:rPr>
            </w:pPr>
          </w:p>
        </w:tc>
        <w:tc>
          <w:tcPr>
            <w:tcW w:w="15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677,000</w:t>
            </w:r>
          </w:p>
        </w:tc>
        <w:tc>
          <w:tcPr>
            <w:tcW w:w="340" w:type="dxa"/>
            <w:vAlign w:val="bottom"/>
            <w:shd w:val="clear" w:color="auto" w:fill="EAF9E8"/>
          </w:tcPr>
          <w:p>
            <w:pPr>
              <w:spacing w:after="0"/>
              <w:rPr>
                <w:sz w:val="18"/>
                <w:szCs w:val="18"/>
                <w:color w:val="auto"/>
              </w:rPr>
            </w:pPr>
          </w:p>
        </w:tc>
        <w:tc>
          <w:tcPr>
            <w:tcW w:w="20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1,790</w:t>
            </w:r>
          </w:p>
        </w:tc>
        <w:tc>
          <w:tcPr>
            <w:tcW w:w="0" w:type="dxa"/>
            <w:vAlign w:val="bottom"/>
          </w:tcPr>
          <w:p>
            <w:pPr>
              <w:spacing w:after="0"/>
              <w:rPr>
                <w:sz w:val="1"/>
                <w:szCs w:val="1"/>
                <w:color w:val="auto"/>
              </w:rPr>
            </w:pPr>
          </w:p>
        </w:tc>
      </w:tr>
      <w:tr>
        <w:trPr>
          <w:trHeight w:val="222"/>
        </w:trPr>
        <w:tc>
          <w:tcPr>
            <w:tcW w:w="5040" w:type="dxa"/>
            <w:vAlign w:val="bottom"/>
          </w:tcPr>
          <w:p>
            <w:pPr>
              <w:ind w:left="160"/>
              <w:spacing w:after="0"/>
              <w:rPr>
                <w:sz w:val="20"/>
                <w:szCs w:val="20"/>
                <w:color w:val="auto"/>
              </w:rPr>
            </w:pPr>
            <w:r>
              <w:rPr>
                <w:rFonts w:ascii="Arial" w:cs="Arial" w:eastAsia="Arial" w:hAnsi="Arial"/>
                <w:sz w:val="18"/>
                <w:szCs w:val="18"/>
                <w:color w:val="auto"/>
              </w:rPr>
              <w:t>Runoff</w:t>
            </w:r>
          </w:p>
        </w:tc>
        <w:tc>
          <w:tcPr>
            <w:tcW w:w="20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900" w:type="dxa"/>
            <w:vAlign w:val="bottom"/>
            <w:gridSpan w:val="2"/>
          </w:tcPr>
          <w:p>
            <w:pPr>
              <w:jc w:val="right"/>
              <w:ind w:right="280"/>
              <w:spacing w:after="0"/>
              <w:rPr>
                <w:sz w:val="20"/>
                <w:szCs w:val="20"/>
                <w:color w:val="auto"/>
              </w:rPr>
            </w:pPr>
            <w:r>
              <w:rPr>
                <w:rFonts w:ascii="Arial" w:cs="Arial" w:eastAsia="Arial" w:hAnsi="Arial"/>
                <w:sz w:val="18"/>
                <w:szCs w:val="18"/>
                <w:color w:val="auto"/>
              </w:rPr>
              <w:t>(2,954,499)</w:t>
            </w:r>
          </w:p>
        </w:tc>
        <w:tc>
          <w:tcPr>
            <w:tcW w:w="2040" w:type="dxa"/>
            <w:vAlign w:val="bottom"/>
            <w:gridSpan w:val="2"/>
          </w:tcPr>
          <w:p>
            <w:pPr>
              <w:jc w:val="right"/>
              <w:ind w:right="40"/>
              <w:spacing w:after="0"/>
              <w:rPr>
                <w:sz w:val="20"/>
                <w:szCs w:val="20"/>
                <w:color w:val="auto"/>
              </w:rPr>
            </w:pPr>
            <w:r>
              <w:rPr>
                <w:rFonts w:ascii="Arial" w:cs="Arial" w:eastAsia="Arial" w:hAnsi="Arial"/>
                <w:sz w:val="18"/>
                <w:szCs w:val="18"/>
                <w:color w:val="auto"/>
              </w:rPr>
              <w:t>(21,762)</w:t>
            </w:r>
          </w:p>
        </w:tc>
        <w:tc>
          <w:tcPr>
            <w:tcW w:w="0" w:type="dxa"/>
            <w:vAlign w:val="bottom"/>
          </w:tcPr>
          <w:p>
            <w:pPr>
              <w:spacing w:after="0"/>
              <w:rPr>
                <w:sz w:val="1"/>
                <w:szCs w:val="1"/>
                <w:color w:val="auto"/>
              </w:rPr>
            </w:pPr>
          </w:p>
        </w:tc>
      </w:tr>
      <w:tr>
        <w:trPr>
          <w:trHeight w:val="237"/>
        </w:trPr>
        <w:tc>
          <w:tcPr>
            <w:tcW w:w="504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4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040" w:type="dxa"/>
            <w:vAlign w:val="bottom"/>
            <w:shd w:val="clear" w:color="auto" w:fill="EAF9E8"/>
          </w:tcPr>
          <w:p>
            <w:pPr>
              <w:spacing w:after="0"/>
              <w:rPr>
                <w:sz w:val="20"/>
                <w:szCs w:val="20"/>
                <w:color w:val="auto"/>
              </w:rPr>
            </w:pPr>
            <w:r>
              <w:rPr>
                <w:rFonts w:ascii="Arial" w:cs="Arial" w:eastAsia="Arial" w:hAnsi="Arial"/>
                <w:sz w:val="18"/>
                <w:szCs w:val="18"/>
                <w:color w:val="auto"/>
              </w:rPr>
              <w:t>Servicing portfolio at December 31, 2008</w:t>
            </w:r>
          </w:p>
        </w:tc>
        <w:tc>
          <w:tcPr>
            <w:tcW w:w="2060" w:type="dxa"/>
            <w:vAlign w:val="bottom"/>
            <w:shd w:val="clear" w:color="auto" w:fill="EAF9E8"/>
          </w:tcPr>
          <w:p>
            <w:pPr>
              <w:spacing w:after="0"/>
              <w:rPr>
                <w:sz w:val="18"/>
                <w:szCs w:val="18"/>
                <w:color w:val="auto"/>
              </w:rPr>
            </w:pPr>
          </w:p>
        </w:tc>
        <w:tc>
          <w:tcPr>
            <w:tcW w:w="380" w:type="dxa"/>
            <w:vAlign w:val="bottom"/>
            <w:tcBorders>
              <w:top w:val="single" w:sz="8" w:color="auto"/>
            </w:tcBorders>
            <w:shd w:val="clear" w:color="auto" w:fill="EAF9E8"/>
          </w:tcPr>
          <w:p>
            <w:pPr>
              <w:spacing w:after="0"/>
              <w:rPr>
                <w:sz w:val="18"/>
                <w:szCs w:val="18"/>
                <w:color w:val="auto"/>
              </w:rPr>
            </w:pPr>
          </w:p>
        </w:tc>
        <w:tc>
          <w:tcPr>
            <w:tcW w:w="156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40,171,532</w:t>
            </w:r>
          </w:p>
        </w:tc>
        <w:tc>
          <w:tcPr>
            <w:tcW w:w="340" w:type="dxa"/>
            <w:vAlign w:val="bottom"/>
            <w:shd w:val="clear" w:color="auto" w:fill="EAF9E8"/>
          </w:tcPr>
          <w:p>
            <w:pPr>
              <w:spacing w:after="0"/>
              <w:rPr>
                <w:sz w:val="18"/>
                <w:szCs w:val="18"/>
                <w:color w:val="auto"/>
              </w:rPr>
            </w:pPr>
          </w:p>
        </w:tc>
        <w:tc>
          <w:tcPr>
            <w:tcW w:w="194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322,515</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tcPr>
          <w:p>
            <w:pPr>
              <w:ind w:left="160"/>
              <w:spacing w:after="0"/>
              <w:rPr>
                <w:sz w:val="20"/>
                <w:szCs w:val="20"/>
                <w:color w:val="auto"/>
              </w:rPr>
            </w:pPr>
            <w:r>
              <w:rPr>
                <w:rFonts w:ascii="Arial" w:cs="Arial" w:eastAsia="Arial" w:hAnsi="Arial"/>
                <w:sz w:val="18"/>
                <w:szCs w:val="18"/>
                <w:color w:val="auto"/>
              </w:rPr>
              <w:t>Additions</w:t>
            </w:r>
          </w:p>
        </w:tc>
        <w:tc>
          <w:tcPr>
            <w:tcW w:w="20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3,626,000</w:t>
            </w:r>
          </w:p>
        </w:tc>
        <w:tc>
          <w:tcPr>
            <w:tcW w:w="340" w:type="dxa"/>
            <w:vAlign w:val="bottom"/>
          </w:tcPr>
          <w:p>
            <w:pPr>
              <w:spacing w:after="0"/>
              <w:rPr>
                <w:sz w:val="18"/>
                <w:szCs w:val="18"/>
                <w:color w:val="auto"/>
              </w:rPr>
            </w:pPr>
          </w:p>
        </w:tc>
        <w:tc>
          <w:tcPr>
            <w:tcW w:w="2040" w:type="dxa"/>
            <w:vAlign w:val="bottom"/>
            <w:gridSpan w:val="2"/>
          </w:tcPr>
          <w:p>
            <w:pPr>
              <w:jc w:val="right"/>
              <w:ind w:right="100"/>
              <w:spacing w:after="0"/>
              <w:rPr>
                <w:sz w:val="20"/>
                <w:szCs w:val="20"/>
                <w:color w:val="auto"/>
              </w:rPr>
            </w:pPr>
            <w:r>
              <w:rPr>
                <w:rFonts w:ascii="Arial" w:cs="Arial" w:eastAsia="Arial" w:hAnsi="Arial"/>
                <w:sz w:val="18"/>
                <w:szCs w:val="18"/>
                <w:color w:val="auto"/>
              </w:rPr>
              <w:t>11,036</w:t>
            </w:r>
          </w:p>
        </w:tc>
        <w:tc>
          <w:tcPr>
            <w:tcW w:w="0" w:type="dxa"/>
            <w:vAlign w:val="bottom"/>
          </w:tcPr>
          <w:p>
            <w:pPr>
              <w:spacing w:after="0"/>
              <w:rPr>
                <w:sz w:val="1"/>
                <w:szCs w:val="1"/>
                <w:color w:val="auto"/>
              </w:rPr>
            </w:pPr>
          </w:p>
        </w:tc>
      </w:tr>
      <w:tr>
        <w:trPr>
          <w:trHeight w:val="216"/>
        </w:trPr>
        <w:tc>
          <w:tcPr>
            <w:tcW w:w="5040" w:type="dxa"/>
            <w:vAlign w:val="bottom"/>
            <w:shd w:val="clear" w:color="auto" w:fill="EAF9E8"/>
          </w:tcPr>
          <w:p>
            <w:pPr>
              <w:ind w:left="160"/>
              <w:spacing w:after="0"/>
              <w:rPr>
                <w:sz w:val="20"/>
                <w:szCs w:val="20"/>
                <w:color w:val="auto"/>
              </w:rPr>
            </w:pPr>
            <w:r>
              <w:rPr>
                <w:rFonts w:ascii="Arial" w:cs="Arial" w:eastAsia="Arial" w:hAnsi="Arial"/>
                <w:sz w:val="18"/>
                <w:szCs w:val="18"/>
                <w:color w:val="auto"/>
              </w:rPr>
              <w:t>Runoff</w:t>
            </w:r>
          </w:p>
        </w:tc>
        <w:tc>
          <w:tcPr>
            <w:tcW w:w="2060" w:type="dxa"/>
            <w:vAlign w:val="bottom"/>
            <w:shd w:val="clear" w:color="auto" w:fill="EAF9E8"/>
          </w:tcPr>
          <w:p>
            <w:pPr>
              <w:spacing w:after="0"/>
              <w:rPr>
                <w:sz w:val="18"/>
                <w:szCs w:val="18"/>
                <w:color w:val="auto"/>
              </w:rPr>
            </w:pPr>
          </w:p>
        </w:tc>
        <w:tc>
          <w:tcPr>
            <w:tcW w:w="380" w:type="dxa"/>
            <w:vAlign w:val="bottom"/>
            <w:shd w:val="clear" w:color="auto" w:fill="EAF9E8"/>
          </w:tcPr>
          <w:p>
            <w:pPr>
              <w:spacing w:after="0"/>
              <w:rPr>
                <w:sz w:val="18"/>
                <w:szCs w:val="18"/>
                <w:color w:val="auto"/>
              </w:rPr>
            </w:pPr>
          </w:p>
        </w:tc>
        <w:tc>
          <w:tcPr>
            <w:tcW w:w="190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rPr>
              <w:t>(3,008,397)</w:t>
            </w:r>
          </w:p>
        </w:tc>
        <w:tc>
          <w:tcPr>
            <w:tcW w:w="204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(29,451)</w:t>
            </w:r>
          </w:p>
        </w:tc>
        <w:tc>
          <w:tcPr>
            <w:tcW w:w="0" w:type="dxa"/>
            <w:vAlign w:val="bottom"/>
          </w:tcPr>
          <w:p>
            <w:pPr>
              <w:spacing w:after="0"/>
              <w:rPr>
                <w:sz w:val="1"/>
                <w:szCs w:val="1"/>
                <w:color w:val="auto"/>
              </w:rPr>
            </w:pPr>
          </w:p>
        </w:tc>
      </w:tr>
      <w:tr>
        <w:trPr>
          <w:trHeight w:val="243"/>
        </w:trPr>
        <w:tc>
          <w:tcPr>
            <w:tcW w:w="5040" w:type="dxa"/>
            <w:vAlign w:val="bottom"/>
            <w:vMerge w:val="restart"/>
          </w:tcPr>
          <w:p>
            <w:pPr>
              <w:spacing w:after="0"/>
              <w:rPr>
                <w:sz w:val="20"/>
                <w:szCs w:val="20"/>
                <w:color w:val="auto"/>
              </w:rPr>
            </w:pPr>
            <w:r>
              <w:rPr>
                <w:rFonts w:ascii="Arial" w:cs="Arial" w:eastAsia="Arial" w:hAnsi="Arial"/>
                <w:sz w:val="18"/>
                <w:szCs w:val="18"/>
                <w:color w:val="auto"/>
              </w:rPr>
              <w:t>Servicing portfolio at March 31, 2009</w:t>
            </w:r>
          </w:p>
        </w:tc>
        <w:tc>
          <w:tcPr>
            <w:tcW w:w="2440" w:type="dxa"/>
            <w:vAlign w:val="bottom"/>
            <w:gridSpan w:val="2"/>
          </w:tcPr>
          <w:p>
            <w:pPr>
              <w:spacing w:after="0"/>
              <w:rPr>
                <w:sz w:val="21"/>
                <w:szCs w:val="21"/>
                <w:color w:val="auto"/>
              </w:rPr>
            </w:pPr>
          </w:p>
        </w:tc>
        <w:tc>
          <w:tcPr>
            <w:tcW w:w="15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40" w:type="dxa"/>
            <w:vAlign w:val="bottom"/>
            <w:gridSpan w:val="2"/>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5040" w:type="dxa"/>
            <w:vAlign w:val="bottom"/>
            <w:vMerge w:val="continue"/>
          </w:tcPr>
          <w:p>
            <w:pPr>
              <w:spacing w:after="0"/>
              <w:rPr>
                <w:sz w:val="18"/>
                <w:szCs w:val="18"/>
                <w:color w:val="auto"/>
              </w:rPr>
            </w:pPr>
          </w:p>
        </w:tc>
        <w:tc>
          <w:tcPr>
            <w:tcW w:w="2060" w:type="dxa"/>
            <w:vAlign w:val="bottom"/>
          </w:tcPr>
          <w:p>
            <w:pPr>
              <w:spacing w:after="0"/>
              <w:rPr>
                <w:sz w:val="18"/>
                <w:szCs w:val="18"/>
                <w:color w:val="auto"/>
              </w:rPr>
            </w:pPr>
          </w:p>
        </w:tc>
        <w:tc>
          <w:tcPr>
            <w:tcW w:w="380" w:type="dxa"/>
            <w:vAlign w:val="bottom"/>
            <w:tcBorders>
              <w:top w:val="single" w:sz="8" w:color="auto"/>
            </w:tcBorders>
          </w:tcPr>
          <w:p>
            <w:pPr>
              <w:jc w:val="right"/>
              <w:ind w:right="223"/>
              <w:spacing w:after="0"/>
              <w:rPr>
                <w:sz w:val="20"/>
                <w:szCs w:val="20"/>
                <w:color w:val="auto"/>
              </w:rPr>
            </w:pPr>
            <w:r>
              <w:rPr>
                <w:rFonts w:ascii="Arial" w:cs="Arial" w:eastAsia="Arial" w:hAnsi="Arial"/>
                <w:sz w:val="15"/>
                <w:szCs w:val="15"/>
                <w:color w:val="auto"/>
                <w:w w:val="71"/>
              </w:rPr>
              <w:t>$</w:t>
            </w: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40,789,135</w:t>
            </w:r>
          </w:p>
        </w:tc>
        <w:tc>
          <w:tcPr>
            <w:tcW w:w="340" w:type="dxa"/>
            <w:vAlign w:val="bottom"/>
          </w:tcPr>
          <w:p>
            <w:pPr>
              <w:spacing w:after="0"/>
              <w:rPr>
                <w:sz w:val="18"/>
                <w:szCs w:val="18"/>
                <w:color w:val="auto"/>
              </w:rPr>
            </w:pPr>
          </w:p>
        </w:tc>
        <w:tc>
          <w:tcPr>
            <w:tcW w:w="1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304,100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4507230</wp:posOffset>
            </wp:positionH>
            <wp:positionV relativeFrom="paragraph">
              <wp:posOffset>150495</wp:posOffset>
            </wp:positionV>
            <wp:extent cx="2675890"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675890" cy="26035"/>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jc w:val="both"/>
        <w:ind w:firstLine="471"/>
        <w:spacing w:after="0" w:line="289" w:lineRule="auto"/>
        <w:rPr>
          <w:sz w:val="20"/>
          <w:szCs w:val="20"/>
          <w:color w:val="auto"/>
        </w:rPr>
      </w:pPr>
      <w:r>
        <w:rPr>
          <w:rFonts w:ascii="Arial" w:cs="Arial" w:eastAsia="Arial" w:hAnsi="Arial"/>
          <w:sz w:val="16"/>
          <w:szCs w:val="16"/>
          <w:color w:val="auto"/>
        </w:rPr>
        <w:t>Additions primarily represent servicing purchased from the owners of the mortgages and servicing obtained by entering into subservicing agreements with other entities that own the MSRs. MSR runoff primarily results from principal repayments on loans and sales of real estate. The market for the acquisition of servicing rights to newly originated subprime mortgage loans slowed significantly in the latter part of 2007. Since then, servicing transactions have consisted mostly of trades of seasoned portfolios. Because of the turmoil in the credit markets, we have been cautious in our acquisition of MSRs, and we did not make any significant additions to our residential servicing portfolio during 2008. In the longer term, our continued growth and success in the Servicing business is in part dependent on our ability to acquire MSRs at an appropriate price. As a result, we will continue to selectively pursue opportunities for additional servicing and subservicing business. We are optimistic about our prospects for maintaining our scale and growing the Servicing business over time based on our expected ability to act on opportunities we see in the market.</w:t>
      </w:r>
    </w:p>
    <w:p>
      <w:pPr>
        <w:sectPr>
          <w:pgSz w:w="11900" w:h="16838" w:orient="portrait"/>
          <w:cols w:equalWidth="0" w:num="1">
            <w:col w:w="11420"/>
          </w:cols>
          <w:pgMar w:left="240" w:top="131" w:right="239" w:bottom="0" w:gutter="0" w:footer="0" w:header="0"/>
        </w:sectPr>
      </w:pP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ectPr>
          <w:pgSz w:w="11900" w:h="16838" w:orient="portrait"/>
          <w:cols w:equalWidth="0" w:num="1">
            <w:col w:w="11420"/>
          </w:cols>
          <w:pgMar w:left="240" w:top="131" w:right="239" w:bottom="0" w:gutter="0" w:footer="0" w:header="0"/>
          <w:type w:val="continuous"/>
        </w:sectPr>
      </w:pPr>
    </w:p>
    <w:bookmarkStart w:id="39" w:name="page40"/>
    <w:bookmarkEnd w:id="3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190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19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jc w:val="both"/>
        <w:ind w:firstLine="639"/>
        <w:spacing w:after="0" w:line="255" w:lineRule="auto"/>
        <w:rPr>
          <w:sz w:val="20"/>
          <w:szCs w:val="20"/>
          <w:color w:val="auto"/>
        </w:rPr>
      </w:pPr>
      <w:r>
        <w:rPr>
          <w:rFonts w:ascii="Arial" w:cs="Arial" w:eastAsia="Arial" w:hAnsi="Arial"/>
          <w:sz w:val="18"/>
          <w:szCs w:val="18"/>
          <w:color w:val="auto"/>
        </w:rPr>
        <w:t>In addition to acting as servicer and subservicer, we have entered into backup servicing agreements with two large financial institutions. As backup servicer, we have agreed to accept the servicing responsibilities on up to $40,000,000 of mortgage loans in the event that the primary servicer is terminated. As back up servicer, we are entitled to all servicing compensation to which the terminated servicer would have been entitled. We are not required to fund the delinquency or servicer advance obligations or the compensating interest obligations on the loans that we accept. As of March 31, 2009, we were not servicing any loans under these agreements.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60" w:type="dxa"/>
            <w:vAlign w:val="bottom"/>
            <w:gridSpan w:val="2"/>
          </w:tcPr>
          <w:p>
            <w:pPr>
              <w:spacing w:after="0"/>
              <w:rPr>
                <w:sz w:val="20"/>
                <w:szCs w:val="20"/>
                <w:color w:val="auto"/>
              </w:rPr>
            </w:pPr>
            <w:r>
              <w:rPr>
                <w:rFonts w:ascii="Arial" w:cs="Arial" w:eastAsia="Arial" w:hAnsi="Arial"/>
                <w:sz w:val="18"/>
                <w:szCs w:val="18"/>
                <w:color w:val="auto"/>
              </w:rPr>
              <w:t>Comparative selected balance sheet data is as follows:</w:t>
            </w:r>
          </w:p>
        </w:tc>
        <w:tc>
          <w:tcPr>
            <w:tcW w:w="1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64"/>
        </w:trPr>
        <w:tc>
          <w:tcPr>
            <w:tcW w:w="3760" w:type="dxa"/>
            <w:vAlign w:val="bottom"/>
            <w:tcBorders>
              <w:top w:val="single" w:sz="8" w:color="auto"/>
            </w:tcBorders>
          </w:tcPr>
          <w:p>
            <w:pPr>
              <w:spacing w:after="0"/>
              <w:rPr>
                <w:sz w:val="24"/>
                <w:szCs w:val="24"/>
                <w:color w:val="auto"/>
              </w:rPr>
            </w:pPr>
          </w:p>
        </w:tc>
        <w:tc>
          <w:tcPr>
            <w:tcW w:w="17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00" w:type="dxa"/>
            <w:vAlign w:val="bottom"/>
          </w:tcPr>
          <w:p>
            <w:pPr>
              <w:jc w:val="right"/>
              <w:ind w:right="332"/>
              <w:spacing w:after="0"/>
              <w:rPr>
                <w:sz w:val="20"/>
                <w:szCs w:val="20"/>
                <w:color w:val="auto"/>
              </w:rPr>
            </w:pPr>
            <w:r>
              <w:rPr>
                <w:rFonts w:ascii="Arial" w:cs="Arial" w:eastAsia="Arial" w:hAnsi="Arial"/>
                <w:sz w:val="18"/>
                <w:szCs w:val="18"/>
                <w:color w:val="auto"/>
              </w:rPr>
              <w:t>March 31, 2009</w:t>
            </w: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60" w:type="dxa"/>
            <w:vAlign w:val="bottom"/>
            <w:gridSpan w:val="2"/>
          </w:tcPr>
          <w:p>
            <w:pPr>
              <w:ind w:left="100"/>
              <w:spacing w:after="0"/>
              <w:rPr>
                <w:sz w:val="20"/>
                <w:szCs w:val="20"/>
                <w:color w:val="auto"/>
              </w:rPr>
            </w:pPr>
            <w:r>
              <w:rPr>
                <w:rFonts w:ascii="Arial" w:cs="Arial" w:eastAsia="Arial" w:hAnsi="Arial"/>
                <w:sz w:val="18"/>
                <w:szCs w:val="18"/>
                <w:color w:val="auto"/>
              </w:rPr>
              <w:t>December 31, 2008</w:t>
            </w:r>
          </w:p>
        </w:tc>
        <w:tc>
          <w:tcPr>
            <w:tcW w:w="0" w:type="dxa"/>
            <w:vAlign w:val="bottom"/>
          </w:tcPr>
          <w:p>
            <w:pPr>
              <w:spacing w:after="0"/>
              <w:rPr>
                <w:sz w:val="1"/>
                <w:szCs w:val="1"/>
                <w:color w:val="auto"/>
              </w:rPr>
            </w:pPr>
          </w:p>
        </w:tc>
      </w:tr>
      <w:tr>
        <w:trPr>
          <w:trHeight w:val="245"/>
        </w:trPr>
        <w:tc>
          <w:tcPr>
            <w:tcW w:w="376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880" w:type="dxa"/>
            <w:vAlign w:val="bottom"/>
            <w:gridSpan w:val="2"/>
          </w:tcPr>
          <w:p>
            <w:pPr>
              <w:spacing w:after="0"/>
              <w:rPr>
                <w:sz w:val="21"/>
                <w:szCs w:val="21"/>
                <w:color w:val="auto"/>
              </w:rPr>
            </w:pPr>
          </w:p>
        </w:tc>
        <w:tc>
          <w:tcPr>
            <w:tcW w:w="17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546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Advances</w:t>
            </w:r>
          </w:p>
        </w:tc>
        <w:tc>
          <w:tcPr>
            <w:tcW w:w="1640" w:type="dxa"/>
            <w:vAlign w:val="bottom"/>
            <w:shd w:val="clear" w:color="auto" w:fill="EAF9E8"/>
          </w:tcPr>
          <w:p>
            <w:pPr>
              <w:spacing w:after="0"/>
              <w:rPr>
                <w:sz w:val="18"/>
                <w:szCs w:val="18"/>
                <w:color w:val="auto"/>
              </w:rPr>
            </w:pPr>
          </w:p>
        </w:tc>
        <w:tc>
          <w:tcPr>
            <w:tcW w:w="240" w:type="dxa"/>
            <w:vAlign w:val="bottom"/>
            <w:tcBorders>
              <w:top w:val="single" w:sz="8" w:color="auto"/>
            </w:tcBorders>
            <w:shd w:val="clear" w:color="auto" w:fill="EAF9E8"/>
          </w:tcPr>
          <w:p>
            <w:pPr>
              <w:jc w:val="right"/>
              <w:ind w:right="83"/>
              <w:spacing w:after="0"/>
              <w:rPr>
                <w:sz w:val="20"/>
                <w:szCs w:val="20"/>
                <w:color w:val="auto"/>
              </w:rPr>
            </w:pPr>
            <w:r>
              <w:rPr>
                <w:rFonts w:ascii="Arial" w:cs="Arial" w:eastAsia="Arial" w:hAnsi="Arial"/>
                <w:sz w:val="15"/>
                <w:szCs w:val="15"/>
                <w:color w:val="auto"/>
                <w:w w:val="71"/>
              </w:rPr>
              <w:t>$</w:t>
            </w:r>
          </w:p>
        </w:tc>
        <w:tc>
          <w:tcPr>
            <w:tcW w:w="170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167,644</w:t>
            </w:r>
          </w:p>
        </w:tc>
        <w:tc>
          <w:tcPr>
            <w:tcW w:w="340" w:type="dxa"/>
            <w:vAlign w:val="bottom"/>
            <w:shd w:val="clear" w:color="auto" w:fill="EAF9E8"/>
          </w:tcPr>
          <w:p>
            <w:pPr>
              <w:spacing w:after="0"/>
              <w:rPr>
                <w:sz w:val="18"/>
                <w:szCs w:val="18"/>
                <w:color w:val="auto"/>
              </w:rPr>
            </w:pPr>
          </w:p>
        </w:tc>
        <w:tc>
          <w:tcPr>
            <w:tcW w:w="180" w:type="dxa"/>
            <w:vAlign w:val="bottom"/>
            <w:tcBorders>
              <w:top w:val="single" w:sz="8" w:color="auto"/>
            </w:tcBorders>
            <w:shd w:val="clear" w:color="auto" w:fill="EAF9E8"/>
          </w:tcPr>
          <w:p>
            <w:pPr>
              <w:jc w:val="right"/>
              <w:ind w:right="23"/>
              <w:spacing w:after="0"/>
              <w:rPr>
                <w:sz w:val="20"/>
                <w:szCs w:val="20"/>
                <w:color w:val="auto"/>
              </w:rPr>
            </w:pPr>
            <w:r>
              <w:rPr>
                <w:rFonts w:ascii="Arial" w:cs="Arial" w:eastAsia="Arial" w:hAnsi="Arial"/>
                <w:sz w:val="15"/>
                <w:szCs w:val="15"/>
                <w:color w:val="auto"/>
                <w:w w:val="71"/>
              </w:rPr>
              <w:t>$</w:t>
            </w:r>
          </w:p>
        </w:tc>
        <w:tc>
          <w:tcPr>
            <w:tcW w:w="176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97,098</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gridSpan w:val="2"/>
          </w:tcPr>
          <w:p>
            <w:pPr>
              <w:spacing w:after="0"/>
              <w:rPr>
                <w:sz w:val="20"/>
                <w:szCs w:val="20"/>
                <w:color w:val="auto"/>
              </w:rPr>
            </w:pPr>
            <w:r>
              <w:rPr>
                <w:rFonts w:ascii="Arial" w:cs="Arial" w:eastAsia="Arial" w:hAnsi="Arial"/>
                <w:sz w:val="18"/>
                <w:szCs w:val="18"/>
                <w:color w:val="auto"/>
              </w:rPr>
              <w:t>Match funded advances</w:t>
            </w:r>
          </w:p>
        </w:tc>
        <w:tc>
          <w:tcPr>
            <w:tcW w:w="1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881,244</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60" w:type="dxa"/>
            <w:vAlign w:val="bottom"/>
            <w:gridSpan w:val="2"/>
          </w:tcPr>
          <w:p>
            <w:pPr>
              <w:jc w:val="right"/>
              <w:ind w:right="100"/>
              <w:spacing w:after="0"/>
              <w:rPr>
                <w:sz w:val="20"/>
                <w:szCs w:val="20"/>
                <w:color w:val="auto"/>
              </w:rPr>
            </w:pPr>
            <w:r>
              <w:rPr>
                <w:rFonts w:ascii="Arial" w:cs="Arial" w:eastAsia="Arial" w:hAnsi="Arial"/>
                <w:sz w:val="18"/>
                <w:szCs w:val="18"/>
                <w:color w:val="auto"/>
              </w:rPr>
              <w:t>1,100,555</w:t>
            </w:r>
          </w:p>
        </w:tc>
        <w:tc>
          <w:tcPr>
            <w:tcW w:w="0" w:type="dxa"/>
            <w:vAlign w:val="bottom"/>
          </w:tcPr>
          <w:p>
            <w:pPr>
              <w:spacing w:after="0"/>
              <w:rPr>
                <w:sz w:val="1"/>
                <w:szCs w:val="1"/>
                <w:color w:val="auto"/>
              </w:rPr>
            </w:pPr>
          </w:p>
        </w:tc>
      </w:tr>
      <w:tr>
        <w:trPr>
          <w:trHeight w:val="216"/>
        </w:trPr>
        <w:tc>
          <w:tcPr>
            <w:tcW w:w="546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Mortgage servicing rights (Residential)</w:t>
            </w:r>
          </w:p>
        </w:tc>
        <w:tc>
          <w:tcPr>
            <w:tcW w:w="164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17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140,603</w:t>
            </w:r>
          </w:p>
        </w:tc>
        <w:tc>
          <w:tcPr>
            <w:tcW w:w="34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86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139,500</w:t>
            </w:r>
          </w:p>
        </w:tc>
        <w:tc>
          <w:tcPr>
            <w:tcW w:w="0" w:type="dxa"/>
            <w:vAlign w:val="bottom"/>
          </w:tcPr>
          <w:p>
            <w:pPr>
              <w:spacing w:after="0"/>
              <w:rPr>
                <w:sz w:val="1"/>
                <w:szCs w:val="1"/>
                <w:color w:val="auto"/>
              </w:rPr>
            </w:pPr>
          </w:p>
        </w:tc>
      </w:tr>
      <w:tr>
        <w:trPr>
          <w:trHeight w:val="216"/>
        </w:trPr>
        <w:tc>
          <w:tcPr>
            <w:tcW w:w="5460" w:type="dxa"/>
            <w:vAlign w:val="bottom"/>
            <w:gridSpan w:val="2"/>
          </w:tcPr>
          <w:p>
            <w:pPr>
              <w:spacing w:after="0"/>
              <w:rPr>
                <w:sz w:val="20"/>
                <w:szCs w:val="20"/>
                <w:color w:val="auto"/>
              </w:rPr>
            </w:pPr>
            <w:r>
              <w:rPr>
                <w:rFonts w:ascii="Arial" w:cs="Arial" w:eastAsia="Arial" w:hAnsi="Arial"/>
                <w:sz w:val="18"/>
                <w:szCs w:val="18"/>
                <w:color w:val="auto"/>
              </w:rPr>
              <w:t>Receivables</w:t>
            </w:r>
          </w:p>
        </w:tc>
        <w:tc>
          <w:tcPr>
            <w:tcW w:w="1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15,343</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60" w:type="dxa"/>
            <w:vAlign w:val="bottom"/>
            <w:gridSpan w:val="2"/>
          </w:tcPr>
          <w:p>
            <w:pPr>
              <w:jc w:val="right"/>
              <w:ind w:right="100"/>
              <w:spacing w:after="0"/>
              <w:rPr>
                <w:sz w:val="20"/>
                <w:szCs w:val="20"/>
                <w:color w:val="auto"/>
              </w:rPr>
            </w:pPr>
            <w:r>
              <w:rPr>
                <w:rFonts w:ascii="Arial" w:cs="Arial" w:eastAsia="Arial" w:hAnsi="Arial"/>
                <w:sz w:val="18"/>
                <w:szCs w:val="18"/>
                <w:color w:val="auto"/>
              </w:rPr>
              <w:t>7,936</w:t>
            </w:r>
          </w:p>
        </w:tc>
        <w:tc>
          <w:tcPr>
            <w:tcW w:w="0" w:type="dxa"/>
            <w:vAlign w:val="bottom"/>
          </w:tcPr>
          <w:p>
            <w:pPr>
              <w:spacing w:after="0"/>
              <w:rPr>
                <w:sz w:val="1"/>
                <w:szCs w:val="1"/>
                <w:color w:val="auto"/>
              </w:rPr>
            </w:pPr>
          </w:p>
        </w:tc>
      </w:tr>
      <w:tr>
        <w:trPr>
          <w:trHeight w:val="216"/>
        </w:trPr>
        <w:tc>
          <w:tcPr>
            <w:tcW w:w="546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Debt service accounts</w:t>
            </w:r>
          </w:p>
        </w:tc>
        <w:tc>
          <w:tcPr>
            <w:tcW w:w="164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17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58,440</w:t>
            </w:r>
          </w:p>
        </w:tc>
        <w:tc>
          <w:tcPr>
            <w:tcW w:w="34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86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58,468</w:t>
            </w:r>
          </w:p>
        </w:tc>
        <w:tc>
          <w:tcPr>
            <w:tcW w:w="0" w:type="dxa"/>
            <w:vAlign w:val="bottom"/>
          </w:tcPr>
          <w:p>
            <w:pPr>
              <w:spacing w:after="0"/>
              <w:rPr>
                <w:sz w:val="1"/>
                <w:szCs w:val="1"/>
                <w:color w:val="auto"/>
              </w:rPr>
            </w:pPr>
          </w:p>
        </w:tc>
      </w:tr>
      <w:tr>
        <w:trPr>
          <w:trHeight w:val="222"/>
        </w:trPr>
        <w:tc>
          <w:tcPr>
            <w:tcW w:w="5460" w:type="dxa"/>
            <w:vAlign w:val="bottom"/>
            <w:gridSpan w:val="2"/>
          </w:tcPr>
          <w:p>
            <w:pPr>
              <w:spacing w:after="0"/>
              <w:rPr>
                <w:sz w:val="20"/>
                <w:szCs w:val="20"/>
                <w:color w:val="auto"/>
              </w:rPr>
            </w:pPr>
            <w:r>
              <w:rPr>
                <w:rFonts w:ascii="Arial" w:cs="Arial" w:eastAsia="Arial" w:hAnsi="Arial"/>
                <w:sz w:val="18"/>
                <w:szCs w:val="18"/>
                <w:color w:val="auto"/>
              </w:rPr>
              <w:t>Other</w:t>
            </w:r>
          </w:p>
        </w:tc>
        <w:tc>
          <w:tcPr>
            <w:tcW w:w="1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15,860</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60" w:type="dxa"/>
            <w:vAlign w:val="bottom"/>
            <w:gridSpan w:val="2"/>
          </w:tcPr>
          <w:p>
            <w:pPr>
              <w:jc w:val="right"/>
              <w:ind w:right="100"/>
              <w:spacing w:after="0"/>
              <w:rPr>
                <w:sz w:val="20"/>
                <w:szCs w:val="20"/>
                <w:color w:val="auto"/>
              </w:rPr>
            </w:pPr>
            <w:r>
              <w:rPr>
                <w:rFonts w:ascii="Arial" w:cs="Arial" w:eastAsia="Arial" w:hAnsi="Arial"/>
                <w:sz w:val="18"/>
                <w:szCs w:val="18"/>
                <w:color w:val="auto"/>
              </w:rPr>
              <w:t>13,058</w:t>
            </w:r>
          </w:p>
        </w:tc>
        <w:tc>
          <w:tcPr>
            <w:tcW w:w="0" w:type="dxa"/>
            <w:vAlign w:val="bottom"/>
          </w:tcPr>
          <w:p>
            <w:pPr>
              <w:spacing w:after="0"/>
              <w:rPr>
                <w:sz w:val="1"/>
                <w:szCs w:val="1"/>
                <w:color w:val="auto"/>
              </w:rPr>
            </w:pPr>
          </w:p>
        </w:tc>
      </w:tr>
      <w:tr>
        <w:trPr>
          <w:trHeight w:val="237"/>
        </w:trPr>
        <w:tc>
          <w:tcPr>
            <w:tcW w:w="376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880" w:type="dxa"/>
            <w:vAlign w:val="bottom"/>
            <w:gridSpan w:val="2"/>
          </w:tcPr>
          <w:p>
            <w:pPr>
              <w:spacing w:after="0"/>
              <w:rPr>
                <w:sz w:val="20"/>
                <w:szCs w:val="20"/>
                <w:color w:val="auto"/>
              </w:rPr>
            </w:pPr>
          </w:p>
        </w:tc>
        <w:tc>
          <w:tcPr>
            <w:tcW w:w="1700" w:type="dxa"/>
            <w:vAlign w:val="bottom"/>
          </w:tcPr>
          <w:p>
            <w:pPr>
              <w:spacing w:after="0"/>
              <w:rPr>
                <w:sz w:val="20"/>
                <w:szCs w:val="20"/>
                <w:color w:val="auto"/>
              </w:rPr>
            </w:pPr>
          </w:p>
        </w:tc>
        <w:tc>
          <w:tcPr>
            <w:tcW w:w="520" w:type="dxa"/>
            <w:vAlign w:val="bottom"/>
            <w:gridSpan w:val="2"/>
          </w:tcPr>
          <w:p>
            <w:pPr>
              <w:spacing w:after="0"/>
              <w:rPr>
                <w:sz w:val="20"/>
                <w:szCs w:val="20"/>
                <w:color w:val="auto"/>
              </w:rPr>
            </w:pPr>
          </w:p>
        </w:tc>
        <w:tc>
          <w:tcPr>
            <w:tcW w:w="186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460" w:type="dxa"/>
            <w:vAlign w:val="bottom"/>
            <w:gridSpan w:val="2"/>
            <w:shd w:val="clear" w:color="auto" w:fill="EAF9E8"/>
          </w:tcPr>
          <w:p>
            <w:pPr>
              <w:ind w:left="160"/>
              <w:spacing w:after="0"/>
              <w:rPr>
                <w:sz w:val="20"/>
                <w:szCs w:val="20"/>
                <w:color w:val="auto"/>
              </w:rPr>
            </w:pPr>
            <w:r>
              <w:rPr>
                <w:rFonts w:ascii="Arial" w:cs="Arial" w:eastAsia="Arial" w:hAnsi="Arial"/>
                <w:sz w:val="18"/>
                <w:szCs w:val="18"/>
                <w:color w:val="auto"/>
              </w:rPr>
              <w:t>Total assets</w:t>
            </w:r>
          </w:p>
        </w:tc>
        <w:tc>
          <w:tcPr>
            <w:tcW w:w="1640" w:type="dxa"/>
            <w:vAlign w:val="bottom"/>
            <w:shd w:val="clear" w:color="auto" w:fill="EAF9E8"/>
          </w:tcPr>
          <w:p>
            <w:pPr>
              <w:spacing w:after="0"/>
              <w:rPr>
                <w:sz w:val="18"/>
                <w:szCs w:val="18"/>
                <w:color w:val="auto"/>
              </w:rPr>
            </w:pPr>
          </w:p>
        </w:tc>
        <w:tc>
          <w:tcPr>
            <w:tcW w:w="240" w:type="dxa"/>
            <w:vAlign w:val="bottom"/>
            <w:tcBorders>
              <w:top w:val="single" w:sz="8" w:color="auto"/>
            </w:tcBorders>
            <w:shd w:val="clear" w:color="auto" w:fill="EAF9E8"/>
          </w:tcPr>
          <w:p>
            <w:pPr>
              <w:jc w:val="right"/>
              <w:ind w:right="83"/>
              <w:spacing w:after="0"/>
              <w:rPr>
                <w:sz w:val="20"/>
                <w:szCs w:val="20"/>
                <w:color w:val="auto"/>
              </w:rPr>
            </w:pPr>
            <w:r>
              <w:rPr>
                <w:rFonts w:ascii="Arial" w:cs="Arial" w:eastAsia="Arial" w:hAnsi="Arial"/>
                <w:sz w:val="15"/>
                <w:szCs w:val="15"/>
                <w:color w:val="auto"/>
                <w:w w:val="71"/>
              </w:rPr>
              <w:t>$</w:t>
            </w:r>
          </w:p>
        </w:tc>
        <w:tc>
          <w:tcPr>
            <w:tcW w:w="170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1,279,134</w:t>
            </w:r>
          </w:p>
        </w:tc>
        <w:tc>
          <w:tcPr>
            <w:tcW w:w="340" w:type="dxa"/>
            <w:vAlign w:val="bottom"/>
            <w:shd w:val="clear" w:color="auto" w:fill="EAF9E8"/>
          </w:tcPr>
          <w:p>
            <w:pPr>
              <w:spacing w:after="0"/>
              <w:rPr>
                <w:sz w:val="18"/>
                <w:szCs w:val="18"/>
                <w:color w:val="auto"/>
              </w:rPr>
            </w:pPr>
          </w:p>
        </w:tc>
        <w:tc>
          <w:tcPr>
            <w:tcW w:w="180" w:type="dxa"/>
            <w:vAlign w:val="bottom"/>
            <w:tcBorders>
              <w:top w:val="single" w:sz="8" w:color="auto"/>
            </w:tcBorders>
            <w:shd w:val="clear" w:color="auto" w:fill="EAF9E8"/>
          </w:tcPr>
          <w:p>
            <w:pPr>
              <w:jc w:val="right"/>
              <w:ind w:right="23"/>
              <w:spacing w:after="0"/>
              <w:rPr>
                <w:sz w:val="20"/>
                <w:szCs w:val="20"/>
                <w:color w:val="auto"/>
              </w:rPr>
            </w:pPr>
            <w:r>
              <w:rPr>
                <w:rFonts w:ascii="Arial" w:cs="Arial" w:eastAsia="Arial" w:hAnsi="Arial"/>
                <w:sz w:val="15"/>
                <w:szCs w:val="15"/>
                <w:color w:val="auto"/>
                <w:w w:val="71"/>
              </w:rPr>
              <w:t>$</w:t>
            </w:r>
          </w:p>
        </w:tc>
        <w:tc>
          <w:tcPr>
            <w:tcW w:w="176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1,416,615</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76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700" w:type="dxa"/>
            <w:vAlign w:val="bottom"/>
            <w:tcBorders>
              <w:bottom w:val="single" w:sz="8" w:color="auto"/>
            </w:tcBorders>
          </w:tcPr>
          <w:p>
            <w:pPr>
              <w:spacing w:after="0"/>
              <w:rPr>
                <w:sz w:val="21"/>
                <w:szCs w:val="21"/>
                <w:color w:val="auto"/>
              </w:rPr>
            </w:pPr>
          </w:p>
        </w:tc>
        <w:tc>
          <w:tcPr>
            <w:tcW w:w="34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7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3"/>
        </w:trPr>
        <w:tc>
          <w:tcPr>
            <w:tcW w:w="5460" w:type="dxa"/>
            <w:vAlign w:val="bottom"/>
            <w:gridSpan w:val="2"/>
          </w:tcPr>
          <w:p>
            <w:pPr>
              <w:spacing w:after="0"/>
              <w:rPr>
                <w:sz w:val="20"/>
                <w:szCs w:val="20"/>
                <w:color w:val="auto"/>
              </w:rPr>
            </w:pPr>
            <w:r>
              <w:rPr>
                <w:rFonts w:ascii="Arial" w:cs="Arial" w:eastAsia="Arial" w:hAnsi="Arial"/>
                <w:sz w:val="18"/>
                <w:szCs w:val="18"/>
                <w:color w:val="auto"/>
              </w:rPr>
              <w:t>Match funded liabilities</w:t>
            </w:r>
          </w:p>
        </w:tc>
        <w:tc>
          <w:tcPr>
            <w:tcW w:w="1880" w:type="dxa"/>
            <w:vAlign w:val="bottom"/>
            <w:gridSpan w:val="2"/>
          </w:tcPr>
          <w:p>
            <w:pPr>
              <w:jc w:val="right"/>
              <w:ind w:right="83"/>
              <w:spacing w:after="0"/>
              <w:rPr>
                <w:sz w:val="20"/>
                <w:szCs w:val="20"/>
                <w:color w:val="auto"/>
              </w:rPr>
            </w:pPr>
            <w:r>
              <w:rPr>
                <w:rFonts w:ascii="Arial" w:cs="Arial" w:eastAsia="Arial" w:hAnsi="Arial"/>
                <w:sz w:val="18"/>
                <w:szCs w:val="18"/>
                <w:color w:val="auto"/>
              </w:rPr>
              <w:t>$</w:t>
            </w:r>
          </w:p>
        </w:tc>
        <w:tc>
          <w:tcPr>
            <w:tcW w:w="1700" w:type="dxa"/>
            <w:vAlign w:val="bottom"/>
          </w:tcPr>
          <w:p>
            <w:pPr>
              <w:jc w:val="right"/>
              <w:spacing w:after="0"/>
              <w:rPr>
                <w:sz w:val="20"/>
                <w:szCs w:val="20"/>
                <w:color w:val="auto"/>
              </w:rPr>
            </w:pPr>
            <w:r>
              <w:rPr>
                <w:rFonts w:ascii="Arial" w:cs="Arial" w:eastAsia="Arial" w:hAnsi="Arial"/>
                <w:sz w:val="18"/>
                <w:szCs w:val="18"/>
                <w:color w:val="auto"/>
              </w:rPr>
              <w:t>790,300</w:t>
            </w:r>
          </w:p>
        </w:tc>
        <w:tc>
          <w:tcPr>
            <w:tcW w:w="520" w:type="dxa"/>
            <w:vAlign w:val="bottom"/>
            <w:gridSpan w:val="2"/>
          </w:tcPr>
          <w:p>
            <w:pPr>
              <w:jc w:val="right"/>
              <w:ind w:right="23"/>
              <w:spacing w:after="0"/>
              <w:rPr>
                <w:sz w:val="20"/>
                <w:szCs w:val="20"/>
                <w:color w:val="auto"/>
              </w:rPr>
            </w:pPr>
            <w:r>
              <w:rPr>
                <w:rFonts w:ascii="Arial" w:cs="Arial" w:eastAsia="Arial" w:hAnsi="Arial"/>
                <w:sz w:val="18"/>
                <w:szCs w:val="18"/>
                <w:color w:val="auto"/>
              </w:rPr>
              <w:t>$</w:t>
            </w:r>
          </w:p>
        </w:tc>
        <w:tc>
          <w:tcPr>
            <w:tcW w:w="1860" w:type="dxa"/>
            <w:vAlign w:val="bottom"/>
            <w:gridSpan w:val="2"/>
          </w:tcPr>
          <w:p>
            <w:pPr>
              <w:jc w:val="right"/>
              <w:ind w:right="100"/>
              <w:spacing w:after="0"/>
              <w:rPr>
                <w:sz w:val="20"/>
                <w:szCs w:val="20"/>
                <w:color w:val="auto"/>
              </w:rPr>
            </w:pPr>
            <w:r>
              <w:rPr>
                <w:rFonts w:ascii="Arial" w:cs="Arial" w:eastAsia="Arial" w:hAnsi="Arial"/>
                <w:sz w:val="18"/>
                <w:szCs w:val="18"/>
                <w:color w:val="auto"/>
              </w:rPr>
              <w:t>961,939</w:t>
            </w:r>
          </w:p>
        </w:tc>
        <w:tc>
          <w:tcPr>
            <w:tcW w:w="0" w:type="dxa"/>
            <w:vAlign w:val="bottom"/>
          </w:tcPr>
          <w:p>
            <w:pPr>
              <w:spacing w:after="0"/>
              <w:rPr>
                <w:sz w:val="1"/>
                <w:szCs w:val="1"/>
                <w:color w:val="auto"/>
              </w:rPr>
            </w:pPr>
          </w:p>
        </w:tc>
      </w:tr>
      <w:tr>
        <w:trPr>
          <w:trHeight w:val="218"/>
        </w:trPr>
        <w:tc>
          <w:tcPr>
            <w:tcW w:w="546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Lines of credit and other secured borrowings</w:t>
            </w:r>
          </w:p>
        </w:tc>
        <w:tc>
          <w:tcPr>
            <w:tcW w:w="164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17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129,363</w:t>
            </w:r>
          </w:p>
        </w:tc>
        <w:tc>
          <w:tcPr>
            <w:tcW w:w="34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86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97,987</w:t>
            </w:r>
          </w:p>
        </w:tc>
        <w:tc>
          <w:tcPr>
            <w:tcW w:w="0" w:type="dxa"/>
            <w:vAlign w:val="bottom"/>
          </w:tcPr>
          <w:p>
            <w:pPr>
              <w:spacing w:after="0"/>
              <w:rPr>
                <w:sz w:val="1"/>
                <w:szCs w:val="1"/>
                <w:color w:val="auto"/>
              </w:rPr>
            </w:pPr>
          </w:p>
        </w:tc>
      </w:tr>
      <w:tr>
        <w:trPr>
          <w:trHeight w:val="216"/>
        </w:trPr>
        <w:tc>
          <w:tcPr>
            <w:tcW w:w="5460" w:type="dxa"/>
            <w:vAlign w:val="bottom"/>
            <w:gridSpan w:val="2"/>
          </w:tcPr>
          <w:p>
            <w:pPr>
              <w:spacing w:after="0"/>
              <w:rPr>
                <w:sz w:val="20"/>
                <w:szCs w:val="20"/>
                <w:color w:val="auto"/>
              </w:rPr>
            </w:pPr>
            <w:r>
              <w:rPr>
                <w:rFonts w:ascii="Arial" w:cs="Arial" w:eastAsia="Arial" w:hAnsi="Arial"/>
                <w:sz w:val="18"/>
                <w:szCs w:val="18"/>
                <w:color w:val="auto"/>
              </w:rPr>
              <w:t>Servicer liabilities</w:t>
            </w:r>
          </w:p>
        </w:tc>
        <w:tc>
          <w:tcPr>
            <w:tcW w:w="1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90,262</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60" w:type="dxa"/>
            <w:vAlign w:val="bottom"/>
            <w:gridSpan w:val="2"/>
          </w:tcPr>
          <w:p>
            <w:pPr>
              <w:jc w:val="right"/>
              <w:ind w:right="100"/>
              <w:spacing w:after="0"/>
              <w:rPr>
                <w:sz w:val="20"/>
                <w:szCs w:val="20"/>
                <w:color w:val="auto"/>
              </w:rPr>
            </w:pPr>
            <w:r>
              <w:rPr>
                <w:rFonts w:ascii="Arial" w:cs="Arial" w:eastAsia="Arial" w:hAnsi="Arial"/>
                <w:sz w:val="18"/>
                <w:szCs w:val="18"/>
                <w:color w:val="auto"/>
              </w:rPr>
              <w:t>135,649</w:t>
            </w:r>
          </w:p>
        </w:tc>
        <w:tc>
          <w:tcPr>
            <w:tcW w:w="0" w:type="dxa"/>
            <w:vAlign w:val="bottom"/>
          </w:tcPr>
          <w:p>
            <w:pPr>
              <w:spacing w:after="0"/>
              <w:rPr>
                <w:sz w:val="1"/>
                <w:szCs w:val="1"/>
                <w:color w:val="auto"/>
              </w:rPr>
            </w:pPr>
          </w:p>
        </w:tc>
      </w:tr>
      <w:tr>
        <w:trPr>
          <w:trHeight w:val="216"/>
        </w:trPr>
        <w:tc>
          <w:tcPr>
            <w:tcW w:w="546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Other</w:t>
            </w:r>
          </w:p>
        </w:tc>
        <w:tc>
          <w:tcPr>
            <w:tcW w:w="164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17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37,536</w:t>
            </w:r>
          </w:p>
        </w:tc>
        <w:tc>
          <w:tcPr>
            <w:tcW w:w="34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86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23,138</w:t>
            </w:r>
          </w:p>
        </w:tc>
        <w:tc>
          <w:tcPr>
            <w:tcW w:w="0" w:type="dxa"/>
            <w:vAlign w:val="bottom"/>
          </w:tcPr>
          <w:p>
            <w:pPr>
              <w:spacing w:after="0"/>
              <w:rPr>
                <w:sz w:val="1"/>
                <w:szCs w:val="1"/>
                <w:color w:val="auto"/>
              </w:rPr>
            </w:pPr>
          </w:p>
        </w:tc>
      </w:tr>
      <w:tr>
        <w:trPr>
          <w:trHeight w:val="243"/>
        </w:trPr>
        <w:tc>
          <w:tcPr>
            <w:tcW w:w="5460" w:type="dxa"/>
            <w:vAlign w:val="bottom"/>
            <w:gridSpan w:val="2"/>
            <w:vMerge w:val="restart"/>
          </w:tcPr>
          <w:p>
            <w:pPr>
              <w:ind w:left="160"/>
              <w:spacing w:after="0"/>
              <w:rPr>
                <w:sz w:val="20"/>
                <w:szCs w:val="20"/>
                <w:color w:val="auto"/>
              </w:rPr>
            </w:pPr>
            <w:r>
              <w:rPr>
                <w:rFonts w:ascii="Arial" w:cs="Arial" w:eastAsia="Arial" w:hAnsi="Arial"/>
                <w:sz w:val="18"/>
                <w:szCs w:val="18"/>
                <w:color w:val="auto"/>
              </w:rPr>
              <w:t>Total liabilities</w:t>
            </w:r>
          </w:p>
        </w:tc>
        <w:tc>
          <w:tcPr>
            <w:tcW w:w="1880" w:type="dxa"/>
            <w:vAlign w:val="bottom"/>
            <w:gridSpan w:val="2"/>
          </w:tcPr>
          <w:p>
            <w:pPr>
              <w:spacing w:after="0"/>
              <w:rPr>
                <w:sz w:val="21"/>
                <w:szCs w:val="21"/>
                <w:color w:val="auto"/>
              </w:rPr>
            </w:pPr>
          </w:p>
        </w:tc>
        <w:tc>
          <w:tcPr>
            <w:tcW w:w="1700" w:type="dxa"/>
            <w:vAlign w:val="bottom"/>
          </w:tcPr>
          <w:p>
            <w:pPr>
              <w:spacing w:after="0"/>
              <w:rPr>
                <w:sz w:val="21"/>
                <w:szCs w:val="21"/>
                <w:color w:val="auto"/>
              </w:rPr>
            </w:pPr>
          </w:p>
        </w:tc>
        <w:tc>
          <w:tcPr>
            <w:tcW w:w="520" w:type="dxa"/>
            <w:vAlign w:val="bottom"/>
            <w:gridSpan w:val="2"/>
          </w:tcPr>
          <w:p>
            <w:pPr>
              <w:spacing w:after="0"/>
              <w:rPr>
                <w:sz w:val="21"/>
                <w:szCs w:val="21"/>
                <w:color w:val="auto"/>
              </w:rPr>
            </w:pPr>
          </w:p>
        </w:tc>
        <w:tc>
          <w:tcPr>
            <w:tcW w:w="1860" w:type="dxa"/>
            <w:vAlign w:val="bottom"/>
            <w:gridSpan w:val="2"/>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5460" w:type="dxa"/>
            <w:vAlign w:val="bottom"/>
            <w:gridSpan w:val="2"/>
            <w:vMerge w:val="continue"/>
          </w:tcPr>
          <w:p>
            <w:pPr>
              <w:spacing w:after="0"/>
              <w:rPr>
                <w:sz w:val="18"/>
                <w:szCs w:val="18"/>
                <w:color w:val="auto"/>
              </w:rPr>
            </w:pPr>
          </w:p>
        </w:tc>
        <w:tc>
          <w:tcPr>
            <w:tcW w:w="1640" w:type="dxa"/>
            <w:vAlign w:val="bottom"/>
          </w:tcPr>
          <w:p>
            <w:pPr>
              <w:spacing w:after="0"/>
              <w:rPr>
                <w:sz w:val="18"/>
                <w:szCs w:val="18"/>
                <w:color w:val="auto"/>
              </w:rPr>
            </w:pPr>
          </w:p>
        </w:tc>
        <w:tc>
          <w:tcPr>
            <w:tcW w:w="240" w:type="dxa"/>
            <w:vAlign w:val="bottom"/>
            <w:tcBorders>
              <w:top w:val="single" w:sz="8" w:color="auto"/>
            </w:tcBorders>
          </w:tcPr>
          <w:p>
            <w:pPr>
              <w:jc w:val="right"/>
              <w:ind w:right="83"/>
              <w:spacing w:after="0"/>
              <w:rPr>
                <w:sz w:val="20"/>
                <w:szCs w:val="20"/>
                <w:color w:val="auto"/>
              </w:rPr>
            </w:pPr>
            <w:r>
              <w:rPr>
                <w:rFonts w:ascii="Arial" w:cs="Arial" w:eastAsia="Arial" w:hAnsi="Arial"/>
                <w:sz w:val="15"/>
                <w:szCs w:val="15"/>
                <w:color w:val="auto"/>
                <w:w w:val="71"/>
              </w:rPr>
              <w:t>$</w:t>
            </w:r>
          </w:p>
        </w:tc>
        <w:tc>
          <w:tcPr>
            <w:tcW w:w="1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1,047,461</w:t>
            </w:r>
          </w:p>
        </w:tc>
        <w:tc>
          <w:tcPr>
            <w:tcW w:w="340" w:type="dxa"/>
            <w:vAlign w:val="bottom"/>
          </w:tcPr>
          <w:p>
            <w:pPr>
              <w:spacing w:after="0"/>
              <w:rPr>
                <w:sz w:val="18"/>
                <w:szCs w:val="18"/>
                <w:color w:val="auto"/>
              </w:rPr>
            </w:pPr>
          </w:p>
        </w:tc>
        <w:tc>
          <w:tcPr>
            <w:tcW w:w="180" w:type="dxa"/>
            <w:vAlign w:val="bottom"/>
            <w:tcBorders>
              <w:top w:val="single" w:sz="8" w:color="auto"/>
            </w:tcBorders>
          </w:tcPr>
          <w:p>
            <w:pPr>
              <w:jc w:val="right"/>
              <w:ind w:right="23"/>
              <w:spacing w:after="0"/>
              <w:rPr>
                <w:sz w:val="20"/>
                <w:szCs w:val="20"/>
                <w:color w:val="auto"/>
              </w:rPr>
            </w:pPr>
            <w:r>
              <w:rPr>
                <w:rFonts w:ascii="Arial" w:cs="Arial" w:eastAsia="Arial" w:hAnsi="Arial"/>
                <w:sz w:val="15"/>
                <w:szCs w:val="15"/>
                <w:color w:val="auto"/>
                <w:w w:val="71"/>
              </w:rPr>
              <w:t>$</w:t>
            </w:r>
          </w:p>
        </w:tc>
        <w:tc>
          <w:tcPr>
            <w:tcW w:w="1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1,218,713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4507230</wp:posOffset>
            </wp:positionH>
            <wp:positionV relativeFrom="paragraph">
              <wp:posOffset>150495</wp:posOffset>
            </wp:positionV>
            <wp:extent cx="2675890"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675890" cy="26035"/>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jc w:val="both"/>
        <w:ind w:firstLine="561"/>
        <w:spacing w:after="0" w:line="289" w:lineRule="auto"/>
        <w:rPr>
          <w:sz w:val="20"/>
          <w:szCs w:val="20"/>
          <w:color w:val="auto"/>
        </w:rPr>
      </w:pPr>
      <w:r>
        <w:rPr>
          <w:rFonts w:ascii="Arial" w:cs="Arial" w:eastAsia="Arial" w:hAnsi="Arial"/>
          <w:sz w:val="16"/>
          <w:szCs w:val="16"/>
          <w:i w:val="1"/>
          <w:iCs w:val="1"/>
          <w:color w:val="auto"/>
        </w:rPr>
        <w:t xml:space="preserve">Advances and Match Funded Advances. </w:t>
      </w:r>
      <w:r>
        <w:rPr>
          <w:rFonts w:ascii="Arial" w:cs="Arial" w:eastAsia="Arial" w:hAnsi="Arial"/>
          <w:sz w:val="16"/>
          <w:szCs w:val="16"/>
          <w:color w:val="auto"/>
        </w:rPr>
        <w:t>When the borrower does not make a full principal and interest payment, we are required under most servicing</w:t>
      </w:r>
      <w:r>
        <w:rPr>
          <w:rFonts w:ascii="Arial" w:cs="Arial" w:eastAsia="Arial" w:hAnsi="Arial"/>
          <w:sz w:val="16"/>
          <w:szCs w:val="16"/>
          <w:i w:val="1"/>
          <w:iCs w:val="1"/>
          <w:color w:val="auto"/>
        </w:rPr>
        <w:t xml:space="preserve"> </w:t>
      </w:r>
      <w:r>
        <w:rPr>
          <w:rFonts w:ascii="Arial" w:cs="Arial" w:eastAsia="Arial" w:hAnsi="Arial"/>
          <w:sz w:val="16"/>
          <w:szCs w:val="16"/>
          <w:color w:val="auto"/>
        </w:rPr>
        <w:t>agreements to advance funds to the investment trust. However, we are obligated to advance funds only to the extent that we believe that the advances are recoverable from loan proceeds. Most of our advances have the highest standing for reimbursement from payments, repayments and liquidation proceeds at the loan level. In addition, for any advances that are not covered by loan proceeds, the large majority of our pooling and servicing agreements provide for reimbursement at the pool level using collections on other loans. We are also required to pay property taxes and insurance premiums, to process foreclosures and to advance funds to maintain, repair and market real estate properties on behalf of investors, and these advances are accorded the same high priority for repayment as principal and interest advances. We generally recover our advances in full when foreclosed properties are sold, and this is also generally true when we modify a loan.</w:t>
      </w:r>
    </w:p>
    <w:p>
      <w:pPr>
        <w:spacing w:after="0" w:line="172" w:lineRule="exact"/>
        <w:rPr>
          <w:sz w:val="20"/>
          <w:szCs w:val="20"/>
          <w:color w:val="auto"/>
        </w:rPr>
      </w:pPr>
    </w:p>
    <w:p>
      <w:pPr>
        <w:jc w:val="both"/>
        <w:ind w:firstLine="478"/>
        <w:spacing w:after="0" w:line="335" w:lineRule="auto"/>
        <w:rPr>
          <w:sz w:val="20"/>
          <w:szCs w:val="20"/>
          <w:color w:val="auto"/>
        </w:rPr>
      </w:pPr>
      <w:r>
        <w:rPr>
          <w:rFonts w:ascii="Arial" w:cs="Arial" w:eastAsia="Arial" w:hAnsi="Arial"/>
          <w:sz w:val="15"/>
          <w:szCs w:val="15"/>
          <w:color w:val="auto"/>
        </w:rPr>
        <w:t>During the first three months of 2009, the combined balance of advances and match funded advances decreased by $148,765, or 12%, due to a 6% decline in the number of loans serviced and the relative stabilization of the rate of loan delinquencies. Within the combined balance of advances and match funded advances, advances increased due to the transfer of certain collateral from SPEs categorized as match funded to an SPE not categorized as match funded.</w:t>
      </w:r>
    </w:p>
    <w:p>
      <w:pPr>
        <w:spacing w:after="0" w:line="142" w:lineRule="exact"/>
        <w:rPr>
          <w:sz w:val="20"/>
          <w:szCs w:val="20"/>
          <w:color w:val="auto"/>
        </w:rPr>
      </w:pPr>
    </w:p>
    <w:p>
      <w:pPr>
        <w:jc w:val="both"/>
        <w:ind w:firstLine="455"/>
        <w:spacing w:after="0" w:line="253" w:lineRule="auto"/>
        <w:rPr>
          <w:sz w:val="20"/>
          <w:szCs w:val="20"/>
          <w:color w:val="auto"/>
        </w:rPr>
      </w:pPr>
      <w:r>
        <w:rPr>
          <w:rFonts w:ascii="Arial" w:cs="Arial" w:eastAsia="Arial" w:hAnsi="Arial"/>
          <w:sz w:val="18"/>
          <w:szCs w:val="18"/>
          <w:color w:val="auto"/>
        </w:rPr>
        <w:t>Match funded advances on loans serviced for others result from our transfers of residential loan servicing advances to SPEs in exchange for cash. We make these transfers under the terms of four advance facility agreements. We either retain control of the advances, or the advances are transferred to trusts that are not QSPEs. As a result, we include the SPEs in our Consolidated Financial Statements. The match funded advances are owned by the SPEs and are not available to satisfy general claims of our creditors. Conversely, the holders of the debt issued by the SPEs generally can look only to the assets of the issuer for satisfaction of the debt and have no recourse against OCN. However, OLS has guaranteed the payment of the obligations of the issuer under the match funded facility that we executed in April 2008. The maximum amount payable under the guarantee is limited to 10% of the notes outstanding at the end of the facility’s revolving period in April 2009.</w:t>
      </w:r>
    </w:p>
    <w:p>
      <w:pPr>
        <w:spacing w:after="0" w:line="201" w:lineRule="exact"/>
        <w:rPr>
          <w:sz w:val="20"/>
          <w:szCs w:val="20"/>
          <w:color w:val="auto"/>
        </w:rPr>
      </w:pPr>
    </w:p>
    <w:p>
      <w:pPr>
        <w:jc w:val="both"/>
        <w:ind w:firstLine="450"/>
        <w:spacing w:after="0" w:line="332" w:lineRule="auto"/>
        <w:rPr>
          <w:sz w:val="20"/>
          <w:szCs w:val="20"/>
          <w:color w:val="auto"/>
        </w:rPr>
      </w:pPr>
      <w:r>
        <w:rPr>
          <w:rFonts w:ascii="Arial" w:cs="Arial" w:eastAsia="Arial" w:hAnsi="Arial"/>
          <w:sz w:val="16"/>
          <w:szCs w:val="16"/>
          <w:i w:val="1"/>
          <w:iCs w:val="1"/>
          <w:color w:val="auto"/>
        </w:rPr>
        <w:t>Mortgage Servicing Rights</w:t>
      </w:r>
      <w:r>
        <w:rPr>
          <w:rFonts w:ascii="Arial" w:cs="Arial" w:eastAsia="Arial" w:hAnsi="Arial"/>
          <w:sz w:val="16"/>
          <w:szCs w:val="16"/>
          <w:color w:val="auto"/>
        </w:rPr>
        <w:t>. The unamortized balance of residential MSRs is primarily related to subprime residential loans. Residential MSRs increased by</w:t>
      </w:r>
      <w:r>
        <w:rPr>
          <w:rFonts w:ascii="Arial" w:cs="Arial" w:eastAsia="Arial" w:hAnsi="Arial"/>
          <w:sz w:val="16"/>
          <w:szCs w:val="16"/>
          <w:i w:val="1"/>
          <w:iCs w:val="1"/>
          <w:color w:val="auto"/>
        </w:rPr>
        <w:t xml:space="preserve"> </w:t>
      </w:r>
      <w:r>
        <w:rPr>
          <w:rFonts w:ascii="Arial" w:cs="Arial" w:eastAsia="Arial" w:hAnsi="Arial"/>
          <w:sz w:val="16"/>
          <w:szCs w:val="16"/>
          <w:color w:val="auto"/>
        </w:rPr>
        <w:t>$1,103 during the first three months of 2009primarily due to acquisitions of $10,241 offset by amortization expense of $9,126.</w:t>
      </w:r>
    </w:p>
    <w:p>
      <w:pPr>
        <w:spacing w:after="0" w:line="139" w:lineRule="exact"/>
        <w:rPr>
          <w:sz w:val="20"/>
          <w:szCs w:val="20"/>
          <w:color w:val="auto"/>
        </w:rPr>
      </w:pPr>
    </w:p>
    <w:p>
      <w:pPr>
        <w:jc w:val="both"/>
        <w:ind w:firstLine="563"/>
        <w:spacing w:after="0" w:line="255" w:lineRule="auto"/>
        <w:rPr>
          <w:sz w:val="20"/>
          <w:szCs w:val="20"/>
          <w:color w:val="auto"/>
        </w:rPr>
      </w:pPr>
      <w:r>
        <w:rPr>
          <w:rFonts w:ascii="Arial" w:cs="Arial" w:eastAsia="Arial" w:hAnsi="Arial"/>
          <w:sz w:val="18"/>
          <w:szCs w:val="18"/>
          <w:i w:val="1"/>
          <w:iCs w:val="1"/>
          <w:color w:val="auto"/>
        </w:rPr>
        <w:t>Match Funded Liabilities</w:t>
      </w:r>
      <w:r>
        <w:rPr>
          <w:rFonts w:ascii="Arial" w:cs="Arial" w:eastAsia="Arial" w:hAnsi="Arial"/>
          <w:sz w:val="18"/>
          <w:szCs w:val="18"/>
          <w:color w:val="auto"/>
        </w:rPr>
        <w:t>. Match funded liabilities are obligations secured by the related match funded assets and are repaid through the cash proceeds</w:t>
      </w:r>
      <w:r>
        <w:rPr>
          <w:rFonts w:ascii="Arial" w:cs="Arial" w:eastAsia="Arial" w:hAnsi="Arial"/>
          <w:sz w:val="18"/>
          <w:szCs w:val="18"/>
          <w:i w:val="1"/>
          <w:iCs w:val="1"/>
          <w:color w:val="auto"/>
        </w:rPr>
        <w:t xml:space="preserve"> </w:t>
      </w:r>
      <w:r>
        <w:rPr>
          <w:rFonts w:ascii="Arial" w:cs="Arial" w:eastAsia="Arial" w:hAnsi="Arial"/>
          <w:sz w:val="18"/>
          <w:szCs w:val="18"/>
          <w:color w:val="auto"/>
        </w:rPr>
        <w:t>arising from those assets. We account for and report match funded liabilities as secured borrowings with pledges of collateral. All of our match funded liabilities are secured by advances on loans serviced for others. The $171,639 decrease in match funded liabilities during the first three months of 2009 is primarily the result of the $219,311 reduction in the balance of match funded advances. At March 31, 2009, 90% of match funded advances were pledged to support borrowings as compared to 87% at December 31, 2008.</w:t>
      </w:r>
    </w:p>
    <w:p>
      <w:pPr>
        <w:spacing w:after="0" w:line="197" w:lineRule="exact"/>
        <w:rPr>
          <w:sz w:val="20"/>
          <w:szCs w:val="20"/>
          <w:color w:val="auto"/>
        </w:rPr>
      </w:pPr>
    </w:p>
    <w:p>
      <w:pPr>
        <w:jc w:val="both"/>
        <w:ind w:firstLine="661"/>
        <w:spacing w:after="0" w:line="268" w:lineRule="auto"/>
        <w:rPr>
          <w:sz w:val="20"/>
          <w:szCs w:val="20"/>
          <w:color w:val="auto"/>
        </w:rPr>
      </w:pPr>
      <w:r>
        <w:rPr>
          <w:rFonts w:ascii="Arial" w:cs="Arial" w:eastAsia="Arial" w:hAnsi="Arial"/>
          <w:sz w:val="18"/>
          <w:szCs w:val="18"/>
          <w:color w:val="auto"/>
        </w:rPr>
        <w:t>Unused borrowing capacity under our match funded facilities increased from $257,893 at December 31, 2008 to $428,690 at March 31, 2009. Our maximum borrowing capacity under our match funded facilities was $1,215,000 at March 31, 2009 and December 31, 2008.</w:t>
      </w:r>
    </w:p>
    <w:p>
      <w:pPr>
        <w:sectPr>
          <w:pgSz w:w="11900" w:h="16838" w:orient="portrait"/>
          <w:cols w:equalWidth="0" w:num="1">
            <w:col w:w="11420"/>
          </w:cols>
          <w:pgMar w:left="240" w:top="131" w:right="239" w:bottom="1440" w:gutter="0" w:footer="0" w:header="0"/>
        </w:sectPr>
      </w:pP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67575"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41" w:name="page42"/>
    <w:bookmarkEnd w:id="41"/>
    <w:p>
      <w:pPr>
        <w:spacing w:after="0" w:line="32" w:lineRule="exact"/>
        <w:rPr>
          <w:sz w:val="20"/>
          <w:szCs w:val="20"/>
          <w:color w:val="auto"/>
        </w:rPr>
      </w:pPr>
    </w:p>
    <w:p>
      <w:pPr>
        <w:jc w:val="both"/>
        <w:ind w:firstLine="506"/>
        <w:spacing w:after="0" w:line="253" w:lineRule="auto"/>
        <w:rPr>
          <w:sz w:val="20"/>
          <w:szCs w:val="20"/>
          <w:color w:val="auto"/>
        </w:rPr>
      </w:pPr>
      <w:r>
        <w:rPr>
          <w:rFonts w:ascii="Arial" w:cs="Arial" w:eastAsia="Arial" w:hAnsi="Arial"/>
          <w:sz w:val="18"/>
          <w:szCs w:val="18"/>
          <w:i w:val="1"/>
          <w:iCs w:val="1"/>
          <w:color w:val="auto"/>
        </w:rPr>
        <w:t>Lines of Credit and Other Secured Borrowings</w:t>
      </w:r>
      <w:r>
        <w:rPr>
          <w:rFonts w:ascii="Arial" w:cs="Arial" w:eastAsia="Arial" w:hAnsi="Arial"/>
          <w:sz w:val="18"/>
          <w:szCs w:val="18"/>
          <w:color w:val="auto"/>
        </w:rPr>
        <w:t>. In August 2008, we exercised the option contained in our senior secured credit agreement to issue an 18-month term note to finance MSRs. We transferred the advance collateral that had been pledged to the senior secured credit agreement to existing match funded facilities. The amount outstanding under the term note declined by $20,997 during the first three months of 2009. At both March 31, 2009 and December 31, 2008, the amount outstanding under the term note was equal to the maximum borrowing capacity. We entered into two new facilities in March 2009. We recognized a $60,000 zero-coupon bond with a five-year term at $45,373, net of a discount of $14,627. We also recognized a $7,000 term note maturing in five years with a stated interest rate of 1-Month LIBOR plus 350 basis points. Both notes are similar to the match funded advance facilities, and are secured by the pledge of advances.</w:t>
      </w:r>
    </w:p>
    <w:p>
      <w:pPr>
        <w:spacing w:after="0" w:line="201" w:lineRule="exact"/>
        <w:rPr>
          <w:sz w:val="20"/>
          <w:szCs w:val="20"/>
          <w:color w:val="auto"/>
        </w:rPr>
      </w:pPr>
    </w:p>
    <w:p>
      <w:pPr>
        <w:jc w:val="both"/>
        <w:ind w:firstLine="500"/>
        <w:spacing w:after="0" w:line="298" w:lineRule="auto"/>
        <w:rPr>
          <w:sz w:val="20"/>
          <w:szCs w:val="20"/>
          <w:color w:val="auto"/>
        </w:rPr>
      </w:pPr>
      <w:r>
        <w:rPr>
          <w:rFonts w:ascii="Arial" w:cs="Arial" w:eastAsia="Arial" w:hAnsi="Arial"/>
          <w:sz w:val="16"/>
          <w:szCs w:val="16"/>
          <w:i w:val="1"/>
          <w:iCs w:val="1"/>
          <w:color w:val="auto"/>
        </w:rPr>
        <w:t>Servicer Liabilities</w:t>
      </w:r>
      <w:r>
        <w:rPr>
          <w:rFonts w:ascii="Arial" w:cs="Arial" w:eastAsia="Arial" w:hAnsi="Arial"/>
          <w:sz w:val="16"/>
          <w:szCs w:val="16"/>
          <w:color w:val="auto"/>
        </w:rPr>
        <w:t>. Servicer liabilities represent amounts we have collected, primarily from residential borrowers whose loans we service, which we will</w:t>
      </w:r>
      <w:r>
        <w:rPr>
          <w:rFonts w:ascii="Arial" w:cs="Arial" w:eastAsia="Arial" w:hAnsi="Arial"/>
          <w:sz w:val="16"/>
          <w:szCs w:val="16"/>
          <w:i w:val="1"/>
          <w:iCs w:val="1"/>
          <w:color w:val="auto"/>
        </w:rPr>
        <w:t xml:space="preserve"> </w:t>
      </w:r>
      <w:r>
        <w:rPr>
          <w:rFonts w:ascii="Arial" w:cs="Arial" w:eastAsia="Arial" w:hAnsi="Arial"/>
          <w:sz w:val="16"/>
          <w:szCs w:val="16"/>
          <w:color w:val="auto"/>
        </w:rPr>
        <w:t>deposit in custodial accounts, pay directly to an investment trust or refund to borrowers. We exclude custodial accounts from our balance sheet. Servicer liabilities declined by $45,387 during the first three months of 2009 largely due to a decline in the amount of borrower payments due to the custodial accounts. This decline reflects the impact of low collection volume primarily resulting from slower voluntary prepayments and a smaller servicing portfolio.</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460" w:type="dxa"/>
            <w:vAlign w:val="bottom"/>
            <w:gridSpan w:val="2"/>
          </w:tcPr>
          <w:p>
            <w:pPr>
              <w:spacing w:after="0"/>
              <w:rPr>
                <w:sz w:val="20"/>
                <w:szCs w:val="20"/>
                <w:color w:val="auto"/>
              </w:rPr>
            </w:pPr>
            <w:r>
              <w:rPr>
                <w:rFonts w:ascii="Arial" w:cs="Arial" w:eastAsia="Arial" w:hAnsi="Arial"/>
                <w:sz w:val="18"/>
                <w:szCs w:val="18"/>
                <w:color w:val="auto"/>
                <w:w w:val="90"/>
              </w:rPr>
              <w:t>Comparative selected operations data for the three months ended March 31 is as follows:</w:t>
            </w: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64"/>
        </w:trPr>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20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60" w:type="dxa"/>
            <w:vAlign w:val="bottom"/>
          </w:tcPr>
          <w:p>
            <w:pPr>
              <w:jc w:val="right"/>
              <w:ind w:right="652"/>
              <w:spacing w:after="0"/>
              <w:rPr>
                <w:sz w:val="20"/>
                <w:szCs w:val="20"/>
                <w:color w:val="auto"/>
              </w:rPr>
            </w:pPr>
            <w:r>
              <w:rPr>
                <w:rFonts w:ascii="Arial" w:cs="Arial" w:eastAsia="Arial" w:hAnsi="Arial"/>
                <w:sz w:val="18"/>
                <w:szCs w:val="18"/>
                <w:color w:val="auto"/>
              </w:rPr>
              <w:t>2009</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80" w:type="dxa"/>
            <w:vAlign w:val="bottom"/>
          </w:tcPr>
          <w:p>
            <w:pPr>
              <w:jc w:val="right"/>
              <w:ind w:right="652"/>
              <w:spacing w:after="0"/>
              <w:rPr>
                <w:sz w:val="20"/>
                <w:szCs w:val="20"/>
                <w:color w:val="auto"/>
              </w:rPr>
            </w:pPr>
            <w:r>
              <w:rPr>
                <w:rFonts w:ascii="Arial" w:cs="Arial" w:eastAsia="Arial" w:hAnsi="Arial"/>
                <w:sz w:val="18"/>
                <w:szCs w:val="18"/>
                <w:color w:val="auto"/>
              </w:rPr>
              <w:t>2008</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80" w:type="dxa"/>
            <w:vAlign w:val="bottom"/>
            <w:gridSpan w:val="3"/>
            <w:shd w:val="clear" w:color="auto" w:fill="EAF9E8"/>
          </w:tcPr>
          <w:p>
            <w:pPr>
              <w:spacing w:after="0"/>
              <w:rPr>
                <w:sz w:val="20"/>
                <w:szCs w:val="20"/>
                <w:color w:val="auto"/>
              </w:rPr>
            </w:pPr>
            <w:r>
              <w:rPr>
                <w:rFonts w:ascii="Arial" w:cs="Arial" w:eastAsia="Arial" w:hAnsi="Arial"/>
                <w:sz w:val="18"/>
                <w:szCs w:val="18"/>
                <w:color w:val="auto"/>
              </w:rPr>
              <w:t>Revenue:</w:t>
            </w:r>
          </w:p>
        </w:tc>
        <w:tc>
          <w:tcPr>
            <w:tcW w:w="200" w:type="dxa"/>
            <w:vAlign w:val="bottom"/>
            <w:shd w:val="clear" w:color="auto" w:fill="EAF9E8"/>
          </w:tcPr>
          <w:p>
            <w:pPr>
              <w:spacing w:after="0"/>
              <w:rPr>
                <w:sz w:val="18"/>
                <w:szCs w:val="18"/>
                <w:color w:val="auto"/>
              </w:rPr>
            </w:pPr>
          </w:p>
        </w:tc>
        <w:tc>
          <w:tcPr>
            <w:tcW w:w="480" w:type="dxa"/>
            <w:vAlign w:val="bottom"/>
            <w:shd w:val="clear" w:color="auto" w:fill="EAF9E8"/>
          </w:tcPr>
          <w:p>
            <w:pPr>
              <w:spacing w:after="0"/>
              <w:rPr>
                <w:sz w:val="18"/>
                <w:szCs w:val="18"/>
                <w:color w:val="auto"/>
              </w:rPr>
            </w:pPr>
          </w:p>
        </w:tc>
        <w:tc>
          <w:tcPr>
            <w:tcW w:w="146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460" w:type="dxa"/>
            <w:vAlign w:val="bottom"/>
            <w:shd w:val="clear" w:color="auto" w:fill="EAF9E8"/>
          </w:tcPr>
          <w:p>
            <w:pPr>
              <w:spacing w:after="0"/>
              <w:rPr>
                <w:sz w:val="18"/>
                <w:szCs w:val="18"/>
                <w:color w:val="auto"/>
              </w:rPr>
            </w:pPr>
          </w:p>
        </w:tc>
        <w:tc>
          <w:tcPr>
            <w:tcW w:w="148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gridSpan w:val="3"/>
          </w:tcPr>
          <w:p>
            <w:pPr>
              <w:ind w:left="140"/>
              <w:spacing w:after="0"/>
              <w:rPr>
                <w:sz w:val="20"/>
                <w:szCs w:val="20"/>
                <w:color w:val="auto"/>
              </w:rPr>
            </w:pPr>
            <w:r>
              <w:rPr>
                <w:rFonts w:ascii="Arial" w:cs="Arial" w:eastAsia="Arial" w:hAnsi="Arial"/>
                <w:sz w:val="18"/>
                <w:szCs w:val="18"/>
                <w:color w:val="auto"/>
              </w:rPr>
              <w:t>Servicing and subservicing fees</w:t>
            </w:r>
          </w:p>
        </w:tc>
        <w:tc>
          <w:tcPr>
            <w:tcW w:w="680" w:type="dxa"/>
            <w:vAlign w:val="bottom"/>
            <w:gridSpan w:val="2"/>
          </w:tcPr>
          <w:p>
            <w:pPr>
              <w:jc w:val="right"/>
              <w:ind w:right="323"/>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64,979</w:t>
            </w:r>
          </w:p>
        </w:tc>
        <w:tc>
          <w:tcPr>
            <w:tcW w:w="200" w:type="dxa"/>
            <w:vAlign w:val="bottom"/>
          </w:tcPr>
          <w:p>
            <w:pPr>
              <w:spacing w:after="0"/>
              <w:rPr>
                <w:sz w:val="18"/>
                <w:szCs w:val="18"/>
                <w:color w:val="auto"/>
              </w:rPr>
            </w:pPr>
          </w:p>
        </w:tc>
        <w:tc>
          <w:tcPr>
            <w:tcW w:w="600" w:type="dxa"/>
            <w:vAlign w:val="bottom"/>
            <w:gridSpan w:val="2"/>
          </w:tcPr>
          <w:p>
            <w:pPr>
              <w:jc w:val="right"/>
              <w:ind w:right="303"/>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80,337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gridSpan w:val="3"/>
            <w:shd w:val="clear" w:color="auto" w:fill="EAF9E8"/>
          </w:tcPr>
          <w:p>
            <w:pPr>
              <w:ind w:left="140"/>
              <w:spacing w:after="0"/>
              <w:rPr>
                <w:sz w:val="20"/>
                <w:szCs w:val="20"/>
                <w:color w:val="auto"/>
              </w:rPr>
            </w:pPr>
            <w:r>
              <w:rPr>
                <w:rFonts w:ascii="Arial" w:cs="Arial" w:eastAsia="Arial" w:hAnsi="Arial"/>
                <w:sz w:val="18"/>
                <w:szCs w:val="18"/>
                <w:color w:val="auto"/>
              </w:rPr>
              <w:t>Process management fees</w:t>
            </w:r>
          </w:p>
        </w:tc>
        <w:tc>
          <w:tcPr>
            <w:tcW w:w="200" w:type="dxa"/>
            <w:vAlign w:val="bottom"/>
            <w:shd w:val="clear" w:color="auto" w:fill="EAF9E8"/>
          </w:tcPr>
          <w:p>
            <w:pPr>
              <w:spacing w:after="0"/>
              <w:rPr>
                <w:sz w:val="18"/>
                <w:szCs w:val="18"/>
                <w:color w:val="auto"/>
              </w:rPr>
            </w:pPr>
          </w:p>
        </w:tc>
        <w:tc>
          <w:tcPr>
            <w:tcW w:w="480" w:type="dxa"/>
            <w:vAlign w:val="bottom"/>
            <w:shd w:val="clear" w:color="auto" w:fill="EAF9E8"/>
          </w:tcPr>
          <w:p>
            <w:pPr>
              <w:spacing w:after="0"/>
              <w:rPr>
                <w:sz w:val="18"/>
                <w:szCs w:val="18"/>
                <w:color w:val="auto"/>
              </w:rPr>
            </w:pPr>
          </w:p>
        </w:tc>
        <w:tc>
          <w:tcPr>
            <w:tcW w:w="14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9,715</w:t>
            </w:r>
          </w:p>
        </w:tc>
        <w:tc>
          <w:tcPr>
            <w:tcW w:w="2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460" w:type="dxa"/>
            <w:vAlign w:val="bottom"/>
            <w:shd w:val="clear" w:color="auto" w:fill="EAF9E8"/>
          </w:tcPr>
          <w:p>
            <w:pPr>
              <w:spacing w:after="0"/>
              <w:rPr>
                <w:sz w:val="18"/>
                <w:szCs w:val="18"/>
                <w:color w:val="auto"/>
              </w:rPr>
            </w:pPr>
          </w:p>
        </w:tc>
        <w:tc>
          <w:tcPr>
            <w:tcW w:w="15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6,175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880" w:type="dxa"/>
            <w:vAlign w:val="bottom"/>
            <w:gridSpan w:val="3"/>
            <w:vMerge w:val="restart"/>
          </w:tcPr>
          <w:p>
            <w:pPr>
              <w:ind w:left="300"/>
              <w:spacing w:after="0"/>
              <w:rPr>
                <w:sz w:val="20"/>
                <w:szCs w:val="20"/>
                <w:color w:val="auto"/>
              </w:rPr>
            </w:pPr>
            <w:r>
              <w:rPr>
                <w:rFonts w:ascii="Arial" w:cs="Arial" w:eastAsia="Arial" w:hAnsi="Arial"/>
                <w:sz w:val="18"/>
                <w:szCs w:val="18"/>
                <w:color w:val="auto"/>
              </w:rPr>
              <w:t>Total revenue</w:t>
            </w:r>
          </w:p>
        </w:tc>
        <w:tc>
          <w:tcPr>
            <w:tcW w:w="2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580" w:type="dxa"/>
            <w:vAlign w:val="bottom"/>
            <w:gridSpan w:val="2"/>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gridSpan w:val="3"/>
            <w:vMerge w:val="continue"/>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74,694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86,512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40" w:type="dxa"/>
            <w:vAlign w:val="bottom"/>
            <w:gridSpan w:val="2"/>
          </w:tcPr>
          <w:p>
            <w:pPr>
              <w:spacing w:after="0"/>
              <w:rPr>
                <w:sz w:val="20"/>
                <w:szCs w:val="20"/>
                <w:color w:val="auto"/>
              </w:rPr>
            </w:pPr>
          </w:p>
        </w:tc>
        <w:tc>
          <w:tcPr>
            <w:tcW w:w="6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420" w:type="dxa"/>
            <w:vAlign w:val="bottom"/>
          </w:tcPr>
          <w:p>
            <w:pPr>
              <w:spacing w:after="0"/>
              <w:rPr>
                <w:sz w:val="12"/>
                <w:szCs w:val="12"/>
                <w:color w:val="auto"/>
              </w:rPr>
            </w:pPr>
          </w:p>
        </w:tc>
        <w:tc>
          <w:tcPr>
            <w:tcW w:w="6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80" w:type="dxa"/>
            <w:vAlign w:val="bottom"/>
            <w:gridSpan w:val="3"/>
            <w:shd w:val="clear" w:color="auto" w:fill="EAF9E8"/>
          </w:tcPr>
          <w:p>
            <w:pPr>
              <w:spacing w:after="0"/>
              <w:rPr>
                <w:sz w:val="20"/>
                <w:szCs w:val="20"/>
                <w:color w:val="auto"/>
              </w:rPr>
            </w:pPr>
            <w:r>
              <w:rPr>
                <w:rFonts w:ascii="Arial" w:cs="Arial" w:eastAsia="Arial" w:hAnsi="Arial"/>
                <w:sz w:val="18"/>
                <w:szCs w:val="18"/>
                <w:color w:val="auto"/>
              </w:rPr>
              <w:t>Operating expenses:</w:t>
            </w:r>
          </w:p>
        </w:tc>
        <w:tc>
          <w:tcPr>
            <w:tcW w:w="200" w:type="dxa"/>
            <w:vAlign w:val="bottom"/>
            <w:shd w:val="clear" w:color="auto" w:fill="EAF9E8"/>
          </w:tcPr>
          <w:p>
            <w:pPr>
              <w:spacing w:after="0"/>
              <w:rPr>
                <w:sz w:val="18"/>
                <w:szCs w:val="18"/>
                <w:color w:val="auto"/>
              </w:rPr>
            </w:pPr>
          </w:p>
        </w:tc>
        <w:tc>
          <w:tcPr>
            <w:tcW w:w="480" w:type="dxa"/>
            <w:vAlign w:val="bottom"/>
            <w:shd w:val="clear" w:color="auto" w:fill="EAF9E8"/>
          </w:tcPr>
          <w:p>
            <w:pPr>
              <w:spacing w:after="0"/>
              <w:rPr>
                <w:sz w:val="18"/>
                <w:szCs w:val="18"/>
                <w:color w:val="auto"/>
              </w:rPr>
            </w:pPr>
          </w:p>
        </w:tc>
        <w:tc>
          <w:tcPr>
            <w:tcW w:w="146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460" w:type="dxa"/>
            <w:vAlign w:val="bottom"/>
            <w:shd w:val="clear" w:color="auto" w:fill="EAF9E8"/>
          </w:tcPr>
          <w:p>
            <w:pPr>
              <w:spacing w:after="0"/>
              <w:rPr>
                <w:sz w:val="18"/>
                <w:szCs w:val="18"/>
                <w:color w:val="auto"/>
              </w:rPr>
            </w:pPr>
          </w:p>
        </w:tc>
        <w:tc>
          <w:tcPr>
            <w:tcW w:w="148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gridSpan w:val="3"/>
          </w:tcPr>
          <w:p>
            <w:pPr>
              <w:ind w:left="140"/>
              <w:spacing w:after="0"/>
              <w:rPr>
                <w:sz w:val="20"/>
                <w:szCs w:val="20"/>
                <w:color w:val="auto"/>
              </w:rPr>
            </w:pPr>
            <w:r>
              <w:rPr>
                <w:rFonts w:ascii="Arial" w:cs="Arial" w:eastAsia="Arial" w:hAnsi="Arial"/>
                <w:sz w:val="18"/>
                <w:szCs w:val="18"/>
                <w:color w:val="auto"/>
              </w:rPr>
              <w:t>Compensation and benefits</w:t>
            </w: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8,613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10,187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gridSpan w:val="3"/>
            <w:shd w:val="clear" w:color="auto" w:fill="EAF9E8"/>
          </w:tcPr>
          <w:p>
            <w:pPr>
              <w:ind w:left="140"/>
              <w:spacing w:after="0"/>
              <w:rPr>
                <w:sz w:val="20"/>
                <w:szCs w:val="20"/>
                <w:color w:val="auto"/>
              </w:rPr>
            </w:pPr>
            <w:r>
              <w:rPr>
                <w:rFonts w:ascii="Arial" w:cs="Arial" w:eastAsia="Arial" w:hAnsi="Arial"/>
                <w:sz w:val="18"/>
                <w:szCs w:val="18"/>
                <w:color w:val="auto"/>
              </w:rPr>
              <w:t>Amortization of servicing rights</w:t>
            </w:r>
          </w:p>
        </w:tc>
        <w:tc>
          <w:tcPr>
            <w:tcW w:w="200" w:type="dxa"/>
            <w:vAlign w:val="bottom"/>
            <w:shd w:val="clear" w:color="auto" w:fill="EAF9E8"/>
          </w:tcPr>
          <w:p>
            <w:pPr>
              <w:spacing w:after="0"/>
              <w:rPr>
                <w:sz w:val="18"/>
                <w:szCs w:val="18"/>
                <w:color w:val="auto"/>
              </w:rPr>
            </w:pPr>
          </w:p>
        </w:tc>
        <w:tc>
          <w:tcPr>
            <w:tcW w:w="480" w:type="dxa"/>
            <w:vAlign w:val="bottom"/>
            <w:shd w:val="clear" w:color="auto" w:fill="EAF9E8"/>
          </w:tcPr>
          <w:p>
            <w:pPr>
              <w:spacing w:after="0"/>
              <w:rPr>
                <w:sz w:val="18"/>
                <w:szCs w:val="18"/>
                <w:color w:val="auto"/>
              </w:rPr>
            </w:pPr>
          </w:p>
        </w:tc>
        <w:tc>
          <w:tcPr>
            <w:tcW w:w="14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10,041</w:t>
            </w:r>
          </w:p>
        </w:tc>
        <w:tc>
          <w:tcPr>
            <w:tcW w:w="2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460" w:type="dxa"/>
            <w:vAlign w:val="bottom"/>
            <w:shd w:val="clear" w:color="auto" w:fill="EAF9E8"/>
          </w:tcPr>
          <w:p>
            <w:pPr>
              <w:spacing w:after="0"/>
              <w:rPr>
                <w:sz w:val="18"/>
                <w:szCs w:val="18"/>
                <w:color w:val="auto"/>
              </w:rPr>
            </w:pPr>
          </w:p>
        </w:tc>
        <w:tc>
          <w:tcPr>
            <w:tcW w:w="15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13,804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gridSpan w:val="3"/>
          </w:tcPr>
          <w:p>
            <w:pPr>
              <w:ind w:left="140"/>
              <w:spacing w:after="0"/>
              <w:rPr>
                <w:sz w:val="20"/>
                <w:szCs w:val="20"/>
                <w:color w:val="auto"/>
              </w:rPr>
            </w:pPr>
            <w:r>
              <w:rPr>
                <w:rFonts w:ascii="Arial" w:cs="Arial" w:eastAsia="Arial" w:hAnsi="Arial"/>
                <w:sz w:val="18"/>
                <w:szCs w:val="18"/>
                <w:color w:val="auto"/>
              </w:rPr>
              <w:t>Servicing and origination</w:t>
            </w: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2,032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3,786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gridSpan w:val="3"/>
            <w:shd w:val="clear" w:color="auto" w:fill="EAF9E8"/>
          </w:tcPr>
          <w:p>
            <w:pPr>
              <w:ind w:left="140"/>
              <w:spacing w:after="0"/>
              <w:rPr>
                <w:sz w:val="20"/>
                <w:szCs w:val="20"/>
                <w:color w:val="auto"/>
              </w:rPr>
            </w:pPr>
            <w:r>
              <w:rPr>
                <w:rFonts w:ascii="Arial" w:cs="Arial" w:eastAsia="Arial" w:hAnsi="Arial"/>
                <w:sz w:val="18"/>
                <w:szCs w:val="18"/>
                <w:color w:val="auto"/>
              </w:rPr>
              <w:t>Technology and communications</w:t>
            </w:r>
          </w:p>
        </w:tc>
        <w:tc>
          <w:tcPr>
            <w:tcW w:w="200" w:type="dxa"/>
            <w:vAlign w:val="bottom"/>
            <w:shd w:val="clear" w:color="auto" w:fill="EAF9E8"/>
          </w:tcPr>
          <w:p>
            <w:pPr>
              <w:spacing w:after="0"/>
              <w:rPr>
                <w:sz w:val="18"/>
                <w:szCs w:val="18"/>
                <w:color w:val="auto"/>
              </w:rPr>
            </w:pPr>
          </w:p>
        </w:tc>
        <w:tc>
          <w:tcPr>
            <w:tcW w:w="480" w:type="dxa"/>
            <w:vAlign w:val="bottom"/>
            <w:shd w:val="clear" w:color="auto" w:fill="EAF9E8"/>
          </w:tcPr>
          <w:p>
            <w:pPr>
              <w:spacing w:after="0"/>
              <w:rPr>
                <w:sz w:val="18"/>
                <w:szCs w:val="18"/>
                <w:color w:val="auto"/>
              </w:rPr>
            </w:pPr>
          </w:p>
        </w:tc>
        <w:tc>
          <w:tcPr>
            <w:tcW w:w="14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2,819</w:t>
            </w:r>
          </w:p>
        </w:tc>
        <w:tc>
          <w:tcPr>
            <w:tcW w:w="2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460" w:type="dxa"/>
            <w:vAlign w:val="bottom"/>
            <w:shd w:val="clear" w:color="auto" w:fill="EAF9E8"/>
          </w:tcPr>
          <w:p>
            <w:pPr>
              <w:spacing w:after="0"/>
              <w:rPr>
                <w:sz w:val="18"/>
                <w:szCs w:val="18"/>
                <w:color w:val="auto"/>
              </w:rPr>
            </w:pPr>
          </w:p>
        </w:tc>
        <w:tc>
          <w:tcPr>
            <w:tcW w:w="15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2,219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gridSpan w:val="3"/>
          </w:tcPr>
          <w:p>
            <w:pPr>
              <w:ind w:left="140"/>
              <w:spacing w:after="0"/>
              <w:rPr>
                <w:sz w:val="20"/>
                <w:szCs w:val="20"/>
                <w:color w:val="auto"/>
              </w:rPr>
            </w:pPr>
            <w:r>
              <w:rPr>
                <w:rFonts w:ascii="Arial" w:cs="Arial" w:eastAsia="Arial" w:hAnsi="Arial"/>
                <w:sz w:val="18"/>
                <w:szCs w:val="18"/>
                <w:color w:val="auto"/>
              </w:rPr>
              <w:t>Professional services</w:t>
            </w: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1,914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2,366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gridSpan w:val="3"/>
            <w:shd w:val="clear" w:color="auto" w:fill="EAF9E8"/>
          </w:tcPr>
          <w:p>
            <w:pPr>
              <w:ind w:left="140"/>
              <w:spacing w:after="0"/>
              <w:rPr>
                <w:sz w:val="20"/>
                <w:szCs w:val="20"/>
                <w:color w:val="auto"/>
              </w:rPr>
            </w:pPr>
            <w:r>
              <w:rPr>
                <w:rFonts w:ascii="Arial" w:cs="Arial" w:eastAsia="Arial" w:hAnsi="Arial"/>
                <w:sz w:val="18"/>
                <w:szCs w:val="18"/>
                <w:color w:val="auto"/>
              </w:rPr>
              <w:t>Occupancy and equipment</w:t>
            </w:r>
          </w:p>
        </w:tc>
        <w:tc>
          <w:tcPr>
            <w:tcW w:w="200" w:type="dxa"/>
            <w:vAlign w:val="bottom"/>
            <w:shd w:val="clear" w:color="auto" w:fill="EAF9E8"/>
          </w:tcPr>
          <w:p>
            <w:pPr>
              <w:spacing w:after="0"/>
              <w:rPr>
                <w:sz w:val="18"/>
                <w:szCs w:val="18"/>
                <w:color w:val="auto"/>
              </w:rPr>
            </w:pPr>
          </w:p>
        </w:tc>
        <w:tc>
          <w:tcPr>
            <w:tcW w:w="480" w:type="dxa"/>
            <w:vAlign w:val="bottom"/>
            <w:shd w:val="clear" w:color="auto" w:fill="EAF9E8"/>
          </w:tcPr>
          <w:p>
            <w:pPr>
              <w:spacing w:after="0"/>
              <w:rPr>
                <w:sz w:val="18"/>
                <w:szCs w:val="18"/>
                <w:color w:val="auto"/>
              </w:rPr>
            </w:pPr>
          </w:p>
        </w:tc>
        <w:tc>
          <w:tcPr>
            <w:tcW w:w="14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2,862</w:t>
            </w:r>
          </w:p>
        </w:tc>
        <w:tc>
          <w:tcPr>
            <w:tcW w:w="2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460" w:type="dxa"/>
            <w:vAlign w:val="bottom"/>
            <w:shd w:val="clear" w:color="auto" w:fill="EAF9E8"/>
          </w:tcPr>
          <w:p>
            <w:pPr>
              <w:spacing w:after="0"/>
              <w:rPr>
                <w:sz w:val="18"/>
                <w:szCs w:val="18"/>
                <w:color w:val="auto"/>
              </w:rPr>
            </w:pPr>
          </w:p>
        </w:tc>
        <w:tc>
          <w:tcPr>
            <w:tcW w:w="15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3,386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880" w:type="dxa"/>
            <w:vAlign w:val="bottom"/>
            <w:gridSpan w:val="3"/>
          </w:tcPr>
          <w:p>
            <w:pPr>
              <w:ind w:left="140"/>
              <w:spacing w:after="0"/>
              <w:rPr>
                <w:sz w:val="20"/>
                <w:szCs w:val="20"/>
                <w:color w:val="auto"/>
              </w:rPr>
            </w:pPr>
            <w:r>
              <w:rPr>
                <w:rFonts w:ascii="Arial" w:cs="Arial" w:eastAsia="Arial" w:hAnsi="Arial"/>
                <w:sz w:val="18"/>
                <w:szCs w:val="18"/>
                <w:color w:val="auto"/>
              </w:rPr>
              <w:t>Other</w:t>
            </w: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5,937</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6,204</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58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80" w:type="dxa"/>
            <w:vAlign w:val="bottom"/>
            <w:gridSpan w:val="3"/>
            <w:shd w:val="clear" w:color="auto" w:fill="EAF9E8"/>
          </w:tcPr>
          <w:p>
            <w:pPr>
              <w:ind w:left="300"/>
              <w:spacing w:after="0"/>
              <w:rPr>
                <w:sz w:val="20"/>
                <w:szCs w:val="20"/>
                <w:color w:val="auto"/>
              </w:rPr>
            </w:pPr>
            <w:r>
              <w:rPr>
                <w:rFonts w:ascii="Arial" w:cs="Arial" w:eastAsia="Arial" w:hAnsi="Arial"/>
                <w:sz w:val="18"/>
                <w:szCs w:val="18"/>
                <w:color w:val="auto"/>
              </w:rPr>
              <w:t>Total operating expenses</w:t>
            </w:r>
          </w:p>
        </w:tc>
        <w:tc>
          <w:tcPr>
            <w:tcW w:w="200" w:type="dxa"/>
            <w:vAlign w:val="bottom"/>
            <w:shd w:val="clear" w:color="auto" w:fill="EAF9E8"/>
          </w:tcPr>
          <w:p>
            <w:pPr>
              <w:spacing w:after="0"/>
              <w:rPr>
                <w:sz w:val="18"/>
                <w:szCs w:val="18"/>
                <w:color w:val="auto"/>
              </w:rPr>
            </w:pPr>
          </w:p>
        </w:tc>
        <w:tc>
          <w:tcPr>
            <w:tcW w:w="480" w:type="dxa"/>
            <w:vAlign w:val="bottom"/>
            <w:tcBorders>
              <w:top w:val="single" w:sz="8" w:color="auto"/>
            </w:tcBorders>
            <w:shd w:val="clear" w:color="auto" w:fill="EAF9E8"/>
          </w:tcPr>
          <w:p>
            <w:pPr>
              <w:spacing w:after="0"/>
              <w:rPr>
                <w:sz w:val="18"/>
                <w:szCs w:val="18"/>
                <w:color w:val="auto"/>
              </w:rPr>
            </w:pPr>
          </w:p>
        </w:tc>
        <w:tc>
          <w:tcPr>
            <w:tcW w:w="146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34,218</w:t>
            </w:r>
          </w:p>
        </w:tc>
        <w:tc>
          <w:tcPr>
            <w:tcW w:w="2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460" w:type="dxa"/>
            <w:vAlign w:val="bottom"/>
            <w:tcBorders>
              <w:top w:val="single" w:sz="8" w:color="auto"/>
            </w:tcBorders>
            <w:shd w:val="clear" w:color="auto" w:fill="EAF9E8"/>
          </w:tcPr>
          <w:p>
            <w:pPr>
              <w:spacing w:after="0"/>
              <w:rPr>
                <w:sz w:val="18"/>
                <w:szCs w:val="18"/>
                <w:color w:val="auto"/>
              </w:rPr>
            </w:pPr>
          </w:p>
        </w:tc>
        <w:tc>
          <w:tcPr>
            <w:tcW w:w="148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41,952</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6900" w:type="dxa"/>
            <w:vAlign w:val="bottom"/>
            <w:gridSpan w:val="4"/>
            <w:vMerge w:val="restart"/>
          </w:tcPr>
          <w:p>
            <w:pPr>
              <w:spacing w:after="0"/>
              <w:rPr>
                <w:sz w:val="20"/>
                <w:szCs w:val="20"/>
                <w:color w:val="auto"/>
              </w:rPr>
            </w:pPr>
            <w:r>
              <w:rPr>
                <w:rFonts w:ascii="Arial" w:cs="Arial" w:eastAsia="Arial" w:hAnsi="Arial"/>
                <w:sz w:val="18"/>
                <w:szCs w:val="18"/>
                <w:color w:val="auto"/>
              </w:rPr>
              <w:t>Income from operations</w:t>
            </w:r>
          </w:p>
        </w:tc>
        <w:tc>
          <w:tcPr>
            <w:tcW w:w="2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580" w:type="dxa"/>
            <w:vAlign w:val="bottom"/>
            <w:gridSpan w:val="2"/>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6900" w:type="dxa"/>
            <w:vAlign w:val="bottom"/>
            <w:gridSpan w:val="4"/>
            <w:vMerge w:val="continue"/>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40,476</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44,560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40" w:type="dxa"/>
            <w:vAlign w:val="bottom"/>
            <w:gridSpan w:val="2"/>
          </w:tcPr>
          <w:p>
            <w:pPr>
              <w:spacing w:after="0"/>
              <w:rPr>
                <w:sz w:val="20"/>
                <w:szCs w:val="20"/>
                <w:color w:val="auto"/>
              </w:rPr>
            </w:pPr>
          </w:p>
        </w:tc>
        <w:tc>
          <w:tcPr>
            <w:tcW w:w="6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80" w:type="dxa"/>
            <w:vAlign w:val="bottom"/>
            <w:gridSpan w:val="3"/>
            <w:shd w:val="clear" w:color="auto" w:fill="EAF9E8"/>
          </w:tcPr>
          <w:p>
            <w:pPr>
              <w:spacing w:after="0"/>
              <w:rPr>
                <w:sz w:val="20"/>
                <w:szCs w:val="20"/>
                <w:color w:val="auto"/>
              </w:rPr>
            </w:pPr>
            <w:r>
              <w:rPr>
                <w:rFonts w:ascii="Arial" w:cs="Arial" w:eastAsia="Arial" w:hAnsi="Arial"/>
                <w:sz w:val="18"/>
                <w:szCs w:val="18"/>
                <w:color w:val="auto"/>
              </w:rPr>
              <w:t>Other income (expense):</w:t>
            </w:r>
          </w:p>
        </w:tc>
        <w:tc>
          <w:tcPr>
            <w:tcW w:w="200" w:type="dxa"/>
            <w:vAlign w:val="bottom"/>
            <w:shd w:val="clear" w:color="auto" w:fill="EAF9E8"/>
          </w:tcPr>
          <w:p>
            <w:pPr>
              <w:spacing w:after="0"/>
              <w:rPr>
                <w:sz w:val="18"/>
                <w:szCs w:val="18"/>
                <w:color w:val="auto"/>
              </w:rPr>
            </w:pPr>
          </w:p>
        </w:tc>
        <w:tc>
          <w:tcPr>
            <w:tcW w:w="480" w:type="dxa"/>
            <w:vAlign w:val="bottom"/>
            <w:shd w:val="clear" w:color="auto" w:fill="EAF9E8"/>
          </w:tcPr>
          <w:p>
            <w:pPr>
              <w:spacing w:after="0"/>
              <w:rPr>
                <w:sz w:val="18"/>
                <w:szCs w:val="18"/>
                <w:color w:val="auto"/>
              </w:rPr>
            </w:pPr>
          </w:p>
        </w:tc>
        <w:tc>
          <w:tcPr>
            <w:tcW w:w="146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460" w:type="dxa"/>
            <w:vAlign w:val="bottom"/>
            <w:shd w:val="clear" w:color="auto" w:fill="EAF9E8"/>
          </w:tcPr>
          <w:p>
            <w:pPr>
              <w:spacing w:after="0"/>
              <w:rPr>
                <w:sz w:val="18"/>
                <w:szCs w:val="18"/>
                <w:color w:val="auto"/>
              </w:rPr>
            </w:pPr>
          </w:p>
        </w:tc>
        <w:tc>
          <w:tcPr>
            <w:tcW w:w="148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gridSpan w:val="3"/>
          </w:tcPr>
          <w:p>
            <w:pPr>
              <w:ind w:left="140"/>
              <w:spacing w:after="0"/>
              <w:rPr>
                <w:sz w:val="20"/>
                <w:szCs w:val="20"/>
                <w:color w:val="auto"/>
              </w:rPr>
            </w:pPr>
            <w:r>
              <w:rPr>
                <w:rFonts w:ascii="Arial" w:cs="Arial" w:eastAsia="Arial" w:hAnsi="Arial"/>
                <w:sz w:val="18"/>
                <w:szCs w:val="18"/>
                <w:color w:val="auto"/>
              </w:rPr>
              <w:t>Interest expense:</w:t>
            </w: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 w:type="dxa"/>
            <w:vAlign w:val="bottom"/>
            <w:shd w:val="clear" w:color="auto" w:fill="EAF9E8"/>
          </w:tcPr>
          <w:p>
            <w:pPr>
              <w:spacing w:after="0"/>
              <w:rPr>
                <w:sz w:val="18"/>
                <w:szCs w:val="18"/>
                <w:color w:val="auto"/>
              </w:rPr>
            </w:pPr>
          </w:p>
        </w:tc>
        <w:tc>
          <w:tcPr>
            <w:tcW w:w="6460" w:type="dxa"/>
            <w:vAlign w:val="bottom"/>
            <w:gridSpan w:val="2"/>
            <w:shd w:val="clear" w:color="auto" w:fill="EAF9E8"/>
          </w:tcPr>
          <w:p>
            <w:pPr>
              <w:ind w:left="40"/>
              <w:spacing w:after="0"/>
              <w:rPr>
                <w:sz w:val="20"/>
                <w:szCs w:val="20"/>
                <w:color w:val="auto"/>
              </w:rPr>
            </w:pPr>
            <w:r>
              <w:rPr>
                <w:rFonts w:ascii="Arial" w:cs="Arial" w:eastAsia="Arial" w:hAnsi="Arial"/>
                <w:sz w:val="18"/>
                <w:szCs w:val="18"/>
                <w:color w:val="auto"/>
              </w:rPr>
              <w:t>Match funded liabilities</w:t>
            </w:r>
          </w:p>
        </w:tc>
        <w:tc>
          <w:tcPr>
            <w:tcW w:w="200" w:type="dxa"/>
            <w:vAlign w:val="bottom"/>
            <w:shd w:val="clear" w:color="auto" w:fill="EAF9E8"/>
          </w:tcPr>
          <w:p>
            <w:pPr>
              <w:spacing w:after="0"/>
              <w:rPr>
                <w:sz w:val="18"/>
                <w:szCs w:val="18"/>
                <w:color w:val="auto"/>
              </w:rPr>
            </w:pPr>
          </w:p>
        </w:tc>
        <w:tc>
          <w:tcPr>
            <w:tcW w:w="480" w:type="dxa"/>
            <w:vAlign w:val="bottom"/>
            <w:shd w:val="clear" w:color="auto" w:fill="EAF9E8"/>
          </w:tcPr>
          <w:p>
            <w:pPr>
              <w:spacing w:after="0"/>
              <w:rPr>
                <w:sz w:val="18"/>
                <w:szCs w:val="18"/>
                <w:color w:val="auto"/>
              </w:rPr>
            </w:pPr>
          </w:p>
        </w:tc>
        <w:tc>
          <w:tcPr>
            <w:tcW w:w="166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(11,916)</w:t>
            </w:r>
          </w:p>
        </w:tc>
        <w:tc>
          <w:tcPr>
            <w:tcW w:w="140" w:type="dxa"/>
            <w:vAlign w:val="bottom"/>
            <w:shd w:val="clear" w:color="auto" w:fill="EAF9E8"/>
          </w:tcPr>
          <w:p>
            <w:pPr>
              <w:spacing w:after="0"/>
              <w:rPr>
                <w:sz w:val="18"/>
                <w:szCs w:val="18"/>
                <w:color w:val="auto"/>
              </w:rPr>
            </w:pPr>
          </w:p>
        </w:tc>
        <w:tc>
          <w:tcPr>
            <w:tcW w:w="460" w:type="dxa"/>
            <w:vAlign w:val="bottom"/>
            <w:shd w:val="clear" w:color="auto" w:fill="EAF9E8"/>
          </w:tcPr>
          <w:p>
            <w:pPr>
              <w:spacing w:after="0"/>
              <w:rPr>
                <w:sz w:val="18"/>
                <w:szCs w:val="18"/>
                <w:color w:val="auto"/>
              </w:rPr>
            </w:pPr>
          </w:p>
        </w:tc>
        <w:tc>
          <w:tcPr>
            <w:tcW w:w="158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(17,700)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60" w:type="dxa"/>
            <w:vAlign w:val="bottom"/>
            <w:gridSpan w:val="2"/>
          </w:tcPr>
          <w:p>
            <w:pPr>
              <w:ind w:left="40"/>
              <w:spacing w:after="0"/>
              <w:rPr>
                <w:sz w:val="20"/>
                <w:szCs w:val="20"/>
                <w:color w:val="auto"/>
              </w:rPr>
            </w:pPr>
            <w:r>
              <w:rPr>
                <w:rFonts w:ascii="Arial" w:cs="Arial" w:eastAsia="Arial" w:hAnsi="Arial"/>
                <w:sz w:val="18"/>
                <w:szCs w:val="18"/>
                <w:color w:val="auto"/>
              </w:rPr>
              <w:t>Lines of credit and other secured borrowings</w:t>
            </w: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60" w:type="dxa"/>
            <w:vAlign w:val="bottom"/>
            <w:gridSpan w:val="2"/>
          </w:tcPr>
          <w:p>
            <w:pPr>
              <w:jc w:val="right"/>
              <w:ind w:right="140"/>
              <w:spacing w:after="0"/>
              <w:rPr>
                <w:sz w:val="20"/>
                <w:szCs w:val="20"/>
                <w:color w:val="auto"/>
              </w:rPr>
            </w:pPr>
            <w:r>
              <w:rPr>
                <w:rFonts w:ascii="Arial" w:cs="Arial" w:eastAsia="Arial" w:hAnsi="Arial"/>
                <w:sz w:val="18"/>
                <w:szCs w:val="18"/>
                <w:color w:val="auto"/>
              </w:rPr>
              <w:t>(1,129)</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80" w:type="dxa"/>
            <w:vAlign w:val="bottom"/>
            <w:gridSpan w:val="2"/>
          </w:tcPr>
          <w:p>
            <w:pPr>
              <w:jc w:val="right"/>
              <w:ind w:right="40"/>
              <w:spacing w:after="0"/>
              <w:rPr>
                <w:sz w:val="20"/>
                <w:szCs w:val="20"/>
                <w:color w:val="auto"/>
              </w:rPr>
            </w:pPr>
            <w:r>
              <w:rPr>
                <w:rFonts w:ascii="Arial" w:cs="Arial" w:eastAsia="Arial" w:hAnsi="Arial"/>
                <w:sz w:val="18"/>
                <w:szCs w:val="18"/>
                <w:color w:val="auto"/>
              </w:rPr>
              <w:t>(3,089)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 w:type="dxa"/>
            <w:vAlign w:val="bottom"/>
            <w:shd w:val="clear" w:color="auto" w:fill="EAF9E8"/>
          </w:tcPr>
          <w:p>
            <w:pPr>
              <w:spacing w:after="0"/>
              <w:rPr>
                <w:sz w:val="18"/>
                <w:szCs w:val="18"/>
                <w:color w:val="auto"/>
              </w:rPr>
            </w:pPr>
          </w:p>
        </w:tc>
        <w:tc>
          <w:tcPr>
            <w:tcW w:w="6460" w:type="dxa"/>
            <w:vAlign w:val="bottom"/>
            <w:gridSpan w:val="2"/>
            <w:shd w:val="clear" w:color="auto" w:fill="EAF9E8"/>
          </w:tcPr>
          <w:p>
            <w:pPr>
              <w:ind w:left="40"/>
              <w:spacing w:after="0"/>
              <w:rPr>
                <w:sz w:val="20"/>
                <w:szCs w:val="20"/>
                <w:color w:val="auto"/>
              </w:rPr>
            </w:pPr>
            <w:r>
              <w:rPr>
                <w:rFonts w:ascii="Arial" w:cs="Arial" w:eastAsia="Arial" w:hAnsi="Arial"/>
                <w:sz w:val="18"/>
                <w:szCs w:val="18"/>
                <w:color w:val="auto"/>
              </w:rPr>
              <w:t>Other</w:t>
            </w:r>
          </w:p>
        </w:tc>
        <w:tc>
          <w:tcPr>
            <w:tcW w:w="200" w:type="dxa"/>
            <w:vAlign w:val="bottom"/>
            <w:shd w:val="clear" w:color="auto" w:fill="EAF9E8"/>
          </w:tcPr>
          <w:p>
            <w:pPr>
              <w:spacing w:after="0"/>
              <w:rPr>
                <w:sz w:val="18"/>
                <w:szCs w:val="18"/>
                <w:color w:val="auto"/>
              </w:rPr>
            </w:pPr>
          </w:p>
        </w:tc>
        <w:tc>
          <w:tcPr>
            <w:tcW w:w="480" w:type="dxa"/>
            <w:vAlign w:val="bottom"/>
            <w:shd w:val="clear" w:color="auto" w:fill="EAF9E8"/>
          </w:tcPr>
          <w:p>
            <w:pPr>
              <w:spacing w:after="0"/>
              <w:rPr>
                <w:sz w:val="18"/>
                <w:szCs w:val="18"/>
                <w:color w:val="auto"/>
              </w:rPr>
            </w:pPr>
          </w:p>
        </w:tc>
        <w:tc>
          <w:tcPr>
            <w:tcW w:w="166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(2,458)</w:t>
            </w:r>
          </w:p>
        </w:tc>
        <w:tc>
          <w:tcPr>
            <w:tcW w:w="140" w:type="dxa"/>
            <w:vAlign w:val="bottom"/>
            <w:shd w:val="clear" w:color="auto" w:fill="EAF9E8"/>
          </w:tcPr>
          <w:p>
            <w:pPr>
              <w:spacing w:after="0"/>
              <w:rPr>
                <w:sz w:val="18"/>
                <w:szCs w:val="18"/>
                <w:color w:val="auto"/>
              </w:rPr>
            </w:pPr>
          </w:p>
        </w:tc>
        <w:tc>
          <w:tcPr>
            <w:tcW w:w="460" w:type="dxa"/>
            <w:vAlign w:val="bottom"/>
            <w:shd w:val="clear" w:color="auto" w:fill="EAF9E8"/>
          </w:tcPr>
          <w:p>
            <w:pPr>
              <w:spacing w:after="0"/>
              <w:rPr>
                <w:sz w:val="18"/>
                <w:szCs w:val="18"/>
                <w:color w:val="auto"/>
              </w:rPr>
            </w:pPr>
          </w:p>
        </w:tc>
        <w:tc>
          <w:tcPr>
            <w:tcW w:w="158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(2,216)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660" w:type="dxa"/>
            <w:vAlign w:val="bottom"/>
            <w:gridSpan w:val="2"/>
          </w:tcPr>
          <w:p>
            <w:pPr>
              <w:spacing w:after="0"/>
              <w:rPr>
                <w:sz w:val="21"/>
                <w:szCs w:val="21"/>
                <w:color w:val="auto"/>
              </w:rPr>
            </w:pPr>
          </w:p>
        </w:tc>
        <w:tc>
          <w:tcPr>
            <w:tcW w:w="1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580" w:type="dxa"/>
            <w:vAlign w:val="bottom"/>
            <w:gridSpan w:val="2"/>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(15,503)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(23,005)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gridSpan w:val="3"/>
            <w:shd w:val="clear" w:color="auto" w:fill="EAF9E8"/>
          </w:tcPr>
          <w:p>
            <w:pPr>
              <w:ind w:left="140"/>
              <w:spacing w:after="0"/>
              <w:rPr>
                <w:sz w:val="20"/>
                <w:szCs w:val="20"/>
                <w:color w:val="auto"/>
              </w:rPr>
            </w:pPr>
            <w:r>
              <w:rPr>
                <w:rFonts w:ascii="Arial" w:cs="Arial" w:eastAsia="Arial" w:hAnsi="Arial"/>
                <w:sz w:val="18"/>
                <w:szCs w:val="18"/>
                <w:color w:val="auto"/>
              </w:rPr>
              <w:t>Other</w:t>
            </w:r>
          </w:p>
        </w:tc>
        <w:tc>
          <w:tcPr>
            <w:tcW w:w="200" w:type="dxa"/>
            <w:vAlign w:val="bottom"/>
            <w:shd w:val="clear" w:color="auto" w:fill="EAF9E8"/>
          </w:tcPr>
          <w:p>
            <w:pPr>
              <w:spacing w:after="0"/>
              <w:rPr>
                <w:sz w:val="18"/>
                <w:szCs w:val="18"/>
                <w:color w:val="auto"/>
              </w:rPr>
            </w:pPr>
          </w:p>
        </w:tc>
        <w:tc>
          <w:tcPr>
            <w:tcW w:w="480" w:type="dxa"/>
            <w:vAlign w:val="bottom"/>
            <w:shd w:val="clear" w:color="auto" w:fill="EAF9E8"/>
          </w:tcPr>
          <w:p>
            <w:pPr>
              <w:spacing w:after="0"/>
              <w:rPr>
                <w:sz w:val="18"/>
                <w:szCs w:val="18"/>
                <w:color w:val="auto"/>
              </w:rPr>
            </w:pPr>
          </w:p>
        </w:tc>
        <w:tc>
          <w:tcPr>
            <w:tcW w:w="14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223</w:t>
            </w:r>
          </w:p>
        </w:tc>
        <w:tc>
          <w:tcPr>
            <w:tcW w:w="2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460" w:type="dxa"/>
            <w:vAlign w:val="bottom"/>
            <w:shd w:val="clear" w:color="auto" w:fill="EAF9E8"/>
          </w:tcPr>
          <w:p>
            <w:pPr>
              <w:spacing w:after="0"/>
              <w:rPr>
                <w:sz w:val="18"/>
                <w:szCs w:val="18"/>
                <w:color w:val="auto"/>
              </w:rPr>
            </w:pPr>
          </w:p>
        </w:tc>
        <w:tc>
          <w:tcPr>
            <w:tcW w:w="158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460" w:type="dxa"/>
            <w:vAlign w:val="bottom"/>
            <w:gridSpan w:val="2"/>
            <w:vMerge w:val="restart"/>
          </w:tcPr>
          <w:p>
            <w:pPr>
              <w:ind w:left="40"/>
              <w:spacing w:after="0"/>
              <w:rPr>
                <w:sz w:val="20"/>
                <w:szCs w:val="20"/>
                <w:color w:val="auto"/>
              </w:rPr>
            </w:pPr>
            <w:r>
              <w:rPr>
                <w:rFonts w:ascii="Arial" w:cs="Arial" w:eastAsia="Arial" w:hAnsi="Arial"/>
                <w:sz w:val="18"/>
                <w:szCs w:val="18"/>
                <w:color w:val="auto"/>
              </w:rPr>
              <w:t>Total other expense</w:t>
            </w:r>
          </w:p>
        </w:tc>
        <w:tc>
          <w:tcPr>
            <w:tcW w:w="2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660" w:type="dxa"/>
            <w:vAlign w:val="bottom"/>
            <w:gridSpan w:val="2"/>
          </w:tcPr>
          <w:p>
            <w:pPr>
              <w:spacing w:after="0"/>
              <w:rPr>
                <w:sz w:val="21"/>
                <w:szCs w:val="21"/>
                <w:color w:val="auto"/>
              </w:rPr>
            </w:pPr>
          </w:p>
        </w:tc>
        <w:tc>
          <w:tcPr>
            <w:tcW w:w="1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580" w:type="dxa"/>
            <w:vAlign w:val="bottom"/>
            <w:gridSpan w:val="2"/>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6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(15,280)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(23,131)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40" w:type="dxa"/>
            <w:vAlign w:val="bottom"/>
            <w:gridSpan w:val="2"/>
          </w:tcPr>
          <w:p>
            <w:pPr>
              <w:spacing w:after="0"/>
              <w:rPr>
                <w:sz w:val="20"/>
                <w:szCs w:val="20"/>
                <w:color w:val="auto"/>
              </w:rPr>
            </w:pPr>
          </w:p>
        </w:tc>
        <w:tc>
          <w:tcPr>
            <w:tcW w:w="6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gridSpan w:val="2"/>
          </w:tcPr>
          <w:p>
            <w:pPr>
              <w:spacing w:after="0"/>
              <w:rPr>
                <w:sz w:val="20"/>
                <w:szCs w:val="20"/>
                <w:color w:val="auto"/>
              </w:rPr>
            </w:pPr>
          </w:p>
        </w:tc>
        <w:tc>
          <w:tcPr>
            <w:tcW w:w="1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gridSpan w:val="2"/>
          </w:tcPr>
          <w:p>
            <w:pPr>
              <w:spacing w:after="0"/>
              <w:rPr>
                <w:sz w:val="20"/>
                <w:szCs w:val="20"/>
                <w:color w:val="auto"/>
              </w:rPr>
            </w:pPr>
          </w:p>
        </w:tc>
        <w:tc>
          <w:tcPr>
            <w:tcW w:w="158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80" w:type="dxa"/>
            <w:vAlign w:val="bottom"/>
            <w:gridSpan w:val="3"/>
            <w:shd w:val="clear" w:color="auto" w:fill="EAF9E8"/>
          </w:tcPr>
          <w:p>
            <w:pPr>
              <w:spacing w:after="0"/>
              <w:rPr>
                <w:sz w:val="20"/>
                <w:szCs w:val="20"/>
                <w:color w:val="auto"/>
              </w:rPr>
            </w:pPr>
            <w:r>
              <w:rPr>
                <w:rFonts w:ascii="Arial" w:cs="Arial" w:eastAsia="Arial" w:hAnsi="Arial"/>
                <w:sz w:val="18"/>
                <w:szCs w:val="18"/>
                <w:color w:val="auto"/>
              </w:rPr>
              <w:t>Income before income taxes</w:t>
            </w:r>
          </w:p>
        </w:tc>
        <w:tc>
          <w:tcPr>
            <w:tcW w:w="200" w:type="dxa"/>
            <w:vAlign w:val="bottom"/>
            <w:shd w:val="clear" w:color="auto" w:fill="EAF9E8"/>
          </w:tcPr>
          <w:p>
            <w:pPr>
              <w:spacing w:after="0"/>
              <w:rPr>
                <w:sz w:val="18"/>
                <w:szCs w:val="18"/>
                <w:color w:val="auto"/>
              </w:rPr>
            </w:pPr>
          </w:p>
        </w:tc>
        <w:tc>
          <w:tcPr>
            <w:tcW w:w="480" w:type="dxa"/>
            <w:vAlign w:val="bottom"/>
            <w:tcBorders>
              <w:top w:val="single" w:sz="8" w:color="auto"/>
            </w:tcBorders>
            <w:shd w:val="clear" w:color="auto" w:fill="EAF9E8"/>
          </w:tcPr>
          <w:p>
            <w:pPr>
              <w:jc w:val="right"/>
              <w:ind w:right="323"/>
              <w:spacing w:after="0"/>
              <w:rPr>
                <w:sz w:val="20"/>
                <w:szCs w:val="20"/>
                <w:color w:val="auto"/>
              </w:rPr>
            </w:pPr>
            <w:r>
              <w:rPr>
                <w:rFonts w:ascii="Arial" w:cs="Arial" w:eastAsia="Arial" w:hAnsi="Arial"/>
                <w:sz w:val="15"/>
                <w:szCs w:val="15"/>
                <w:color w:val="auto"/>
                <w:w w:val="71"/>
              </w:rPr>
              <w:t>$</w:t>
            </w:r>
          </w:p>
        </w:tc>
        <w:tc>
          <w:tcPr>
            <w:tcW w:w="146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25,196</w:t>
            </w:r>
          </w:p>
        </w:tc>
        <w:tc>
          <w:tcPr>
            <w:tcW w:w="2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460" w:type="dxa"/>
            <w:vAlign w:val="bottom"/>
            <w:tcBorders>
              <w:top w:val="single" w:sz="8" w:color="auto"/>
            </w:tcBorders>
            <w:shd w:val="clear" w:color="auto" w:fill="EAF9E8"/>
          </w:tcPr>
          <w:p>
            <w:pPr>
              <w:jc w:val="right"/>
              <w:ind w:right="303"/>
              <w:spacing w:after="0"/>
              <w:rPr>
                <w:sz w:val="20"/>
                <w:szCs w:val="20"/>
                <w:color w:val="auto"/>
              </w:rPr>
            </w:pPr>
            <w:r>
              <w:rPr>
                <w:rFonts w:ascii="Arial" w:cs="Arial" w:eastAsia="Arial" w:hAnsi="Arial"/>
                <w:sz w:val="15"/>
                <w:szCs w:val="15"/>
                <w:color w:val="auto"/>
                <w:w w:val="71"/>
              </w:rPr>
              <w:t>$</w:t>
            </w:r>
          </w:p>
        </w:tc>
        <w:tc>
          <w:tcPr>
            <w:tcW w:w="148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21,429</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 xml:space="preserve">Servicing and Subservicing Fees. </w:t>
      </w:r>
      <w:r>
        <w:rPr>
          <w:rFonts w:ascii="Arial" w:cs="Arial" w:eastAsia="Arial" w:hAnsi="Arial"/>
          <w:sz w:val="18"/>
          <w:szCs w:val="18"/>
          <w:color w:val="auto"/>
        </w:rPr>
        <w:t>The principal components of servicing and subservicing fees for the three months ended March 31 are:</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86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00" w:type="dxa"/>
            <w:vAlign w:val="bottom"/>
          </w:tcPr>
          <w:p>
            <w:pPr>
              <w:jc w:val="right"/>
              <w:ind w:right="712"/>
              <w:spacing w:after="0"/>
              <w:rPr>
                <w:sz w:val="20"/>
                <w:szCs w:val="20"/>
                <w:color w:val="auto"/>
              </w:rPr>
            </w:pPr>
            <w:r>
              <w:rPr>
                <w:rFonts w:ascii="Arial" w:cs="Arial" w:eastAsia="Arial" w:hAnsi="Arial"/>
                <w:sz w:val="18"/>
                <w:szCs w:val="18"/>
                <w:color w:val="auto"/>
              </w:rPr>
              <w:t>2009</w:t>
            </w:r>
          </w:p>
        </w:tc>
        <w:tc>
          <w:tcPr>
            <w:tcW w:w="3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00" w:type="dxa"/>
            <w:vAlign w:val="bottom"/>
          </w:tcPr>
          <w:p>
            <w:pPr>
              <w:jc w:val="right"/>
              <w:ind w:right="712"/>
              <w:spacing w:after="0"/>
              <w:rPr>
                <w:sz w:val="20"/>
                <w:szCs w:val="20"/>
                <w:color w:val="auto"/>
              </w:rPr>
            </w:pPr>
            <w:r>
              <w:rPr>
                <w:rFonts w:ascii="Arial" w:cs="Arial" w:eastAsia="Arial" w:hAnsi="Arial"/>
                <w:sz w:val="18"/>
                <w:szCs w:val="18"/>
                <w:color w:val="auto"/>
              </w:rPr>
              <w:t>2008</w:t>
            </w:r>
          </w:p>
        </w:tc>
        <w:tc>
          <w:tcPr>
            <w:tcW w:w="100" w:type="dxa"/>
            <w:vAlign w:val="bottom"/>
          </w:tcPr>
          <w:p>
            <w:pPr>
              <w:spacing w:after="0"/>
              <w:rPr>
                <w:sz w:val="19"/>
                <w:szCs w:val="19"/>
                <w:color w:val="auto"/>
              </w:rPr>
            </w:pPr>
          </w:p>
        </w:tc>
      </w:tr>
      <w:tr>
        <w:trPr>
          <w:trHeight w:val="245"/>
        </w:trPr>
        <w:tc>
          <w:tcPr>
            <w:tcW w:w="4860" w:type="dxa"/>
            <w:vAlign w:val="bottom"/>
          </w:tcPr>
          <w:p>
            <w:pPr>
              <w:spacing w:after="0"/>
              <w:rPr>
                <w:sz w:val="21"/>
                <w:szCs w:val="21"/>
                <w:color w:val="auto"/>
              </w:rPr>
            </w:pPr>
          </w:p>
        </w:tc>
        <w:tc>
          <w:tcPr>
            <w:tcW w:w="2240" w:type="dxa"/>
            <w:vAlign w:val="bottom"/>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spacing w:after="0"/>
              <w:rPr>
                <w:sz w:val="21"/>
                <w:szCs w:val="21"/>
                <w:color w:val="auto"/>
              </w:rPr>
            </w:pPr>
          </w:p>
        </w:tc>
        <w:tc>
          <w:tcPr>
            <w:tcW w:w="340" w:type="dxa"/>
            <w:vAlign w:val="bottom"/>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10"/>
        </w:trPr>
        <w:tc>
          <w:tcPr>
            <w:tcW w:w="4860" w:type="dxa"/>
            <w:vAlign w:val="bottom"/>
            <w:shd w:val="clear" w:color="auto" w:fill="EAF9E8"/>
          </w:tcPr>
          <w:p>
            <w:pPr>
              <w:spacing w:after="0"/>
              <w:rPr>
                <w:sz w:val="20"/>
                <w:szCs w:val="20"/>
                <w:color w:val="auto"/>
              </w:rPr>
            </w:pPr>
            <w:r>
              <w:rPr>
                <w:rFonts w:ascii="Arial" w:cs="Arial" w:eastAsia="Arial" w:hAnsi="Arial"/>
                <w:sz w:val="18"/>
                <w:szCs w:val="18"/>
                <w:color w:val="auto"/>
              </w:rPr>
              <w:t>Residential</w:t>
            </w:r>
          </w:p>
        </w:tc>
        <w:tc>
          <w:tcPr>
            <w:tcW w:w="2240" w:type="dxa"/>
            <w:vAlign w:val="bottom"/>
            <w:shd w:val="clear" w:color="auto" w:fill="EAF9E8"/>
          </w:tcPr>
          <w:p>
            <w:pPr>
              <w:spacing w:after="0"/>
              <w:rPr>
                <w:sz w:val="18"/>
                <w:szCs w:val="18"/>
                <w:color w:val="auto"/>
              </w:rPr>
            </w:pPr>
          </w:p>
        </w:tc>
        <w:tc>
          <w:tcPr>
            <w:tcW w:w="440" w:type="dxa"/>
            <w:vAlign w:val="bottom"/>
            <w:shd w:val="clear" w:color="auto" w:fill="EAF9E8"/>
          </w:tcPr>
          <w:p>
            <w:pPr>
              <w:spacing w:after="0"/>
              <w:rPr>
                <w:sz w:val="18"/>
                <w:szCs w:val="18"/>
                <w:color w:val="auto"/>
              </w:rPr>
            </w:pPr>
          </w:p>
        </w:tc>
        <w:tc>
          <w:tcPr>
            <w:tcW w:w="150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440" w:type="dxa"/>
            <w:vAlign w:val="bottom"/>
            <w:shd w:val="clear" w:color="auto" w:fill="EAF9E8"/>
          </w:tcPr>
          <w:p>
            <w:pPr>
              <w:spacing w:after="0"/>
              <w:rPr>
                <w:sz w:val="18"/>
                <w:szCs w:val="18"/>
                <w:color w:val="auto"/>
              </w:rPr>
            </w:pPr>
          </w:p>
        </w:tc>
        <w:tc>
          <w:tcPr>
            <w:tcW w:w="150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r>
      <w:tr>
        <w:trPr>
          <w:trHeight w:val="216"/>
        </w:trPr>
        <w:tc>
          <w:tcPr>
            <w:tcW w:w="4860" w:type="dxa"/>
            <w:vAlign w:val="bottom"/>
          </w:tcPr>
          <w:p>
            <w:pPr>
              <w:ind w:left="160"/>
              <w:spacing w:after="0"/>
              <w:rPr>
                <w:sz w:val="20"/>
                <w:szCs w:val="20"/>
                <w:color w:val="auto"/>
              </w:rPr>
            </w:pPr>
            <w:r>
              <w:rPr>
                <w:rFonts w:ascii="Arial" w:cs="Arial" w:eastAsia="Arial" w:hAnsi="Arial"/>
                <w:sz w:val="18"/>
                <w:szCs w:val="18"/>
                <w:color w:val="auto"/>
              </w:rPr>
              <w:t>Loan servicing and subservicing</w:t>
            </w:r>
          </w:p>
        </w:tc>
        <w:tc>
          <w:tcPr>
            <w:tcW w:w="2680" w:type="dxa"/>
            <w:vAlign w:val="bottom"/>
            <w:gridSpan w:val="2"/>
          </w:tcPr>
          <w:p>
            <w:pPr>
              <w:jc w:val="right"/>
              <w:ind w:right="283"/>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45,878</w:t>
            </w:r>
          </w:p>
        </w:tc>
        <w:tc>
          <w:tcPr>
            <w:tcW w:w="780" w:type="dxa"/>
            <w:vAlign w:val="bottom"/>
            <w:gridSpan w:val="2"/>
          </w:tcPr>
          <w:p>
            <w:pPr>
              <w:jc w:val="right"/>
              <w:ind w:right="283"/>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55,187</w:t>
            </w:r>
          </w:p>
        </w:tc>
      </w:tr>
      <w:tr>
        <w:trPr>
          <w:trHeight w:val="216"/>
        </w:trPr>
        <w:tc>
          <w:tcPr>
            <w:tcW w:w="4860" w:type="dxa"/>
            <w:vAlign w:val="bottom"/>
            <w:shd w:val="clear" w:color="auto" w:fill="EAF9E8"/>
          </w:tcPr>
          <w:p>
            <w:pPr>
              <w:ind w:left="160"/>
              <w:spacing w:after="0"/>
              <w:rPr>
                <w:sz w:val="20"/>
                <w:szCs w:val="20"/>
                <w:color w:val="auto"/>
              </w:rPr>
            </w:pPr>
            <w:r>
              <w:rPr>
                <w:rFonts w:ascii="Arial" w:cs="Arial" w:eastAsia="Arial" w:hAnsi="Arial"/>
                <w:sz w:val="18"/>
                <w:szCs w:val="18"/>
                <w:color w:val="auto"/>
              </w:rPr>
              <w:t>Late charges</w:t>
            </w:r>
          </w:p>
        </w:tc>
        <w:tc>
          <w:tcPr>
            <w:tcW w:w="2240" w:type="dxa"/>
            <w:vAlign w:val="bottom"/>
            <w:shd w:val="clear" w:color="auto" w:fill="EAF9E8"/>
          </w:tcPr>
          <w:p>
            <w:pPr>
              <w:spacing w:after="0"/>
              <w:rPr>
                <w:sz w:val="18"/>
                <w:szCs w:val="18"/>
                <w:color w:val="auto"/>
              </w:rPr>
            </w:pPr>
          </w:p>
        </w:tc>
        <w:tc>
          <w:tcPr>
            <w:tcW w:w="440" w:type="dxa"/>
            <w:vAlign w:val="bottom"/>
            <w:shd w:val="clear" w:color="auto" w:fill="EAF9E8"/>
          </w:tcPr>
          <w:p>
            <w:pPr>
              <w:spacing w:after="0"/>
              <w:rPr>
                <w:sz w:val="18"/>
                <w:szCs w:val="18"/>
                <w:color w:val="auto"/>
              </w:rPr>
            </w:pPr>
          </w:p>
        </w:tc>
        <w:tc>
          <w:tcPr>
            <w:tcW w:w="15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10,698</w:t>
            </w:r>
          </w:p>
        </w:tc>
        <w:tc>
          <w:tcPr>
            <w:tcW w:w="340" w:type="dxa"/>
            <w:vAlign w:val="bottom"/>
            <w:shd w:val="clear" w:color="auto" w:fill="EAF9E8"/>
          </w:tcPr>
          <w:p>
            <w:pPr>
              <w:spacing w:after="0"/>
              <w:rPr>
                <w:sz w:val="18"/>
                <w:szCs w:val="18"/>
                <w:color w:val="auto"/>
              </w:rPr>
            </w:pPr>
          </w:p>
        </w:tc>
        <w:tc>
          <w:tcPr>
            <w:tcW w:w="440" w:type="dxa"/>
            <w:vAlign w:val="bottom"/>
            <w:shd w:val="clear" w:color="auto" w:fill="EAF9E8"/>
          </w:tcPr>
          <w:p>
            <w:pPr>
              <w:spacing w:after="0"/>
              <w:rPr>
                <w:sz w:val="18"/>
                <w:szCs w:val="18"/>
                <w:color w:val="auto"/>
              </w:rPr>
            </w:pPr>
          </w:p>
        </w:tc>
        <w:tc>
          <w:tcPr>
            <w:tcW w:w="160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10,711</w:t>
            </w:r>
          </w:p>
        </w:tc>
      </w:tr>
      <w:tr>
        <w:trPr>
          <w:trHeight w:val="216"/>
        </w:trPr>
        <w:tc>
          <w:tcPr>
            <w:tcW w:w="4860" w:type="dxa"/>
            <w:vAlign w:val="bottom"/>
          </w:tcPr>
          <w:p>
            <w:pPr>
              <w:ind w:left="160"/>
              <w:spacing w:after="0"/>
              <w:rPr>
                <w:sz w:val="20"/>
                <w:szCs w:val="20"/>
                <w:color w:val="auto"/>
              </w:rPr>
            </w:pPr>
            <w:r>
              <w:rPr>
                <w:rFonts w:ascii="Arial" w:cs="Arial" w:eastAsia="Arial" w:hAnsi="Arial"/>
                <w:sz w:val="18"/>
                <w:szCs w:val="18"/>
                <w:color w:val="auto"/>
              </w:rPr>
              <w:t>Custodial accounts (float earnings)</w:t>
            </w:r>
          </w:p>
        </w:tc>
        <w:tc>
          <w:tcPr>
            <w:tcW w:w="2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1,850</w:t>
            </w: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4,433</w:t>
            </w:r>
          </w:p>
        </w:tc>
      </w:tr>
      <w:tr>
        <w:trPr>
          <w:trHeight w:val="216"/>
        </w:trPr>
        <w:tc>
          <w:tcPr>
            <w:tcW w:w="4860" w:type="dxa"/>
            <w:vAlign w:val="bottom"/>
            <w:shd w:val="clear" w:color="auto" w:fill="EAF9E8"/>
          </w:tcPr>
          <w:p>
            <w:pPr>
              <w:ind w:left="160"/>
              <w:spacing w:after="0"/>
              <w:rPr>
                <w:sz w:val="20"/>
                <w:szCs w:val="20"/>
                <w:color w:val="auto"/>
              </w:rPr>
            </w:pPr>
            <w:r>
              <w:rPr>
                <w:rFonts w:ascii="Arial" w:cs="Arial" w:eastAsia="Arial" w:hAnsi="Arial"/>
                <w:sz w:val="18"/>
                <w:szCs w:val="18"/>
                <w:color w:val="auto"/>
              </w:rPr>
              <w:t>Loan collection fees</w:t>
            </w:r>
          </w:p>
        </w:tc>
        <w:tc>
          <w:tcPr>
            <w:tcW w:w="2240" w:type="dxa"/>
            <w:vAlign w:val="bottom"/>
            <w:shd w:val="clear" w:color="auto" w:fill="EAF9E8"/>
          </w:tcPr>
          <w:p>
            <w:pPr>
              <w:spacing w:after="0"/>
              <w:rPr>
                <w:sz w:val="18"/>
                <w:szCs w:val="18"/>
                <w:color w:val="auto"/>
              </w:rPr>
            </w:pPr>
          </w:p>
        </w:tc>
        <w:tc>
          <w:tcPr>
            <w:tcW w:w="440" w:type="dxa"/>
            <w:vAlign w:val="bottom"/>
            <w:shd w:val="clear" w:color="auto" w:fill="EAF9E8"/>
          </w:tcPr>
          <w:p>
            <w:pPr>
              <w:spacing w:after="0"/>
              <w:rPr>
                <w:sz w:val="18"/>
                <w:szCs w:val="18"/>
                <w:color w:val="auto"/>
              </w:rPr>
            </w:pPr>
          </w:p>
        </w:tc>
        <w:tc>
          <w:tcPr>
            <w:tcW w:w="15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2,065</w:t>
            </w:r>
          </w:p>
        </w:tc>
        <w:tc>
          <w:tcPr>
            <w:tcW w:w="340" w:type="dxa"/>
            <w:vAlign w:val="bottom"/>
            <w:shd w:val="clear" w:color="auto" w:fill="EAF9E8"/>
          </w:tcPr>
          <w:p>
            <w:pPr>
              <w:spacing w:after="0"/>
              <w:rPr>
                <w:sz w:val="18"/>
                <w:szCs w:val="18"/>
                <w:color w:val="auto"/>
              </w:rPr>
            </w:pPr>
          </w:p>
        </w:tc>
        <w:tc>
          <w:tcPr>
            <w:tcW w:w="440" w:type="dxa"/>
            <w:vAlign w:val="bottom"/>
            <w:shd w:val="clear" w:color="auto" w:fill="EAF9E8"/>
          </w:tcPr>
          <w:p>
            <w:pPr>
              <w:spacing w:after="0"/>
              <w:rPr>
                <w:sz w:val="18"/>
                <w:szCs w:val="18"/>
                <w:color w:val="auto"/>
              </w:rPr>
            </w:pPr>
          </w:p>
        </w:tc>
        <w:tc>
          <w:tcPr>
            <w:tcW w:w="160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2,918</w:t>
            </w:r>
          </w:p>
        </w:tc>
      </w:tr>
      <w:tr>
        <w:trPr>
          <w:trHeight w:val="222"/>
        </w:trPr>
        <w:tc>
          <w:tcPr>
            <w:tcW w:w="4860" w:type="dxa"/>
            <w:vAlign w:val="bottom"/>
          </w:tcPr>
          <w:p>
            <w:pPr>
              <w:ind w:left="160"/>
              <w:spacing w:after="0"/>
              <w:rPr>
                <w:sz w:val="20"/>
                <w:szCs w:val="20"/>
                <w:color w:val="auto"/>
              </w:rPr>
            </w:pPr>
            <w:r>
              <w:rPr>
                <w:rFonts w:ascii="Arial" w:cs="Arial" w:eastAsia="Arial" w:hAnsi="Arial"/>
                <w:sz w:val="18"/>
                <w:szCs w:val="18"/>
                <w:color w:val="auto"/>
              </w:rPr>
              <w:t>Other</w:t>
            </w:r>
          </w:p>
        </w:tc>
        <w:tc>
          <w:tcPr>
            <w:tcW w:w="2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4,149</w:t>
            </w:r>
          </w:p>
        </w:tc>
        <w:tc>
          <w:tcPr>
            <w:tcW w:w="3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6,925</w:t>
            </w:r>
          </w:p>
        </w:tc>
      </w:tr>
      <w:tr>
        <w:trPr>
          <w:trHeight w:val="237"/>
        </w:trPr>
        <w:tc>
          <w:tcPr>
            <w:tcW w:w="486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0" w:type="dxa"/>
            <w:vAlign w:val="bottom"/>
            <w:gridSpan w:val="2"/>
          </w:tcPr>
          <w:p>
            <w:pPr>
              <w:spacing w:after="0"/>
              <w:rPr>
                <w:sz w:val="20"/>
                <w:szCs w:val="20"/>
                <w:color w:val="auto"/>
              </w:rPr>
            </w:pPr>
          </w:p>
        </w:tc>
      </w:tr>
      <w:tr>
        <w:trPr>
          <w:trHeight w:val="210"/>
        </w:trPr>
        <w:tc>
          <w:tcPr>
            <w:tcW w:w="4860" w:type="dxa"/>
            <w:vAlign w:val="bottom"/>
            <w:shd w:val="clear" w:color="auto" w:fill="EAF9E8"/>
          </w:tcPr>
          <w:p>
            <w:pPr>
              <w:spacing w:after="0"/>
              <w:rPr>
                <w:sz w:val="18"/>
                <w:szCs w:val="18"/>
                <w:color w:val="auto"/>
              </w:rPr>
            </w:pPr>
          </w:p>
        </w:tc>
        <w:tc>
          <w:tcPr>
            <w:tcW w:w="2240" w:type="dxa"/>
            <w:vAlign w:val="bottom"/>
            <w:shd w:val="clear" w:color="auto" w:fill="EAF9E8"/>
          </w:tcPr>
          <w:p>
            <w:pPr>
              <w:spacing w:after="0"/>
              <w:rPr>
                <w:sz w:val="18"/>
                <w:szCs w:val="18"/>
                <w:color w:val="auto"/>
              </w:rPr>
            </w:pPr>
          </w:p>
        </w:tc>
        <w:tc>
          <w:tcPr>
            <w:tcW w:w="440" w:type="dxa"/>
            <w:vAlign w:val="bottom"/>
            <w:tcBorders>
              <w:top w:val="single" w:sz="8" w:color="auto"/>
            </w:tcBorders>
            <w:shd w:val="clear" w:color="auto" w:fill="EAF9E8"/>
          </w:tcPr>
          <w:p>
            <w:pPr>
              <w:spacing w:after="0"/>
              <w:rPr>
                <w:sz w:val="18"/>
                <w:szCs w:val="18"/>
                <w:color w:val="auto"/>
              </w:rPr>
            </w:pPr>
          </w:p>
        </w:tc>
        <w:tc>
          <w:tcPr>
            <w:tcW w:w="150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64,640</w:t>
            </w:r>
          </w:p>
        </w:tc>
        <w:tc>
          <w:tcPr>
            <w:tcW w:w="340" w:type="dxa"/>
            <w:vAlign w:val="bottom"/>
            <w:shd w:val="clear" w:color="auto" w:fill="EAF9E8"/>
          </w:tcPr>
          <w:p>
            <w:pPr>
              <w:spacing w:after="0"/>
              <w:rPr>
                <w:sz w:val="18"/>
                <w:szCs w:val="18"/>
                <w:color w:val="auto"/>
              </w:rPr>
            </w:pPr>
          </w:p>
        </w:tc>
        <w:tc>
          <w:tcPr>
            <w:tcW w:w="440" w:type="dxa"/>
            <w:vAlign w:val="bottom"/>
            <w:tcBorders>
              <w:top w:val="single" w:sz="8" w:color="auto"/>
            </w:tcBorders>
            <w:shd w:val="clear" w:color="auto" w:fill="EAF9E8"/>
          </w:tcPr>
          <w:p>
            <w:pPr>
              <w:spacing w:after="0"/>
              <w:rPr>
                <w:sz w:val="18"/>
                <w:szCs w:val="18"/>
                <w:color w:val="auto"/>
              </w:rPr>
            </w:pPr>
          </w:p>
        </w:tc>
        <w:tc>
          <w:tcPr>
            <w:tcW w:w="150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80,174</w:t>
            </w:r>
          </w:p>
        </w:tc>
        <w:tc>
          <w:tcPr>
            <w:tcW w:w="100" w:type="dxa"/>
            <w:vAlign w:val="bottom"/>
            <w:shd w:val="clear" w:color="auto" w:fill="EAF9E8"/>
          </w:tcPr>
          <w:p>
            <w:pPr>
              <w:spacing w:after="0"/>
              <w:rPr>
                <w:sz w:val="18"/>
                <w:szCs w:val="18"/>
                <w:color w:val="auto"/>
              </w:rPr>
            </w:pPr>
          </w:p>
        </w:tc>
      </w:tr>
      <w:tr>
        <w:trPr>
          <w:trHeight w:val="222"/>
        </w:trPr>
        <w:tc>
          <w:tcPr>
            <w:tcW w:w="4860" w:type="dxa"/>
            <w:vAlign w:val="bottom"/>
          </w:tcPr>
          <w:p>
            <w:pPr>
              <w:spacing w:after="0"/>
              <w:rPr>
                <w:sz w:val="20"/>
                <w:szCs w:val="20"/>
                <w:color w:val="auto"/>
              </w:rPr>
            </w:pPr>
            <w:r>
              <w:rPr>
                <w:rFonts w:ascii="Arial" w:cs="Arial" w:eastAsia="Arial" w:hAnsi="Arial"/>
                <w:sz w:val="18"/>
                <w:szCs w:val="18"/>
                <w:color w:val="auto"/>
              </w:rPr>
              <w:t>Commercial (US)</w:t>
            </w:r>
          </w:p>
        </w:tc>
        <w:tc>
          <w:tcPr>
            <w:tcW w:w="2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339</w:t>
            </w:r>
          </w:p>
        </w:tc>
        <w:tc>
          <w:tcPr>
            <w:tcW w:w="3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163</w:t>
            </w:r>
          </w:p>
        </w:tc>
      </w:tr>
      <w:tr>
        <w:trPr>
          <w:trHeight w:val="237"/>
        </w:trPr>
        <w:tc>
          <w:tcPr>
            <w:tcW w:w="4860" w:type="dxa"/>
            <w:vAlign w:val="bottom"/>
          </w:tcPr>
          <w:p>
            <w:pPr>
              <w:spacing w:after="0"/>
              <w:rPr>
                <w:sz w:val="20"/>
                <w:szCs w:val="20"/>
                <w:color w:val="auto"/>
              </w:rPr>
            </w:pPr>
          </w:p>
        </w:tc>
        <w:tc>
          <w:tcPr>
            <w:tcW w:w="2680" w:type="dxa"/>
            <w:vAlign w:val="bottom"/>
            <w:gridSpan w:val="2"/>
          </w:tcPr>
          <w:p>
            <w:pPr>
              <w:spacing w:after="0"/>
              <w:rPr>
                <w:sz w:val="20"/>
                <w:szCs w:val="20"/>
                <w:color w:val="auto"/>
              </w:rPr>
            </w:pPr>
          </w:p>
        </w:tc>
        <w:tc>
          <w:tcPr>
            <w:tcW w:w="1500" w:type="dxa"/>
            <w:vAlign w:val="bottom"/>
          </w:tcPr>
          <w:p>
            <w:pPr>
              <w:spacing w:after="0"/>
              <w:rPr>
                <w:sz w:val="20"/>
                <w:szCs w:val="20"/>
                <w:color w:val="auto"/>
              </w:rPr>
            </w:pPr>
          </w:p>
        </w:tc>
        <w:tc>
          <w:tcPr>
            <w:tcW w:w="780" w:type="dxa"/>
            <w:vAlign w:val="bottom"/>
            <w:gridSpan w:val="2"/>
          </w:tcPr>
          <w:p>
            <w:pPr>
              <w:spacing w:after="0"/>
              <w:rPr>
                <w:sz w:val="20"/>
                <w:szCs w:val="20"/>
                <w:color w:val="auto"/>
              </w:rPr>
            </w:pPr>
          </w:p>
        </w:tc>
        <w:tc>
          <w:tcPr>
            <w:tcW w:w="1600" w:type="dxa"/>
            <w:vAlign w:val="bottom"/>
            <w:gridSpan w:val="2"/>
          </w:tcPr>
          <w:p>
            <w:pPr>
              <w:spacing w:after="0"/>
              <w:rPr>
                <w:sz w:val="20"/>
                <w:szCs w:val="20"/>
                <w:color w:val="auto"/>
              </w:rPr>
            </w:pPr>
          </w:p>
        </w:tc>
      </w:tr>
      <w:tr>
        <w:trPr>
          <w:trHeight w:val="210"/>
        </w:trPr>
        <w:tc>
          <w:tcPr>
            <w:tcW w:w="4860" w:type="dxa"/>
            <w:vAlign w:val="bottom"/>
            <w:shd w:val="clear" w:color="auto" w:fill="EAF9E8"/>
          </w:tcPr>
          <w:p>
            <w:pPr>
              <w:spacing w:after="0"/>
              <w:rPr>
                <w:sz w:val="18"/>
                <w:szCs w:val="18"/>
                <w:color w:val="auto"/>
              </w:rPr>
            </w:pPr>
          </w:p>
        </w:tc>
        <w:tc>
          <w:tcPr>
            <w:tcW w:w="2240" w:type="dxa"/>
            <w:vAlign w:val="bottom"/>
            <w:shd w:val="clear" w:color="auto" w:fill="EAF9E8"/>
          </w:tcPr>
          <w:p>
            <w:pPr>
              <w:spacing w:after="0"/>
              <w:rPr>
                <w:sz w:val="18"/>
                <w:szCs w:val="18"/>
                <w:color w:val="auto"/>
              </w:rPr>
            </w:pPr>
          </w:p>
        </w:tc>
        <w:tc>
          <w:tcPr>
            <w:tcW w:w="440" w:type="dxa"/>
            <w:vAlign w:val="bottom"/>
            <w:tcBorders>
              <w:top w:val="single" w:sz="8" w:color="auto"/>
            </w:tcBorders>
            <w:shd w:val="clear" w:color="auto" w:fill="EAF9E8"/>
          </w:tcPr>
          <w:p>
            <w:pPr>
              <w:jc w:val="right"/>
              <w:ind w:right="283"/>
              <w:spacing w:after="0"/>
              <w:rPr>
                <w:sz w:val="20"/>
                <w:szCs w:val="20"/>
                <w:color w:val="auto"/>
              </w:rPr>
            </w:pPr>
            <w:r>
              <w:rPr>
                <w:rFonts w:ascii="Arial" w:cs="Arial" w:eastAsia="Arial" w:hAnsi="Arial"/>
                <w:sz w:val="15"/>
                <w:szCs w:val="15"/>
                <w:color w:val="auto"/>
                <w:w w:val="71"/>
              </w:rPr>
              <w:t>$</w:t>
            </w:r>
          </w:p>
        </w:tc>
        <w:tc>
          <w:tcPr>
            <w:tcW w:w="150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64,979</w:t>
            </w:r>
          </w:p>
        </w:tc>
        <w:tc>
          <w:tcPr>
            <w:tcW w:w="340" w:type="dxa"/>
            <w:vAlign w:val="bottom"/>
            <w:shd w:val="clear" w:color="auto" w:fill="EAF9E8"/>
          </w:tcPr>
          <w:p>
            <w:pPr>
              <w:spacing w:after="0"/>
              <w:rPr>
                <w:sz w:val="18"/>
                <w:szCs w:val="18"/>
                <w:color w:val="auto"/>
              </w:rPr>
            </w:pPr>
          </w:p>
        </w:tc>
        <w:tc>
          <w:tcPr>
            <w:tcW w:w="440" w:type="dxa"/>
            <w:vAlign w:val="bottom"/>
            <w:tcBorders>
              <w:top w:val="single" w:sz="8" w:color="auto"/>
            </w:tcBorders>
            <w:shd w:val="clear" w:color="auto" w:fill="EAF9E8"/>
          </w:tcPr>
          <w:p>
            <w:pPr>
              <w:jc w:val="right"/>
              <w:ind w:right="283"/>
              <w:spacing w:after="0"/>
              <w:rPr>
                <w:sz w:val="20"/>
                <w:szCs w:val="20"/>
                <w:color w:val="auto"/>
              </w:rPr>
            </w:pPr>
            <w:r>
              <w:rPr>
                <w:rFonts w:ascii="Arial" w:cs="Arial" w:eastAsia="Arial" w:hAnsi="Arial"/>
                <w:sz w:val="15"/>
                <w:szCs w:val="15"/>
                <w:color w:val="auto"/>
                <w:w w:val="71"/>
              </w:rPr>
              <w:t>$</w:t>
            </w:r>
          </w:p>
        </w:tc>
        <w:tc>
          <w:tcPr>
            <w:tcW w:w="150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80,337</w:t>
            </w:r>
          </w:p>
        </w:tc>
        <w:tc>
          <w:tcPr>
            <w:tcW w:w="100" w:type="dxa"/>
            <w:vAlign w:val="bottom"/>
            <w:shd w:val="clear" w:color="auto" w:fill="EAF9E8"/>
          </w:tcPr>
          <w:p>
            <w:pPr>
              <w:spacing w:after="0"/>
              <w:rPr>
                <w:sz w:val="18"/>
                <w:szCs w:val="18"/>
                <w:color w:val="auto"/>
              </w:rPr>
            </w:pPr>
          </w:p>
        </w:tc>
      </w:tr>
      <w:tr>
        <w:trPr>
          <w:trHeight w:val="243"/>
        </w:trPr>
        <w:tc>
          <w:tcPr>
            <w:tcW w:w="4860" w:type="dxa"/>
            <w:vAlign w:val="bottom"/>
          </w:tcPr>
          <w:p>
            <w:pPr>
              <w:spacing w:after="0"/>
              <w:rPr>
                <w:sz w:val="21"/>
                <w:szCs w:val="21"/>
                <w:color w:val="auto"/>
              </w:rPr>
            </w:pPr>
          </w:p>
        </w:tc>
        <w:tc>
          <w:tcPr>
            <w:tcW w:w="2240" w:type="dxa"/>
            <w:vAlign w:val="bottom"/>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spacing w:after="0"/>
              <w:rPr>
                <w:sz w:val="21"/>
                <w:szCs w:val="21"/>
                <w:color w:val="auto"/>
              </w:rPr>
            </w:pPr>
          </w:p>
        </w:tc>
        <w:tc>
          <w:tcPr>
            <w:tcW w:w="340" w:type="dxa"/>
            <w:vAlign w:val="bottom"/>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0"/>
        </w:trPr>
        <w:tc>
          <w:tcPr>
            <w:tcW w:w="486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8" w:lineRule="exact"/>
        <w:rPr>
          <w:sz w:val="20"/>
          <w:szCs w:val="20"/>
          <w:color w:val="auto"/>
        </w:rPr>
      </w:pPr>
    </w:p>
    <w:p>
      <w:pPr>
        <w:jc w:val="both"/>
        <w:ind w:firstLine="447"/>
        <w:spacing w:after="0" w:line="256" w:lineRule="auto"/>
        <w:rPr>
          <w:sz w:val="20"/>
          <w:szCs w:val="20"/>
          <w:color w:val="auto"/>
        </w:rPr>
      </w:pPr>
      <w:r>
        <w:rPr>
          <w:rFonts w:ascii="Arial" w:cs="Arial" w:eastAsia="Arial" w:hAnsi="Arial"/>
          <w:sz w:val="18"/>
          <w:szCs w:val="18"/>
          <w:color w:val="auto"/>
        </w:rPr>
        <w:t>Residential loan servicing and subservicing fees for the three months ended March 31, 2009 declined by 17% as compared to the same period of 2008. This decline is primarily due to a 22% decline in the average balance of loans serviced, as the first quarter servicing rights acquisition occurred relatively late in the quarter. The average balance of loans serviced declined because of a decline in portfolio acquisitions in 2008. The UPB of servicing portfolio has declined from $50,124,576 at March 31, 2008 to $40,789,135 at March 31, 2009.</w:t>
      </w:r>
    </w:p>
    <w:p>
      <w:pPr>
        <w:sectPr>
          <w:pgSz w:w="11900" w:h="16870" w:orient="portrait"/>
          <w:cols w:equalWidth="0" w:num="1">
            <w:col w:w="11420"/>
          </w:cols>
          <w:pgMar w:left="240" w:top="131" w:right="239" w:bottom="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ectPr>
          <w:pgSz w:w="11900" w:h="16870" w:orient="portrait"/>
          <w:cols w:equalWidth="0" w:num="1">
            <w:col w:w="11420"/>
          </w:cols>
          <w:pgMar w:left="240" w:top="131" w:right="239" w:bottom="0" w:gutter="0" w:footer="0" w:header="0"/>
          <w:type w:val="continuous"/>
        </w:sectPr>
      </w:pPr>
    </w:p>
    <w:bookmarkStart w:id="42" w:name="page43"/>
    <w:bookmarkEnd w:id="4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190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19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jc w:val="both"/>
        <w:ind w:firstLine="562"/>
        <w:spacing w:after="0" w:line="290" w:lineRule="auto"/>
        <w:rPr>
          <w:sz w:val="20"/>
          <w:szCs w:val="20"/>
          <w:color w:val="auto"/>
        </w:rPr>
      </w:pPr>
      <w:r>
        <w:rPr>
          <w:rFonts w:ascii="Arial" w:cs="Arial" w:eastAsia="Arial" w:hAnsi="Arial"/>
          <w:sz w:val="16"/>
          <w:szCs w:val="16"/>
          <w:color w:val="auto"/>
        </w:rPr>
        <w:t>We collect servicing fees, generally expressed as a percent of the UPB from the borrowers’ payments and from reimbursements from the securitization trusts. We recognize servicing fees as revenue when earned which is generally upon collection of borrower payments. Delinquencies affect the timing of servicing fee revenue recognition but not the ultimate collection of the fees because servicing fees generally have a higher standing than advances which are satisfied before any interest or principal is paid by the securitization trust on the bonds. We estimate that during the first quarter of 2009 the balance of uncollected and unrecognized servicing fees related to delinquent borrower payments increased by $3,552 as compared to an increase of $3,701 during the first quarter of 2008. As of March 31, 2009, we estimate that the balance of uncollected delinquent servicing fees that we had not yet recognized as revenue was $53,652 compared to $50,101 at December 31, 2008.</w:t>
      </w:r>
    </w:p>
    <w:p>
      <w:pPr>
        <w:spacing w:after="0" w:line="172" w:lineRule="exact"/>
        <w:rPr>
          <w:sz w:val="20"/>
          <w:szCs w:val="20"/>
          <w:color w:val="auto"/>
        </w:rPr>
      </w:pPr>
    </w:p>
    <w:p>
      <w:pPr>
        <w:jc w:val="both"/>
        <w:ind w:right="20" w:firstLine="549"/>
        <w:spacing w:after="0" w:line="255" w:lineRule="auto"/>
        <w:rPr>
          <w:sz w:val="20"/>
          <w:szCs w:val="20"/>
          <w:color w:val="auto"/>
        </w:rPr>
      </w:pPr>
      <w:r>
        <w:rPr>
          <w:rFonts w:ascii="Arial" w:cs="Arial" w:eastAsia="Arial" w:hAnsi="Arial"/>
          <w:sz w:val="18"/>
          <w:szCs w:val="18"/>
          <w:color w:val="auto"/>
        </w:rPr>
        <w:t>The decline in float earnings in the first three months of 2009, as compared to the same period of 2008, reflects a decline in both the average custodial account balances and the yield. The decline in the average balance of these accounts is the result of a decline in the servicing portfolio and a reduction in collections related to loan payoffs. The annualized yield declined as short-term interest rates declined and banking fees increased for short-term interest-earning deposits. The underlying servicing agreements restrict the investment of float balances to certain types of instruments. We are responsible for any losses incurred on the investment of these funds.</w:t>
      </w:r>
    </w:p>
    <w:p>
      <w:pPr>
        <w:spacing w:after="0" w:line="197" w:lineRule="exact"/>
        <w:rPr>
          <w:sz w:val="20"/>
          <w:szCs w:val="20"/>
          <w:color w:val="auto"/>
        </w:rPr>
      </w:pPr>
    </w:p>
    <w:p>
      <w:pPr>
        <w:jc w:val="both"/>
        <w:ind w:firstLine="497"/>
        <w:spacing w:after="0" w:line="259" w:lineRule="auto"/>
        <w:rPr>
          <w:sz w:val="20"/>
          <w:szCs w:val="20"/>
          <w:color w:val="auto"/>
        </w:rPr>
      </w:pPr>
      <w:r>
        <w:rPr>
          <w:rFonts w:ascii="Arial" w:cs="Arial" w:eastAsia="Arial" w:hAnsi="Arial"/>
          <w:sz w:val="18"/>
          <w:szCs w:val="18"/>
          <w:color w:val="auto"/>
        </w:rPr>
        <w:t>Float earnings includes revenues generated from investments in permitted investments, as well as revenues from our investment in auction rate securities. Our investment in auction rate securities is funded by the Investment Line. The following table summarizes information regarding float earnings for the three months ended March 31:</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780" w:type="dxa"/>
            <w:vAlign w:val="bottom"/>
          </w:tcPr>
          <w:p>
            <w:pPr>
              <w:spacing w:after="0"/>
              <w:rPr>
                <w:sz w:val="19"/>
                <w:szCs w:val="19"/>
                <w:color w:val="auto"/>
              </w:rPr>
            </w:pPr>
          </w:p>
        </w:tc>
        <w:tc>
          <w:tcPr>
            <w:tcW w:w="3540" w:type="dxa"/>
            <w:vAlign w:val="bottom"/>
            <w:gridSpan w:val="2"/>
          </w:tcPr>
          <w:p>
            <w:pPr>
              <w:jc w:val="right"/>
              <w:ind w:right="23"/>
              <w:spacing w:after="0"/>
              <w:rPr>
                <w:sz w:val="20"/>
                <w:szCs w:val="20"/>
                <w:color w:val="auto"/>
              </w:rPr>
            </w:pPr>
            <w:r>
              <w:rPr>
                <w:rFonts w:ascii="Arial" w:cs="Arial" w:eastAsia="Arial" w:hAnsi="Arial"/>
                <w:sz w:val="18"/>
                <w:szCs w:val="18"/>
                <w:color w:val="auto"/>
              </w:rPr>
              <w:t>2009</w:t>
            </w:r>
          </w:p>
        </w:tc>
        <w:tc>
          <w:tcPr>
            <w:tcW w:w="6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00" w:type="dxa"/>
            <w:vAlign w:val="bottom"/>
          </w:tcPr>
          <w:p>
            <w:pPr>
              <w:jc w:val="right"/>
              <w:ind w:right="712"/>
              <w:spacing w:after="0"/>
              <w:rPr>
                <w:sz w:val="20"/>
                <w:szCs w:val="20"/>
                <w:color w:val="auto"/>
              </w:rPr>
            </w:pPr>
            <w:r>
              <w:rPr>
                <w:rFonts w:ascii="Arial" w:cs="Arial" w:eastAsia="Arial" w:hAnsi="Arial"/>
                <w:sz w:val="18"/>
                <w:szCs w:val="18"/>
                <w:color w:val="auto"/>
              </w:rPr>
              <w:t>2008</w:t>
            </w:r>
          </w:p>
        </w:tc>
        <w:tc>
          <w:tcPr>
            <w:tcW w:w="140" w:type="dxa"/>
            <w:vAlign w:val="bottom"/>
          </w:tcPr>
          <w:p>
            <w:pPr>
              <w:spacing w:after="0"/>
              <w:rPr>
                <w:sz w:val="19"/>
                <w:szCs w:val="19"/>
                <w:color w:val="auto"/>
              </w:rPr>
            </w:pPr>
          </w:p>
        </w:tc>
      </w:tr>
      <w:tr>
        <w:trPr>
          <w:trHeight w:val="245"/>
        </w:trPr>
        <w:tc>
          <w:tcPr>
            <w:tcW w:w="4780" w:type="dxa"/>
            <w:vAlign w:val="bottom"/>
          </w:tcPr>
          <w:p>
            <w:pPr>
              <w:spacing w:after="0"/>
              <w:rPr>
                <w:sz w:val="21"/>
                <w:szCs w:val="21"/>
                <w:color w:val="auto"/>
              </w:rPr>
            </w:pPr>
          </w:p>
        </w:tc>
        <w:tc>
          <w:tcPr>
            <w:tcW w:w="3540" w:type="dxa"/>
            <w:vAlign w:val="bottom"/>
            <w:gridSpan w:val="2"/>
          </w:tcPr>
          <w:p>
            <w:pPr>
              <w:spacing w:after="0"/>
              <w:rPr>
                <w:sz w:val="21"/>
                <w:szCs w:val="21"/>
                <w:color w:val="auto"/>
              </w:rPr>
            </w:pPr>
          </w:p>
        </w:tc>
        <w:tc>
          <w:tcPr>
            <w:tcW w:w="1020" w:type="dxa"/>
            <w:vAlign w:val="bottom"/>
            <w:gridSpan w:val="2"/>
          </w:tcPr>
          <w:p>
            <w:pPr>
              <w:spacing w:after="0"/>
              <w:rPr>
                <w:sz w:val="21"/>
                <w:szCs w:val="21"/>
                <w:color w:val="auto"/>
              </w:rPr>
            </w:pPr>
          </w:p>
        </w:tc>
        <w:tc>
          <w:tcPr>
            <w:tcW w:w="44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10"/>
        </w:trPr>
        <w:tc>
          <w:tcPr>
            <w:tcW w:w="4780" w:type="dxa"/>
            <w:vAlign w:val="bottom"/>
            <w:shd w:val="clear" w:color="auto" w:fill="EAF9E8"/>
          </w:tcPr>
          <w:p>
            <w:pPr>
              <w:spacing w:after="0"/>
              <w:rPr>
                <w:sz w:val="20"/>
                <w:szCs w:val="20"/>
                <w:color w:val="auto"/>
              </w:rPr>
            </w:pPr>
            <w:r>
              <w:rPr>
                <w:rFonts w:ascii="Arial" w:cs="Arial" w:eastAsia="Arial" w:hAnsi="Arial"/>
                <w:sz w:val="18"/>
                <w:szCs w:val="18"/>
                <w:color w:val="auto"/>
              </w:rPr>
              <w:t>Average custodial account balances</w:t>
            </w:r>
          </w:p>
        </w:tc>
        <w:tc>
          <w:tcPr>
            <w:tcW w:w="2300" w:type="dxa"/>
            <w:vAlign w:val="bottom"/>
            <w:shd w:val="clear" w:color="auto" w:fill="EAF9E8"/>
          </w:tcPr>
          <w:p>
            <w:pPr>
              <w:spacing w:after="0"/>
              <w:rPr>
                <w:sz w:val="18"/>
                <w:szCs w:val="18"/>
                <w:color w:val="auto"/>
              </w:rPr>
            </w:pPr>
          </w:p>
        </w:tc>
        <w:tc>
          <w:tcPr>
            <w:tcW w:w="1240" w:type="dxa"/>
            <w:vAlign w:val="bottom"/>
            <w:tcBorders>
              <w:top w:val="single" w:sz="8" w:color="auto"/>
            </w:tcBorders>
            <w:shd w:val="clear" w:color="auto" w:fill="EAF9E8"/>
          </w:tcPr>
          <w:p>
            <w:pPr>
              <w:jc w:val="right"/>
              <w:ind w:right="1083"/>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361,300</w:t>
            </w:r>
          </w:p>
        </w:tc>
        <w:tc>
          <w:tcPr>
            <w:tcW w:w="340" w:type="dxa"/>
            <w:vAlign w:val="bottom"/>
            <w:shd w:val="clear" w:color="auto" w:fill="EAF9E8"/>
          </w:tcPr>
          <w:p>
            <w:pPr>
              <w:spacing w:after="0"/>
              <w:rPr>
                <w:sz w:val="18"/>
                <w:szCs w:val="18"/>
                <w:color w:val="auto"/>
              </w:rPr>
            </w:pPr>
          </w:p>
        </w:tc>
        <w:tc>
          <w:tcPr>
            <w:tcW w:w="440" w:type="dxa"/>
            <w:vAlign w:val="bottom"/>
            <w:tcBorders>
              <w:top w:val="single" w:sz="8" w:color="auto"/>
            </w:tcBorders>
            <w:shd w:val="clear" w:color="auto" w:fill="EAF9E8"/>
          </w:tcPr>
          <w:p>
            <w:pPr>
              <w:jc w:val="right"/>
              <w:ind w:right="283"/>
              <w:spacing w:after="0"/>
              <w:rPr>
                <w:sz w:val="20"/>
                <w:szCs w:val="20"/>
                <w:color w:val="auto"/>
              </w:rPr>
            </w:pPr>
            <w:r>
              <w:rPr>
                <w:rFonts w:ascii="Arial" w:cs="Arial" w:eastAsia="Arial" w:hAnsi="Arial"/>
                <w:sz w:val="15"/>
                <w:szCs w:val="15"/>
                <w:color w:val="auto"/>
                <w:w w:val="71"/>
              </w:rPr>
              <w:t>$</w:t>
            </w:r>
          </w:p>
        </w:tc>
        <w:tc>
          <w:tcPr>
            <w:tcW w:w="150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408,800</w:t>
            </w:r>
          </w:p>
        </w:tc>
        <w:tc>
          <w:tcPr>
            <w:tcW w:w="140" w:type="dxa"/>
            <w:vAlign w:val="bottom"/>
            <w:shd w:val="clear" w:color="auto" w:fill="EAF9E8"/>
          </w:tcPr>
          <w:p>
            <w:pPr>
              <w:spacing w:after="0"/>
              <w:rPr>
                <w:sz w:val="18"/>
                <w:szCs w:val="18"/>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Float earnings (1)</w:t>
            </w:r>
          </w:p>
        </w:tc>
        <w:tc>
          <w:tcPr>
            <w:tcW w:w="3540" w:type="dxa"/>
            <w:vAlign w:val="bottom"/>
            <w:gridSpan w:val="2"/>
          </w:tcPr>
          <w:p>
            <w:pPr>
              <w:jc w:val="right"/>
              <w:ind w:right="1083"/>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40"/>
              <w:spacing w:after="0"/>
              <w:rPr>
                <w:sz w:val="20"/>
                <w:szCs w:val="20"/>
                <w:color w:val="auto"/>
              </w:rPr>
            </w:pPr>
            <w:r>
              <w:rPr>
                <w:rFonts w:ascii="Arial" w:cs="Arial" w:eastAsia="Arial" w:hAnsi="Arial"/>
                <w:sz w:val="18"/>
                <w:szCs w:val="18"/>
                <w:color w:val="auto"/>
              </w:rPr>
              <w:t>1,850</w:t>
            </w:r>
          </w:p>
        </w:tc>
        <w:tc>
          <w:tcPr>
            <w:tcW w:w="440" w:type="dxa"/>
            <w:vAlign w:val="bottom"/>
          </w:tcPr>
          <w:p>
            <w:pPr>
              <w:jc w:val="right"/>
              <w:ind w:right="283"/>
              <w:spacing w:after="0"/>
              <w:rPr>
                <w:sz w:val="20"/>
                <w:szCs w:val="20"/>
                <w:color w:val="auto"/>
              </w:rPr>
            </w:pPr>
            <w:r>
              <w:rPr>
                <w:rFonts w:ascii="Arial" w:cs="Arial" w:eastAsia="Arial" w:hAnsi="Arial"/>
                <w:sz w:val="15"/>
                <w:szCs w:val="15"/>
                <w:color w:val="auto"/>
                <w:w w:val="71"/>
              </w:rPr>
              <w:t>$</w:t>
            </w:r>
          </w:p>
        </w:tc>
        <w:tc>
          <w:tcPr>
            <w:tcW w:w="1640" w:type="dxa"/>
            <w:vAlign w:val="bottom"/>
            <w:gridSpan w:val="2"/>
          </w:tcPr>
          <w:p>
            <w:pPr>
              <w:jc w:val="right"/>
              <w:ind w:right="140"/>
              <w:spacing w:after="0"/>
              <w:rPr>
                <w:sz w:val="20"/>
                <w:szCs w:val="20"/>
                <w:color w:val="auto"/>
              </w:rPr>
            </w:pPr>
            <w:r>
              <w:rPr>
                <w:rFonts w:ascii="Arial" w:cs="Arial" w:eastAsia="Arial" w:hAnsi="Arial"/>
                <w:sz w:val="18"/>
                <w:szCs w:val="18"/>
                <w:color w:val="auto"/>
              </w:rPr>
              <w:t>4,433</w:t>
            </w:r>
          </w:p>
        </w:tc>
      </w:tr>
      <w:tr>
        <w:trPr>
          <w:trHeight w:val="216"/>
        </w:trPr>
        <w:tc>
          <w:tcPr>
            <w:tcW w:w="4780" w:type="dxa"/>
            <w:vAlign w:val="bottom"/>
            <w:shd w:val="clear" w:color="auto" w:fill="EAF9E8"/>
          </w:tcPr>
          <w:p>
            <w:pPr>
              <w:spacing w:after="0"/>
              <w:rPr>
                <w:sz w:val="20"/>
                <w:szCs w:val="20"/>
                <w:color w:val="auto"/>
              </w:rPr>
            </w:pPr>
            <w:r>
              <w:rPr>
                <w:rFonts w:ascii="Arial" w:cs="Arial" w:eastAsia="Arial" w:hAnsi="Arial"/>
                <w:sz w:val="18"/>
                <w:szCs w:val="18"/>
                <w:color w:val="auto"/>
              </w:rPr>
              <w:t>Annualized yield</w:t>
            </w:r>
          </w:p>
        </w:tc>
        <w:tc>
          <w:tcPr>
            <w:tcW w:w="2300" w:type="dxa"/>
            <w:vAlign w:val="bottom"/>
            <w:shd w:val="clear" w:color="auto" w:fill="EAF9E8"/>
          </w:tcPr>
          <w:p>
            <w:pPr>
              <w:spacing w:after="0"/>
              <w:rPr>
                <w:sz w:val="18"/>
                <w:szCs w:val="18"/>
                <w:color w:val="auto"/>
              </w:rPr>
            </w:pPr>
          </w:p>
        </w:tc>
        <w:tc>
          <w:tcPr>
            <w:tcW w:w="1240" w:type="dxa"/>
            <w:vAlign w:val="bottom"/>
            <w:shd w:val="clear" w:color="auto" w:fill="EAF9E8"/>
          </w:tcPr>
          <w:p>
            <w:pPr>
              <w:spacing w:after="0"/>
              <w:rPr>
                <w:sz w:val="18"/>
                <w:szCs w:val="18"/>
                <w:color w:val="auto"/>
              </w:rPr>
            </w:pPr>
          </w:p>
        </w:tc>
        <w:tc>
          <w:tcPr>
            <w:tcW w:w="102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2.05%</w:t>
            </w:r>
          </w:p>
        </w:tc>
        <w:tc>
          <w:tcPr>
            <w:tcW w:w="440" w:type="dxa"/>
            <w:vAlign w:val="bottom"/>
            <w:shd w:val="clear" w:color="auto" w:fill="EAF9E8"/>
          </w:tcPr>
          <w:p>
            <w:pPr>
              <w:spacing w:after="0"/>
              <w:rPr>
                <w:sz w:val="18"/>
                <w:szCs w:val="18"/>
                <w:color w:val="auto"/>
              </w:rPr>
            </w:pPr>
          </w:p>
        </w:tc>
        <w:tc>
          <w:tcPr>
            <w:tcW w:w="164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4.34%</w:t>
            </w:r>
          </w:p>
        </w:tc>
      </w:tr>
    </w:tbl>
    <w:p>
      <w:pPr>
        <w:spacing w:after="0" w:line="248" w:lineRule="exact"/>
        <w:rPr>
          <w:sz w:val="20"/>
          <w:szCs w:val="20"/>
          <w:color w:val="auto"/>
        </w:rPr>
      </w:pPr>
    </w:p>
    <w:p>
      <w:pPr>
        <w:ind w:left="580" w:hanging="572"/>
        <w:spacing w:after="0"/>
        <w:tabs>
          <w:tab w:leader="none" w:pos="5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For the first quarter of 2009 and 2008, float earnings included $1,831 and $4,310, respectively, of income from auction rate securities.</w:t>
      </w:r>
    </w:p>
    <w:p>
      <w:pPr>
        <w:spacing w:after="0" w:line="225" w:lineRule="exact"/>
        <w:rPr>
          <w:sz w:val="20"/>
          <w:szCs w:val="20"/>
          <w:color w:val="auto"/>
        </w:rPr>
      </w:pPr>
    </w:p>
    <w:p>
      <w:pPr>
        <w:jc w:val="both"/>
        <w:ind w:firstLine="597"/>
        <w:spacing w:after="0" w:line="256" w:lineRule="auto"/>
        <w:rPr>
          <w:sz w:val="20"/>
          <w:szCs w:val="20"/>
          <w:color w:val="auto"/>
        </w:rPr>
      </w:pPr>
      <w:r>
        <w:rPr>
          <w:rFonts w:ascii="Arial" w:cs="Arial" w:eastAsia="Arial" w:hAnsi="Arial"/>
          <w:sz w:val="18"/>
          <w:szCs w:val="18"/>
          <w:i w:val="1"/>
          <w:iCs w:val="1"/>
          <w:color w:val="auto"/>
        </w:rPr>
        <w:t xml:space="preserve">Process Management Fees. </w:t>
      </w:r>
      <w:r>
        <w:rPr>
          <w:rFonts w:ascii="Arial" w:cs="Arial" w:eastAsia="Arial" w:hAnsi="Arial"/>
          <w:sz w:val="18"/>
          <w:szCs w:val="18"/>
          <w:color w:val="auto"/>
        </w:rPr>
        <w:t>Process management fees are primarily comprised of revenues associated with foreclosed residential real estate marketing</w:t>
      </w:r>
      <w:r>
        <w:rPr>
          <w:rFonts w:ascii="Arial" w:cs="Arial" w:eastAsia="Arial" w:hAnsi="Arial"/>
          <w:sz w:val="18"/>
          <w:szCs w:val="18"/>
          <w:i w:val="1"/>
          <w:iCs w:val="1"/>
          <w:color w:val="auto"/>
        </w:rPr>
        <w:t xml:space="preserve"> </w:t>
      </w:r>
      <w:r>
        <w:rPr>
          <w:rFonts w:ascii="Arial" w:cs="Arial" w:eastAsia="Arial" w:hAnsi="Arial"/>
          <w:sz w:val="18"/>
          <w:szCs w:val="18"/>
          <w:color w:val="auto"/>
        </w:rPr>
        <w:t>activities. These revenues were $9,657 and $5,777 for the three months ended March 31, 2009 and 2008, respectively. The increase in the first quarter of 2009 was due to higher sales volume that is in part attributed to our efforts to more effectively market and price foreclosed residential real estate in the Servicing portfolio.</w:t>
      </w:r>
    </w:p>
    <w:p>
      <w:pPr>
        <w:spacing w:after="0" w:line="197" w:lineRule="exact"/>
        <w:rPr>
          <w:sz w:val="20"/>
          <w:szCs w:val="20"/>
          <w:color w:val="auto"/>
        </w:rPr>
      </w:pPr>
    </w:p>
    <w:p>
      <w:pPr>
        <w:jc w:val="both"/>
        <w:ind w:firstLine="526"/>
        <w:spacing w:after="0" w:line="256" w:lineRule="auto"/>
        <w:rPr>
          <w:sz w:val="20"/>
          <w:szCs w:val="20"/>
          <w:color w:val="auto"/>
        </w:rPr>
      </w:pPr>
      <w:r>
        <w:rPr>
          <w:rFonts w:ascii="Arial" w:cs="Arial" w:eastAsia="Arial" w:hAnsi="Arial"/>
          <w:sz w:val="18"/>
          <w:szCs w:val="18"/>
          <w:i w:val="1"/>
          <w:iCs w:val="1"/>
          <w:color w:val="auto"/>
        </w:rPr>
        <w:t xml:space="preserve">Compensation and Benefits Expense. </w:t>
      </w:r>
      <w:r>
        <w:rPr>
          <w:rFonts w:ascii="Arial" w:cs="Arial" w:eastAsia="Arial" w:hAnsi="Arial"/>
          <w:sz w:val="18"/>
          <w:szCs w:val="18"/>
          <w:color w:val="auto"/>
        </w:rPr>
        <w:t>The decrease in compensation expense and benefits in the first three months of 2009 as compared to the first three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of 2008 is due to an 18% decline in the average number of employees as management responded to a 22% decrease in average size of the residential servicing portfolio between periods. Average U.S. employment declined by 30% as compared to a 17% decline in India principally because of our decision in July 2008 not to renew our contract with the VA.</w:t>
      </w:r>
    </w:p>
    <w:p>
      <w:pPr>
        <w:spacing w:after="0" w:line="197" w:lineRule="exact"/>
        <w:rPr>
          <w:sz w:val="20"/>
          <w:szCs w:val="20"/>
          <w:color w:val="auto"/>
        </w:rPr>
      </w:pPr>
    </w:p>
    <w:p>
      <w:pPr>
        <w:jc w:val="both"/>
        <w:ind w:firstLine="560"/>
        <w:spacing w:after="0" w:line="291" w:lineRule="auto"/>
        <w:rPr>
          <w:sz w:val="20"/>
          <w:szCs w:val="20"/>
          <w:color w:val="auto"/>
        </w:rPr>
      </w:pPr>
      <w:r>
        <w:rPr>
          <w:rFonts w:ascii="Arial" w:cs="Arial" w:eastAsia="Arial" w:hAnsi="Arial"/>
          <w:sz w:val="16"/>
          <w:szCs w:val="16"/>
          <w:i w:val="1"/>
          <w:iCs w:val="1"/>
          <w:color w:val="auto"/>
        </w:rPr>
        <w:t xml:space="preserve">Amortization of Servicing Rights. </w:t>
      </w:r>
      <w:r>
        <w:rPr>
          <w:rFonts w:ascii="Arial" w:cs="Arial" w:eastAsia="Arial" w:hAnsi="Arial"/>
          <w:sz w:val="16"/>
          <w:szCs w:val="16"/>
          <w:color w:val="auto"/>
        </w:rPr>
        <w:t>Amortization expense declined by 27% in the first three months of 2009 as compared to 2008. This decline occurred</w:t>
      </w:r>
      <w:r>
        <w:rPr>
          <w:rFonts w:ascii="Arial" w:cs="Arial" w:eastAsia="Arial" w:hAnsi="Arial"/>
          <w:sz w:val="16"/>
          <w:szCs w:val="16"/>
          <w:i w:val="1"/>
          <w:iCs w:val="1"/>
          <w:color w:val="auto"/>
        </w:rPr>
        <w:t xml:space="preserve"> </w:t>
      </w:r>
      <w:r>
        <w:rPr>
          <w:rFonts w:ascii="Arial" w:cs="Arial" w:eastAsia="Arial" w:hAnsi="Arial"/>
          <w:sz w:val="16"/>
          <w:szCs w:val="16"/>
          <w:color w:val="auto"/>
        </w:rPr>
        <w:t>because of a reduction in the rate of amortization and a decline in the acquisition of MSRs during 2008. We amortize mortgage servicing rights in proportion to and over the period of estimated net servicing income. Slower projected mortgage prepayment speeds have reduced the rate of amortization as we expect to earn the servicing income over a longer period of time. Average projected prepayment speeds used to compute amortization expense were 20% and 23% for the first quarter of 2009 and 2008, respectively. Average projected delinquency rates (past due 90 days or more) used to compute amortization expense were 23% and 24% for the first quarter of 2009 and 2008, respectively.</w:t>
      </w:r>
    </w:p>
    <w:p>
      <w:pPr>
        <w:spacing w:after="0" w:line="174" w:lineRule="exact"/>
        <w:rPr>
          <w:sz w:val="20"/>
          <w:szCs w:val="20"/>
          <w:color w:val="auto"/>
        </w:rPr>
      </w:pPr>
    </w:p>
    <w:p>
      <w:pPr>
        <w:jc w:val="both"/>
        <w:ind w:firstLine="439"/>
        <w:spacing w:after="0" w:line="259" w:lineRule="auto"/>
        <w:rPr>
          <w:sz w:val="20"/>
          <w:szCs w:val="20"/>
          <w:color w:val="auto"/>
        </w:rPr>
      </w:pPr>
      <w:r>
        <w:rPr>
          <w:rFonts w:ascii="Arial" w:cs="Arial" w:eastAsia="Arial" w:hAnsi="Arial"/>
          <w:sz w:val="18"/>
          <w:szCs w:val="18"/>
          <w:i w:val="1"/>
          <w:iCs w:val="1"/>
          <w:color w:val="auto"/>
        </w:rPr>
        <w:t xml:space="preserve">Servicing and Origination Expenses. </w:t>
      </w:r>
      <w:r>
        <w:rPr>
          <w:rFonts w:ascii="Arial" w:cs="Arial" w:eastAsia="Arial" w:hAnsi="Arial"/>
          <w:sz w:val="18"/>
          <w:szCs w:val="18"/>
          <w:color w:val="auto"/>
        </w:rPr>
        <w:t>Servicing and origination expense is comprised of compensating interest, satisfaction fees and other servicer expenses.</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Compensating interest on loan payoffs and satisfaction fees declined in the first three months of 2009 as compared to the same periods of 2008 primarily as a result of the decline in the servicing portfolio and a decline in voluntary loan prepayments.</w:t>
      </w:r>
    </w:p>
    <w:p>
      <w:pPr>
        <w:spacing w:after="0" w:line="194" w:lineRule="exact"/>
        <w:rPr>
          <w:sz w:val="20"/>
          <w:szCs w:val="20"/>
          <w:color w:val="auto"/>
        </w:rPr>
      </w:pPr>
    </w:p>
    <w:p>
      <w:pPr>
        <w:jc w:val="both"/>
        <w:ind w:firstLine="563"/>
        <w:spacing w:after="0" w:line="291" w:lineRule="auto"/>
        <w:rPr>
          <w:sz w:val="20"/>
          <w:szCs w:val="20"/>
          <w:color w:val="auto"/>
        </w:rPr>
      </w:pPr>
      <w:r>
        <w:rPr>
          <w:rFonts w:ascii="Arial" w:cs="Arial" w:eastAsia="Arial" w:hAnsi="Arial"/>
          <w:sz w:val="16"/>
          <w:szCs w:val="16"/>
          <w:i w:val="1"/>
          <w:iCs w:val="1"/>
          <w:color w:val="auto"/>
        </w:rPr>
        <w:t xml:space="preserve">Interest Expense. </w:t>
      </w:r>
      <w:r>
        <w:rPr>
          <w:rFonts w:ascii="Arial" w:cs="Arial" w:eastAsia="Arial" w:hAnsi="Arial"/>
          <w:sz w:val="16"/>
          <w:szCs w:val="16"/>
          <w:color w:val="auto"/>
        </w:rPr>
        <w:t>Total interest expense for the first three months of 2009 was lower than 2008 by $7,502, or 33%, primarily because of the decline in</w:t>
      </w:r>
      <w:r>
        <w:rPr>
          <w:rFonts w:ascii="Arial" w:cs="Arial" w:eastAsia="Arial" w:hAnsi="Arial"/>
          <w:sz w:val="16"/>
          <w:szCs w:val="16"/>
          <w:i w:val="1"/>
          <w:iCs w:val="1"/>
          <w:color w:val="auto"/>
        </w:rPr>
        <w:t xml:space="preserve"> </w:t>
      </w:r>
      <w:r>
        <w:rPr>
          <w:rFonts w:ascii="Arial" w:cs="Arial" w:eastAsia="Arial" w:hAnsi="Arial"/>
          <w:sz w:val="16"/>
          <w:szCs w:val="16"/>
          <w:color w:val="auto"/>
        </w:rPr>
        <w:t>match funded advances coupled with declines in interest rates. The average combined balance of advances and match funded advances decreased by 17% during the three months ended March 31, 2009 as compared to the three months ended March 31, 2008. Average borrowings of $904,952 were $328,502, or 27%, lower in the first quarter of 2009 than in 2008. The effective average rate on these borrowings of 5.77% was lower by 97 basis points, or 14%, in the first quarter of 2009 as compared to the first quarter of 2008. The majority of our credit facilities bear interest at rates that are adjusted regularly based on 1-Month LIBOR. During the first quarter of 2009, the average of 1-Month LIBOR was 0.46% as compared to 3.30% in the first quarter of 2008.</w:t>
      </w:r>
    </w:p>
    <w:p>
      <w:pPr>
        <w:spacing w:after="0" w:line="174" w:lineRule="exact"/>
        <w:rPr>
          <w:sz w:val="20"/>
          <w:szCs w:val="20"/>
          <w:color w:val="auto"/>
        </w:rPr>
      </w:pPr>
    </w:p>
    <w:p>
      <w:pPr>
        <w:jc w:val="both"/>
        <w:ind w:firstLine="540"/>
        <w:spacing w:after="0" w:line="256" w:lineRule="auto"/>
        <w:rPr>
          <w:sz w:val="20"/>
          <w:szCs w:val="20"/>
          <w:color w:val="auto"/>
        </w:rPr>
      </w:pPr>
      <w:r>
        <w:rPr>
          <w:rFonts w:ascii="Arial" w:cs="Arial" w:eastAsia="Arial" w:hAnsi="Arial"/>
          <w:sz w:val="18"/>
          <w:szCs w:val="18"/>
          <w:color w:val="auto"/>
        </w:rPr>
        <w:t>Average rates have not declined in proportion to the decline in LIBOR principally because of the higher spread over LIBOR charged on the new match funded facilities added in 2008 and because of higher facility fees charged by the lenders. Interest expense includes amortization of facility costs of $11,916 and $4,178 during the first quarter of 2009 and 2008, respectively. Amortization of facility costs in the first quarter of 2008 included the write-off of $2,000 of deferred costs related to a match funded facility that we decided not to expand or renew.</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Loans and Residuals</w:t>
      </w:r>
    </w:p>
    <w:p>
      <w:pPr>
        <w:spacing w:after="0" w:line="231" w:lineRule="exact"/>
        <w:rPr>
          <w:sz w:val="20"/>
          <w:szCs w:val="20"/>
          <w:color w:val="auto"/>
        </w:rPr>
      </w:pPr>
    </w:p>
    <w:p>
      <w:pPr>
        <w:jc w:val="both"/>
        <w:ind w:firstLine="618"/>
        <w:spacing w:after="0" w:line="294" w:lineRule="auto"/>
        <w:rPr>
          <w:sz w:val="20"/>
          <w:szCs w:val="20"/>
          <w:color w:val="auto"/>
        </w:rPr>
      </w:pPr>
      <w:r>
        <w:rPr>
          <w:rFonts w:ascii="Arial" w:cs="Arial" w:eastAsia="Arial" w:hAnsi="Arial"/>
          <w:sz w:val="16"/>
          <w:szCs w:val="16"/>
          <w:color w:val="auto"/>
        </w:rPr>
        <w:t>The loss before income taxes for the first quarter of 2009 increased by $480 as compared to 2008 largely due to a decline in net interest income on subordinate and residual securities and loans held for resale offset in part by a decline in unrealized losses on subordinate and residual securities. The average balances of subordinate and residual securities and loans held for resale declined by 43% and 33%, respectively, in the first quarter of 2009 as compared to 2008. Losses on the valuation and resolution of loans held for resale continue to negatively impact operating results. Losses on loans held for resale, net, were $4,554 in the first quarter of 2009 as compared to $4,509 in 2008.</w:t>
      </w:r>
    </w:p>
    <w:p>
      <w:pPr>
        <w:sectPr>
          <w:pgSz w:w="11900" w:h="16838" w:orient="portrait"/>
          <w:cols w:equalWidth="0" w:num="1">
            <w:col w:w="11420"/>
          </w:cols>
          <w:pgMar w:left="240" w:top="131" w:right="239" w:bottom="1440" w:gutter="0" w:footer="0" w:header="0"/>
        </w:sectPr>
      </w:pP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67575"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44" w:name="page45"/>
    <w:bookmarkEnd w:id="44"/>
    <w:tbl>
      <w:tblPr>
        <w:tblLayout w:type="fixed"/>
        <w:tblInd w:w="0" w:type="dxa"/>
        <w:tblCellMar>
          <w:top w:w="0" w:type="dxa"/>
          <w:left w:w="0" w:type="dxa"/>
          <w:bottom w:w="0" w:type="dxa"/>
          <w:right w:w="0" w:type="dxa"/>
        </w:tblCellMar>
      </w:tblPr>
      <w:tr>
        <w:trPr>
          <w:trHeight w:val="207"/>
        </w:trPr>
        <w:tc>
          <w:tcPr>
            <w:tcW w:w="5120" w:type="dxa"/>
            <w:vAlign w:val="bottom"/>
            <w:gridSpan w:val="3"/>
          </w:tcPr>
          <w:p>
            <w:pPr>
              <w:spacing w:after="0"/>
              <w:rPr>
                <w:sz w:val="20"/>
                <w:szCs w:val="20"/>
                <w:color w:val="auto"/>
              </w:rPr>
            </w:pPr>
            <w:r>
              <w:rPr>
                <w:rFonts w:ascii="Arial" w:cs="Arial" w:eastAsia="Arial" w:hAnsi="Arial"/>
                <w:sz w:val="18"/>
                <w:szCs w:val="18"/>
                <w:color w:val="auto"/>
              </w:rPr>
              <w:t>Comparative selected balance sheet data:</w:t>
            </w:r>
          </w:p>
        </w:tc>
        <w:tc>
          <w:tcPr>
            <w:tcW w:w="1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64"/>
        </w:trPr>
        <w:tc>
          <w:tcPr>
            <w:tcW w:w="20" w:type="dxa"/>
            <w:vAlign w:val="bottom"/>
          </w:tcPr>
          <w:p>
            <w:pPr>
              <w:spacing w:after="0"/>
              <w:rPr>
                <w:sz w:val="24"/>
                <w:szCs w:val="24"/>
                <w:color w:val="auto"/>
              </w:rPr>
            </w:pPr>
          </w:p>
        </w:tc>
        <w:tc>
          <w:tcPr>
            <w:tcW w:w="2880" w:type="dxa"/>
            <w:vAlign w:val="bottom"/>
            <w:tcBorders>
              <w:top w:val="single" w:sz="8" w:color="auto"/>
            </w:tcBorders>
          </w:tcPr>
          <w:p>
            <w:pPr>
              <w:spacing w:after="0"/>
              <w:rPr>
                <w:sz w:val="24"/>
                <w:szCs w:val="24"/>
                <w:color w:val="auto"/>
              </w:rPr>
            </w:pPr>
          </w:p>
        </w:tc>
        <w:tc>
          <w:tcPr>
            <w:tcW w:w="22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00" w:type="dxa"/>
            <w:vAlign w:val="bottom"/>
          </w:tcPr>
          <w:p>
            <w:pPr>
              <w:jc w:val="right"/>
              <w:ind w:right="332"/>
              <w:spacing w:after="0"/>
              <w:rPr>
                <w:sz w:val="20"/>
                <w:szCs w:val="20"/>
                <w:color w:val="auto"/>
              </w:rPr>
            </w:pPr>
            <w:r>
              <w:rPr>
                <w:rFonts w:ascii="Arial" w:cs="Arial" w:eastAsia="Arial" w:hAnsi="Arial"/>
                <w:sz w:val="18"/>
                <w:szCs w:val="18"/>
                <w:color w:val="auto"/>
              </w:rPr>
              <w:t>March 31, 2009</w:t>
            </w: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60" w:type="dxa"/>
            <w:vAlign w:val="bottom"/>
            <w:gridSpan w:val="2"/>
          </w:tcPr>
          <w:p>
            <w:pPr>
              <w:ind w:left="100"/>
              <w:spacing w:after="0"/>
              <w:rPr>
                <w:sz w:val="20"/>
                <w:szCs w:val="20"/>
                <w:color w:val="auto"/>
              </w:rPr>
            </w:pPr>
            <w:r>
              <w:rPr>
                <w:rFonts w:ascii="Arial" w:cs="Arial" w:eastAsia="Arial" w:hAnsi="Arial"/>
                <w:sz w:val="18"/>
                <w:szCs w:val="18"/>
                <w:color w:val="auto"/>
              </w:rPr>
              <w:t>December 31, 2008</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880" w:type="dxa"/>
            <w:vAlign w:val="bottom"/>
          </w:tcPr>
          <w:p>
            <w:pPr>
              <w:spacing w:after="0"/>
              <w:rPr>
                <w:sz w:val="21"/>
                <w:szCs w:val="21"/>
                <w:color w:val="auto"/>
              </w:rPr>
            </w:pPr>
          </w:p>
        </w:tc>
        <w:tc>
          <w:tcPr>
            <w:tcW w:w="2220" w:type="dxa"/>
            <w:vAlign w:val="bottom"/>
          </w:tcPr>
          <w:p>
            <w:pPr>
              <w:spacing w:after="0"/>
              <w:rPr>
                <w:sz w:val="21"/>
                <w:szCs w:val="21"/>
                <w:color w:val="auto"/>
              </w:rPr>
            </w:pPr>
          </w:p>
        </w:tc>
        <w:tc>
          <w:tcPr>
            <w:tcW w:w="2220" w:type="dxa"/>
            <w:vAlign w:val="bottom"/>
            <w:gridSpan w:val="2"/>
          </w:tcPr>
          <w:p>
            <w:pPr>
              <w:spacing w:after="0"/>
              <w:rPr>
                <w:sz w:val="21"/>
                <w:szCs w:val="21"/>
                <w:color w:val="auto"/>
              </w:rPr>
            </w:pPr>
          </w:p>
        </w:tc>
        <w:tc>
          <w:tcPr>
            <w:tcW w:w="17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0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Subordinate and residual trading securities</w:t>
            </w:r>
          </w:p>
        </w:tc>
        <w:tc>
          <w:tcPr>
            <w:tcW w:w="1980" w:type="dxa"/>
            <w:vAlign w:val="bottom"/>
            <w:shd w:val="clear" w:color="auto" w:fill="EAF9E8"/>
          </w:tcPr>
          <w:p>
            <w:pPr>
              <w:spacing w:after="0"/>
              <w:rPr>
                <w:sz w:val="18"/>
                <w:szCs w:val="18"/>
                <w:color w:val="auto"/>
              </w:rPr>
            </w:pPr>
          </w:p>
        </w:tc>
        <w:tc>
          <w:tcPr>
            <w:tcW w:w="240" w:type="dxa"/>
            <w:vAlign w:val="bottom"/>
            <w:tcBorders>
              <w:top w:val="single" w:sz="8" w:color="auto"/>
            </w:tcBorders>
            <w:shd w:val="clear" w:color="auto" w:fill="EAF9E8"/>
          </w:tcPr>
          <w:p>
            <w:pPr>
              <w:jc w:val="right"/>
              <w:ind w:right="83"/>
              <w:spacing w:after="0"/>
              <w:rPr>
                <w:sz w:val="20"/>
                <w:szCs w:val="20"/>
                <w:color w:val="auto"/>
              </w:rPr>
            </w:pPr>
            <w:r>
              <w:rPr>
                <w:rFonts w:ascii="Arial" w:cs="Arial" w:eastAsia="Arial" w:hAnsi="Arial"/>
                <w:sz w:val="15"/>
                <w:szCs w:val="15"/>
                <w:color w:val="auto"/>
                <w:w w:val="71"/>
              </w:rPr>
              <w:t>$</w:t>
            </w:r>
          </w:p>
        </w:tc>
        <w:tc>
          <w:tcPr>
            <w:tcW w:w="170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3,921</w:t>
            </w:r>
          </w:p>
        </w:tc>
        <w:tc>
          <w:tcPr>
            <w:tcW w:w="340" w:type="dxa"/>
            <w:vAlign w:val="bottom"/>
            <w:shd w:val="clear" w:color="auto" w:fill="EAF9E8"/>
          </w:tcPr>
          <w:p>
            <w:pPr>
              <w:spacing w:after="0"/>
              <w:rPr>
                <w:sz w:val="18"/>
                <w:szCs w:val="18"/>
                <w:color w:val="auto"/>
              </w:rPr>
            </w:pPr>
          </w:p>
        </w:tc>
        <w:tc>
          <w:tcPr>
            <w:tcW w:w="180" w:type="dxa"/>
            <w:vAlign w:val="bottom"/>
            <w:tcBorders>
              <w:top w:val="single" w:sz="8" w:color="auto"/>
            </w:tcBorders>
            <w:shd w:val="clear" w:color="auto" w:fill="EAF9E8"/>
          </w:tcPr>
          <w:p>
            <w:pPr>
              <w:jc w:val="right"/>
              <w:ind w:right="23"/>
              <w:spacing w:after="0"/>
              <w:rPr>
                <w:sz w:val="20"/>
                <w:szCs w:val="20"/>
                <w:color w:val="auto"/>
              </w:rPr>
            </w:pPr>
            <w:r>
              <w:rPr>
                <w:rFonts w:ascii="Arial" w:cs="Arial" w:eastAsia="Arial" w:hAnsi="Arial"/>
                <w:sz w:val="15"/>
                <w:szCs w:val="15"/>
                <w:color w:val="auto"/>
                <w:w w:val="71"/>
              </w:rPr>
              <w:t>$</w:t>
            </w:r>
          </w:p>
        </w:tc>
        <w:tc>
          <w:tcPr>
            <w:tcW w:w="176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4,204</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2"/>
          </w:tcPr>
          <w:p>
            <w:pPr>
              <w:spacing w:after="0"/>
              <w:rPr>
                <w:sz w:val="20"/>
                <w:szCs w:val="20"/>
                <w:color w:val="auto"/>
              </w:rPr>
            </w:pPr>
            <w:r>
              <w:rPr>
                <w:rFonts w:ascii="Arial" w:cs="Arial" w:eastAsia="Arial" w:hAnsi="Arial"/>
                <w:sz w:val="18"/>
                <w:szCs w:val="18"/>
                <w:color w:val="auto"/>
              </w:rPr>
              <w:t>Loans held for resale</w:t>
            </w:r>
          </w:p>
        </w:tc>
        <w:tc>
          <w:tcPr>
            <w:tcW w:w="1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44,670</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60" w:type="dxa"/>
            <w:vAlign w:val="bottom"/>
            <w:gridSpan w:val="2"/>
          </w:tcPr>
          <w:p>
            <w:pPr>
              <w:jc w:val="right"/>
              <w:ind w:right="100"/>
              <w:spacing w:after="0"/>
              <w:rPr>
                <w:sz w:val="20"/>
                <w:szCs w:val="20"/>
                <w:color w:val="auto"/>
              </w:rPr>
            </w:pPr>
            <w:r>
              <w:rPr>
                <w:rFonts w:ascii="Arial" w:cs="Arial" w:eastAsia="Arial" w:hAnsi="Arial"/>
                <w:sz w:val="18"/>
                <w:szCs w:val="18"/>
                <w:color w:val="auto"/>
              </w:rPr>
              <w:t>49,918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Advances on loans held for resale</w:t>
            </w:r>
          </w:p>
        </w:tc>
        <w:tc>
          <w:tcPr>
            <w:tcW w:w="198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17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4,689</w:t>
            </w:r>
          </w:p>
        </w:tc>
        <w:tc>
          <w:tcPr>
            <w:tcW w:w="34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86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4,867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2"/>
          </w:tcPr>
          <w:p>
            <w:pPr>
              <w:spacing w:after="0"/>
              <w:rPr>
                <w:sz w:val="20"/>
                <w:szCs w:val="20"/>
                <w:color w:val="auto"/>
              </w:rPr>
            </w:pPr>
            <w:r>
              <w:rPr>
                <w:rFonts w:ascii="Arial" w:cs="Arial" w:eastAsia="Arial" w:hAnsi="Arial"/>
                <w:sz w:val="18"/>
                <w:szCs w:val="18"/>
                <w:color w:val="auto"/>
              </w:rPr>
              <w:t>Real estate</w:t>
            </w:r>
          </w:p>
        </w:tc>
        <w:tc>
          <w:tcPr>
            <w:tcW w:w="1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3,662</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60" w:type="dxa"/>
            <w:vAlign w:val="bottom"/>
            <w:gridSpan w:val="2"/>
          </w:tcPr>
          <w:p>
            <w:pPr>
              <w:jc w:val="right"/>
              <w:ind w:right="100"/>
              <w:spacing w:after="0"/>
              <w:rPr>
                <w:sz w:val="20"/>
                <w:szCs w:val="20"/>
                <w:color w:val="auto"/>
              </w:rPr>
            </w:pPr>
            <w:r>
              <w:rPr>
                <w:rFonts w:ascii="Arial" w:cs="Arial" w:eastAsia="Arial" w:hAnsi="Arial"/>
                <w:sz w:val="18"/>
                <w:szCs w:val="18"/>
                <w:color w:val="auto"/>
              </w:rPr>
              <w:t>4,682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Other</w:t>
            </w:r>
          </w:p>
        </w:tc>
        <w:tc>
          <w:tcPr>
            <w:tcW w:w="198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17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3,083</w:t>
            </w:r>
          </w:p>
        </w:tc>
        <w:tc>
          <w:tcPr>
            <w:tcW w:w="34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86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3,646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100" w:type="dxa"/>
            <w:vAlign w:val="bottom"/>
            <w:gridSpan w:val="2"/>
            <w:vMerge w:val="restart"/>
          </w:tcPr>
          <w:p>
            <w:pPr>
              <w:ind w:left="140"/>
              <w:spacing w:after="0"/>
              <w:rPr>
                <w:sz w:val="20"/>
                <w:szCs w:val="20"/>
                <w:color w:val="auto"/>
              </w:rPr>
            </w:pPr>
            <w:r>
              <w:rPr>
                <w:rFonts w:ascii="Arial" w:cs="Arial" w:eastAsia="Arial" w:hAnsi="Arial"/>
                <w:sz w:val="18"/>
                <w:szCs w:val="18"/>
                <w:color w:val="auto"/>
              </w:rPr>
              <w:t>Total assets</w:t>
            </w:r>
          </w:p>
        </w:tc>
        <w:tc>
          <w:tcPr>
            <w:tcW w:w="2220" w:type="dxa"/>
            <w:vAlign w:val="bottom"/>
            <w:gridSpan w:val="2"/>
          </w:tcPr>
          <w:p>
            <w:pPr>
              <w:spacing w:after="0"/>
              <w:rPr>
                <w:sz w:val="21"/>
                <w:szCs w:val="21"/>
                <w:color w:val="auto"/>
              </w:rPr>
            </w:pPr>
          </w:p>
        </w:tc>
        <w:tc>
          <w:tcPr>
            <w:tcW w:w="1700" w:type="dxa"/>
            <w:vAlign w:val="bottom"/>
          </w:tcPr>
          <w:p>
            <w:pPr>
              <w:spacing w:after="0"/>
              <w:rPr>
                <w:sz w:val="21"/>
                <w:szCs w:val="21"/>
                <w:color w:val="auto"/>
              </w:rPr>
            </w:pPr>
          </w:p>
        </w:tc>
        <w:tc>
          <w:tcPr>
            <w:tcW w:w="520" w:type="dxa"/>
            <w:vAlign w:val="bottom"/>
            <w:gridSpan w:val="2"/>
          </w:tcPr>
          <w:p>
            <w:pPr>
              <w:spacing w:after="0"/>
              <w:rPr>
                <w:sz w:val="21"/>
                <w:szCs w:val="21"/>
                <w:color w:val="auto"/>
              </w:rPr>
            </w:pPr>
          </w:p>
        </w:tc>
        <w:tc>
          <w:tcPr>
            <w:tcW w:w="1860" w:type="dxa"/>
            <w:vAlign w:val="bottom"/>
            <w:gridSpan w:val="2"/>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2"/>
            <w:vMerge w:val="continue"/>
          </w:tcPr>
          <w:p>
            <w:pPr>
              <w:spacing w:after="0"/>
              <w:rPr>
                <w:sz w:val="18"/>
                <w:szCs w:val="18"/>
                <w:color w:val="auto"/>
              </w:rPr>
            </w:pPr>
          </w:p>
        </w:tc>
        <w:tc>
          <w:tcPr>
            <w:tcW w:w="1980" w:type="dxa"/>
            <w:vAlign w:val="bottom"/>
          </w:tcPr>
          <w:p>
            <w:pPr>
              <w:spacing w:after="0"/>
              <w:rPr>
                <w:sz w:val="18"/>
                <w:szCs w:val="18"/>
                <w:color w:val="auto"/>
              </w:rPr>
            </w:pPr>
          </w:p>
        </w:tc>
        <w:tc>
          <w:tcPr>
            <w:tcW w:w="240" w:type="dxa"/>
            <w:vAlign w:val="bottom"/>
            <w:tcBorders>
              <w:top w:val="single" w:sz="8" w:color="auto"/>
            </w:tcBorders>
          </w:tcPr>
          <w:p>
            <w:pPr>
              <w:jc w:val="right"/>
              <w:ind w:right="83"/>
              <w:spacing w:after="0"/>
              <w:rPr>
                <w:sz w:val="20"/>
                <w:szCs w:val="20"/>
                <w:color w:val="auto"/>
              </w:rPr>
            </w:pPr>
            <w:r>
              <w:rPr>
                <w:rFonts w:ascii="Arial" w:cs="Arial" w:eastAsia="Arial" w:hAnsi="Arial"/>
                <w:sz w:val="15"/>
                <w:szCs w:val="15"/>
                <w:color w:val="auto"/>
                <w:w w:val="71"/>
              </w:rPr>
              <w:t>$</w:t>
            </w:r>
          </w:p>
        </w:tc>
        <w:tc>
          <w:tcPr>
            <w:tcW w:w="1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60,025</w:t>
            </w:r>
          </w:p>
        </w:tc>
        <w:tc>
          <w:tcPr>
            <w:tcW w:w="340" w:type="dxa"/>
            <w:vAlign w:val="bottom"/>
          </w:tcPr>
          <w:p>
            <w:pPr>
              <w:spacing w:after="0"/>
              <w:rPr>
                <w:sz w:val="18"/>
                <w:szCs w:val="18"/>
                <w:color w:val="auto"/>
              </w:rPr>
            </w:pPr>
          </w:p>
        </w:tc>
        <w:tc>
          <w:tcPr>
            <w:tcW w:w="180" w:type="dxa"/>
            <w:vAlign w:val="bottom"/>
            <w:tcBorders>
              <w:top w:val="single" w:sz="8" w:color="auto"/>
            </w:tcBorders>
          </w:tcPr>
          <w:p>
            <w:pPr>
              <w:jc w:val="right"/>
              <w:ind w:right="23"/>
              <w:spacing w:after="0"/>
              <w:rPr>
                <w:sz w:val="20"/>
                <w:szCs w:val="20"/>
                <w:color w:val="auto"/>
              </w:rPr>
            </w:pPr>
            <w:r>
              <w:rPr>
                <w:rFonts w:ascii="Arial" w:cs="Arial" w:eastAsia="Arial" w:hAnsi="Arial"/>
                <w:sz w:val="15"/>
                <w:szCs w:val="15"/>
                <w:color w:val="auto"/>
                <w:w w:val="71"/>
              </w:rPr>
              <w:t>$</w:t>
            </w:r>
          </w:p>
        </w:tc>
        <w:tc>
          <w:tcPr>
            <w:tcW w:w="1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67,317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900" w:type="dxa"/>
            <w:vAlign w:val="bottom"/>
            <w:gridSpan w:val="2"/>
          </w:tcPr>
          <w:p>
            <w:pPr>
              <w:spacing w:after="0"/>
              <w:rPr>
                <w:sz w:val="20"/>
                <w:szCs w:val="20"/>
                <w:color w:val="auto"/>
              </w:rPr>
            </w:pPr>
          </w:p>
        </w:tc>
        <w:tc>
          <w:tcPr>
            <w:tcW w:w="222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900" w:type="dxa"/>
            <w:vAlign w:val="bottom"/>
            <w:gridSpan w:val="2"/>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restart"/>
          </w:tcPr>
          <w:p>
            <w:pPr>
              <w:spacing w:after="0"/>
              <w:rPr>
                <w:sz w:val="11"/>
                <w:szCs w:val="11"/>
                <w:color w:val="auto"/>
              </w:rPr>
            </w:pPr>
          </w:p>
        </w:tc>
        <w:tc>
          <w:tcPr>
            <w:tcW w:w="288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19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6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0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Lines of credit and other secured borrowings</w:t>
            </w:r>
          </w:p>
        </w:tc>
        <w:tc>
          <w:tcPr>
            <w:tcW w:w="198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17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14,702</w:t>
            </w:r>
          </w:p>
        </w:tc>
        <w:tc>
          <w:tcPr>
            <w:tcW w:w="34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86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17,760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100" w:type="dxa"/>
            <w:vAlign w:val="bottom"/>
            <w:gridSpan w:val="2"/>
          </w:tcPr>
          <w:p>
            <w:pPr>
              <w:spacing w:after="0"/>
              <w:rPr>
                <w:sz w:val="20"/>
                <w:szCs w:val="20"/>
                <w:color w:val="auto"/>
              </w:rPr>
            </w:pPr>
            <w:r>
              <w:rPr>
                <w:rFonts w:ascii="Arial" w:cs="Arial" w:eastAsia="Arial" w:hAnsi="Arial"/>
                <w:sz w:val="18"/>
                <w:szCs w:val="18"/>
                <w:color w:val="auto"/>
              </w:rPr>
              <w:t>Other</w:t>
            </w:r>
          </w:p>
        </w:tc>
        <w:tc>
          <w:tcPr>
            <w:tcW w:w="1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1,322</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60" w:type="dxa"/>
            <w:vAlign w:val="bottom"/>
            <w:gridSpan w:val="2"/>
          </w:tcPr>
          <w:p>
            <w:pPr>
              <w:jc w:val="right"/>
              <w:ind w:right="100"/>
              <w:spacing w:after="0"/>
              <w:rPr>
                <w:sz w:val="20"/>
                <w:szCs w:val="20"/>
                <w:color w:val="auto"/>
              </w:rPr>
            </w:pPr>
            <w:r>
              <w:rPr>
                <w:rFonts w:ascii="Arial" w:cs="Arial" w:eastAsia="Arial" w:hAnsi="Arial"/>
                <w:sz w:val="18"/>
                <w:szCs w:val="18"/>
                <w:color w:val="auto"/>
              </w:rPr>
              <w:t>1,409</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2220" w:type="dxa"/>
            <w:vAlign w:val="bottom"/>
            <w:gridSpan w:val="2"/>
          </w:tcPr>
          <w:p>
            <w:pPr>
              <w:spacing w:after="0"/>
              <w:rPr>
                <w:sz w:val="20"/>
                <w:szCs w:val="20"/>
                <w:color w:val="auto"/>
              </w:rPr>
            </w:pPr>
          </w:p>
        </w:tc>
        <w:tc>
          <w:tcPr>
            <w:tcW w:w="1700" w:type="dxa"/>
            <w:vAlign w:val="bottom"/>
          </w:tcPr>
          <w:p>
            <w:pPr>
              <w:spacing w:after="0"/>
              <w:rPr>
                <w:sz w:val="20"/>
                <w:szCs w:val="20"/>
                <w:color w:val="auto"/>
              </w:rPr>
            </w:pPr>
          </w:p>
        </w:tc>
        <w:tc>
          <w:tcPr>
            <w:tcW w:w="520" w:type="dxa"/>
            <w:vAlign w:val="bottom"/>
            <w:gridSpan w:val="2"/>
          </w:tcPr>
          <w:p>
            <w:pPr>
              <w:spacing w:after="0"/>
              <w:rPr>
                <w:sz w:val="20"/>
                <w:szCs w:val="20"/>
                <w:color w:val="auto"/>
              </w:rPr>
            </w:pPr>
          </w:p>
        </w:tc>
        <w:tc>
          <w:tcPr>
            <w:tcW w:w="186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00" w:type="dxa"/>
            <w:vAlign w:val="bottom"/>
            <w:gridSpan w:val="2"/>
            <w:shd w:val="clear" w:color="auto" w:fill="EAF9E8"/>
          </w:tcPr>
          <w:p>
            <w:pPr>
              <w:ind w:left="140"/>
              <w:spacing w:after="0"/>
              <w:rPr>
                <w:sz w:val="20"/>
                <w:szCs w:val="20"/>
                <w:color w:val="auto"/>
              </w:rPr>
            </w:pPr>
            <w:r>
              <w:rPr>
                <w:rFonts w:ascii="Arial" w:cs="Arial" w:eastAsia="Arial" w:hAnsi="Arial"/>
                <w:sz w:val="18"/>
                <w:szCs w:val="18"/>
                <w:color w:val="auto"/>
              </w:rPr>
              <w:t>Total liabilities</w:t>
            </w:r>
          </w:p>
        </w:tc>
        <w:tc>
          <w:tcPr>
            <w:tcW w:w="1980" w:type="dxa"/>
            <w:vAlign w:val="bottom"/>
            <w:shd w:val="clear" w:color="auto" w:fill="EAF9E8"/>
          </w:tcPr>
          <w:p>
            <w:pPr>
              <w:spacing w:after="0"/>
              <w:rPr>
                <w:sz w:val="18"/>
                <w:szCs w:val="18"/>
                <w:color w:val="auto"/>
              </w:rPr>
            </w:pPr>
          </w:p>
        </w:tc>
        <w:tc>
          <w:tcPr>
            <w:tcW w:w="240" w:type="dxa"/>
            <w:vAlign w:val="bottom"/>
            <w:tcBorders>
              <w:top w:val="single" w:sz="8" w:color="auto"/>
            </w:tcBorders>
            <w:shd w:val="clear" w:color="auto" w:fill="EAF9E8"/>
          </w:tcPr>
          <w:p>
            <w:pPr>
              <w:jc w:val="right"/>
              <w:ind w:right="83"/>
              <w:spacing w:after="0"/>
              <w:rPr>
                <w:sz w:val="20"/>
                <w:szCs w:val="20"/>
                <w:color w:val="auto"/>
              </w:rPr>
            </w:pPr>
            <w:r>
              <w:rPr>
                <w:rFonts w:ascii="Arial" w:cs="Arial" w:eastAsia="Arial" w:hAnsi="Arial"/>
                <w:sz w:val="15"/>
                <w:szCs w:val="15"/>
                <w:color w:val="auto"/>
                <w:w w:val="71"/>
              </w:rPr>
              <w:t>$</w:t>
            </w:r>
          </w:p>
        </w:tc>
        <w:tc>
          <w:tcPr>
            <w:tcW w:w="170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16,024</w:t>
            </w:r>
          </w:p>
        </w:tc>
        <w:tc>
          <w:tcPr>
            <w:tcW w:w="340" w:type="dxa"/>
            <w:vAlign w:val="bottom"/>
            <w:shd w:val="clear" w:color="auto" w:fill="EAF9E8"/>
          </w:tcPr>
          <w:p>
            <w:pPr>
              <w:spacing w:after="0"/>
              <w:rPr>
                <w:sz w:val="18"/>
                <w:szCs w:val="18"/>
                <w:color w:val="auto"/>
              </w:rPr>
            </w:pPr>
          </w:p>
        </w:tc>
        <w:tc>
          <w:tcPr>
            <w:tcW w:w="180" w:type="dxa"/>
            <w:vAlign w:val="bottom"/>
            <w:tcBorders>
              <w:top w:val="single" w:sz="8" w:color="auto"/>
            </w:tcBorders>
            <w:shd w:val="clear" w:color="auto" w:fill="EAF9E8"/>
          </w:tcPr>
          <w:p>
            <w:pPr>
              <w:jc w:val="right"/>
              <w:ind w:right="23"/>
              <w:spacing w:after="0"/>
              <w:rPr>
                <w:sz w:val="20"/>
                <w:szCs w:val="20"/>
                <w:color w:val="auto"/>
              </w:rPr>
            </w:pPr>
            <w:r>
              <w:rPr>
                <w:rFonts w:ascii="Arial" w:cs="Arial" w:eastAsia="Arial" w:hAnsi="Arial"/>
                <w:sz w:val="15"/>
                <w:szCs w:val="15"/>
                <w:color w:val="auto"/>
                <w:w w:val="71"/>
              </w:rPr>
              <w:t>$</w:t>
            </w:r>
          </w:p>
        </w:tc>
        <w:tc>
          <w:tcPr>
            <w:tcW w:w="176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19,169</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880" w:type="dxa"/>
            <w:vAlign w:val="bottom"/>
          </w:tcPr>
          <w:p>
            <w:pPr>
              <w:spacing w:after="0"/>
              <w:rPr>
                <w:sz w:val="21"/>
                <w:szCs w:val="21"/>
                <w:color w:val="auto"/>
              </w:rPr>
            </w:pPr>
          </w:p>
        </w:tc>
        <w:tc>
          <w:tcPr>
            <w:tcW w:w="2220" w:type="dxa"/>
            <w:vAlign w:val="bottom"/>
          </w:tcPr>
          <w:p>
            <w:pPr>
              <w:spacing w:after="0"/>
              <w:rPr>
                <w:sz w:val="21"/>
                <w:szCs w:val="21"/>
                <w:color w:val="auto"/>
              </w:rPr>
            </w:pPr>
          </w:p>
        </w:tc>
        <w:tc>
          <w:tcPr>
            <w:tcW w:w="19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700" w:type="dxa"/>
            <w:vAlign w:val="bottom"/>
            <w:tcBorders>
              <w:bottom w:val="single" w:sz="8" w:color="auto"/>
            </w:tcBorders>
          </w:tcPr>
          <w:p>
            <w:pPr>
              <w:spacing w:after="0"/>
              <w:rPr>
                <w:sz w:val="21"/>
                <w:szCs w:val="21"/>
                <w:color w:val="auto"/>
              </w:rPr>
            </w:pPr>
          </w:p>
        </w:tc>
        <w:tc>
          <w:tcPr>
            <w:tcW w:w="34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7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jc w:val="both"/>
        <w:ind w:firstLine="478"/>
        <w:spacing w:after="0" w:line="259" w:lineRule="auto"/>
        <w:rPr>
          <w:sz w:val="20"/>
          <w:szCs w:val="20"/>
          <w:color w:val="auto"/>
        </w:rPr>
      </w:pPr>
      <w:r>
        <w:rPr>
          <w:rFonts w:ascii="Arial" w:cs="Arial" w:eastAsia="Arial" w:hAnsi="Arial"/>
          <w:sz w:val="18"/>
          <w:szCs w:val="18"/>
          <w:i w:val="1"/>
          <w:iCs w:val="1"/>
          <w:color w:val="auto"/>
        </w:rPr>
        <w:t>Subordinate and Residual Trading Securities</w:t>
      </w:r>
      <w:r>
        <w:rPr>
          <w:rFonts w:ascii="Arial" w:cs="Arial" w:eastAsia="Arial" w:hAnsi="Arial"/>
          <w:sz w:val="18"/>
          <w:szCs w:val="18"/>
          <w:color w:val="auto"/>
        </w:rPr>
        <w:t>. The $283 decrease in subordinate and residual securities during the first three months of 2009 was primarily</w:t>
      </w:r>
      <w:r>
        <w:rPr>
          <w:rFonts w:ascii="Arial" w:cs="Arial" w:eastAsia="Arial" w:hAnsi="Arial"/>
          <w:sz w:val="18"/>
          <w:szCs w:val="18"/>
          <w:i w:val="1"/>
          <w:iCs w:val="1"/>
          <w:color w:val="auto"/>
        </w:rPr>
        <w:t xml:space="preserve"> </w:t>
      </w:r>
      <w:r>
        <w:rPr>
          <w:rFonts w:ascii="Arial" w:cs="Arial" w:eastAsia="Arial" w:hAnsi="Arial"/>
          <w:sz w:val="18"/>
          <w:szCs w:val="18"/>
          <w:color w:val="auto"/>
        </w:rPr>
        <w:t>due to a decline in fair value that reflects conditions in the subprime mortgage market. Net unrealized losses on subordinate and residual trading securities were $282 during the first three months of 2009.</w:t>
      </w:r>
    </w:p>
    <w:p>
      <w:pPr>
        <w:spacing w:after="0" w:line="194" w:lineRule="exact"/>
        <w:rPr>
          <w:sz w:val="20"/>
          <w:szCs w:val="20"/>
          <w:color w:val="auto"/>
        </w:rPr>
      </w:pPr>
    </w:p>
    <w:p>
      <w:pPr>
        <w:jc w:val="both"/>
        <w:ind w:firstLine="573"/>
        <w:spacing w:after="0" w:line="291" w:lineRule="auto"/>
        <w:rPr>
          <w:sz w:val="20"/>
          <w:szCs w:val="20"/>
          <w:color w:val="auto"/>
        </w:rPr>
      </w:pPr>
      <w:r>
        <w:rPr>
          <w:rFonts w:ascii="Arial" w:cs="Arial" w:eastAsia="Arial" w:hAnsi="Arial"/>
          <w:sz w:val="16"/>
          <w:szCs w:val="16"/>
          <w:color w:val="auto"/>
        </w:rPr>
        <w:t>As disclosed in Note 3 to the Interim Consolidated Financial Statements, our subordinate and residual securities are not actively traded, and therefore, market quotations are not available. We estimate fair value using an industry accepted discounted cash flow model that is calibrated for trading activity wherever possible. We estimate fair value based on the present value of expected future cash flows using our best estimate of key assumptions that market participants would use such as discount, delinquency and cumulative loss rates as well as prepayment speeds associated with the loans underlying mortgage backed securities. The estimated fair value of our residuals and subordinate trading securities is significantly influenced by the loss assumptions utilized in the discounted cash flow model. Our loss assumptions range between 14% and 28%.</w:t>
      </w:r>
    </w:p>
    <w:p>
      <w:pPr>
        <w:spacing w:after="0" w:line="174" w:lineRule="exact"/>
        <w:rPr>
          <w:sz w:val="20"/>
          <w:szCs w:val="20"/>
          <w:color w:val="auto"/>
        </w:rPr>
      </w:pPr>
    </w:p>
    <w:p>
      <w:pPr>
        <w:jc w:val="both"/>
        <w:ind w:right="20" w:firstLine="451"/>
        <w:spacing w:after="0" w:line="268" w:lineRule="auto"/>
        <w:rPr>
          <w:sz w:val="20"/>
          <w:szCs w:val="20"/>
          <w:color w:val="auto"/>
        </w:rPr>
      </w:pPr>
      <w:r>
        <w:rPr>
          <w:rFonts w:ascii="Arial" w:cs="Arial" w:eastAsia="Arial" w:hAnsi="Arial"/>
          <w:sz w:val="18"/>
          <w:szCs w:val="18"/>
          <w:color w:val="auto"/>
        </w:rPr>
        <w:t>Subordinate and residual securities do not have a contractual maturity but are paid down over time as cash distributions are received. The weighted average remaining life of these securities was 1.19 years at March 31, 2009.</w:t>
      </w:r>
    </w:p>
    <w:p>
      <w:pPr>
        <w:spacing w:after="0" w:line="186" w:lineRule="exact"/>
        <w:rPr>
          <w:sz w:val="20"/>
          <w:szCs w:val="20"/>
          <w:color w:val="auto"/>
        </w:rPr>
      </w:pPr>
    </w:p>
    <w:p>
      <w:pPr>
        <w:jc w:val="both"/>
        <w:ind w:firstLine="522"/>
        <w:spacing w:after="0" w:line="306" w:lineRule="auto"/>
        <w:rPr>
          <w:sz w:val="20"/>
          <w:szCs w:val="20"/>
          <w:color w:val="auto"/>
        </w:rPr>
      </w:pPr>
      <w:r>
        <w:rPr>
          <w:rFonts w:ascii="Arial" w:cs="Arial" w:eastAsia="Arial" w:hAnsi="Arial"/>
          <w:sz w:val="16"/>
          <w:szCs w:val="16"/>
          <w:i w:val="1"/>
          <w:iCs w:val="1"/>
          <w:color w:val="auto"/>
        </w:rPr>
        <w:t>Loans Held for Resale</w:t>
      </w:r>
      <w:r>
        <w:rPr>
          <w:rFonts w:ascii="Arial" w:cs="Arial" w:eastAsia="Arial" w:hAnsi="Arial"/>
          <w:sz w:val="16"/>
          <w:szCs w:val="16"/>
          <w:color w:val="auto"/>
        </w:rPr>
        <w:t>. Loans held for resale represent single-family residential loans originated or acquired that we do not intend to hold until maturity.</w:t>
      </w:r>
      <w:r>
        <w:rPr>
          <w:rFonts w:ascii="Arial" w:cs="Arial" w:eastAsia="Arial" w:hAnsi="Arial"/>
          <w:sz w:val="16"/>
          <w:szCs w:val="16"/>
          <w:i w:val="1"/>
          <w:iCs w:val="1"/>
          <w:color w:val="auto"/>
        </w:rPr>
        <w:t xml:space="preserve"> </w:t>
      </w:r>
      <w:r>
        <w:rPr>
          <w:rFonts w:ascii="Arial" w:cs="Arial" w:eastAsia="Arial" w:hAnsi="Arial"/>
          <w:sz w:val="16"/>
          <w:szCs w:val="16"/>
          <w:color w:val="auto"/>
        </w:rPr>
        <w:t>The balances at March 31, 2009 and December 31, 2008 are net of fair value allowances of $18,166 and $17,491, respectively. Loans held for resale at March 31, 2009 and December 31, 2008 include non-performing loans with a carrying value of $18,505 and $19,193, respectively.</w:t>
      </w:r>
    </w:p>
    <w:p>
      <w:pPr>
        <w:spacing w:after="0" w:line="161" w:lineRule="exact"/>
        <w:rPr>
          <w:sz w:val="20"/>
          <w:szCs w:val="20"/>
          <w:color w:val="auto"/>
        </w:rPr>
      </w:pPr>
    </w:p>
    <w:p>
      <w:pPr>
        <w:jc w:val="both"/>
        <w:ind w:firstLine="474"/>
        <w:spacing w:after="0" w:line="259" w:lineRule="auto"/>
        <w:rPr>
          <w:sz w:val="20"/>
          <w:szCs w:val="20"/>
          <w:color w:val="auto"/>
        </w:rPr>
      </w:pPr>
      <w:r>
        <w:rPr>
          <w:rFonts w:ascii="Arial" w:cs="Arial" w:eastAsia="Arial" w:hAnsi="Arial"/>
          <w:sz w:val="18"/>
          <w:szCs w:val="18"/>
          <w:color w:val="auto"/>
        </w:rPr>
        <w:t>The $5,248 decline in carrying value during the first three months of 2009 is due to payoffs, foreclosures and charge-offs. There were no loan sales during the first three months of 2009. When we foreclose on the collateral, we transfer the loans to real estate upon receipt of title to the property, and market the property for sale.</w:t>
      </w:r>
    </w:p>
    <w:p>
      <w:pPr>
        <w:spacing w:after="0" w:line="194" w:lineRule="exact"/>
        <w:rPr>
          <w:sz w:val="20"/>
          <w:szCs w:val="20"/>
          <w:color w:val="auto"/>
        </w:rPr>
      </w:pPr>
    </w:p>
    <w:p>
      <w:pPr>
        <w:jc w:val="both"/>
        <w:ind w:firstLine="476"/>
        <w:spacing w:after="0" w:line="259" w:lineRule="auto"/>
        <w:rPr>
          <w:sz w:val="20"/>
          <w:szCs w:val="20"/>
          <w:color w:val="auto"/>
        </w:rPr>
      </w:pPr>
      <w:r>
        <w:rPr>
          <w:rFonts w:ascii="Arial" w:cs="Arial" w:eastAsia="Arial" w:hAnsi="Arial"/>
          <w:sz w:val="18"/>
          <w:szCs w:val="18"/>
          <w:i w:val="1"/>
          <w:iCs w:val="1"/>
          <w:color w:val="auto"/>
        </w:rPr>
        <w:t xml:space="preserve">Real Estate. </w:t>
      </w:r>
      <w:r>
        <w:rPr>
          <w:rFonts w:ascii="Arial" w:cs="Arial" w:eastAsia="Arial" w:hAnsi="Arial"/>
          <w:sz w:val="18"/>
          <w:szCs w:val="18"/>
          <w:color w:val="auto"/>
        </w:rPr>
        <w:t>Real estate is comprised of properties that we acquire by foreclosure on loans held for resale. These properties are held for sale and are net of</w:t>
      </w:r>
      <w:r>
        <w:rPr>
          <w:rFonts w:ascii="Arial" w:cs="Arial" w:eastAsia="Arial" w:hAnsi="Arial"/>
          <w:sz w:val="18"/>
          <w:szCs w:val="18"/>
          <w:i w:val="1"/>
          <w:iCs w:val="1"/>
          <w:color w:val="auto"/>
        </w:rPr>
        <w:t xml:space="preserve"> </w:t>
      </w:r>
      <w:r>
        <w:rPr>
          <w:rFonts w:ascii="Arial" w:cs="Arial" w:eastAsia="Arial" w:hAnsi="Arial"/>
          <w:sz w:val="18"/>
          <w:szCs w:val="18"/>
          <w:color w:val="auto"/>
        </w:rPr>
        <w:t>fair value allowances of $3,574 and $4,748 at March 31, 2009 and December 31, 2008, respectively. During the first three months of 2009, transfers from loans held for resale were more than offset by sales of real estate.</w:t>
      </w:r>
    </w:p>
    <w:p>
      <w:pPr>
        <w:spacing w:after="0" w:line="194" w:lineRule="exact"/>
        <w:rPr>
          <w:sz w:val="20"/>
          <w:szCs w:val="20"/>
          <w:color w:val="auto"/>
        </w:rPr>
      </w:pPr>
    </w:p>
    <w:p>
      <w:pPr>
        <w:jc w:val="both"/>
        <w:ind w:firstLine="490"/>
        <w:spacing w:after="0" w:line="294" w:lineRule="auto"/>
        <w:rPr>
          <w:sz w:val="20"/>
          <w:szCs w:val="20"/>
          <w:color w:val="auto"/>
        </w:rPr>
      </w:pPr>
      <w:r>
        <w:rPr>
          <w:rFonts w:ascii="Arial" w:cs="Arial" w:eastAsia="Arial" w:hAnsi="Arial"/>
          <w:sz w:val="16"/>
          <w:szCs w:val="16"/>
          <w:i w:val="1"/>
          <w:iCs w:val="1"/>
          <w:color w:val="auto"/>
        </w:rPr>
        <w:t xml:space="preserve">Lines of Credit and Other Secured Borrowings. </w:t>
      </w:r>
      <w:r>
        <w:rPr>
          <w:rFonts w:ascii="Arial" w:cs="Arial" w:eastAsia="Arial" w:hAnsi="Arial"/>
          <w:sz w:val="16"/>
          <w:szCs w:val="16"/>
          <w:color w:val="auto"/>
        </w:rPr>
        <w:t>Through July 2008, borrowings under lines of credit and other secured borrowing consisted principally of</w:t>
      </w:r>
      <w:r>
        <w:rPr>
          <w:rFonts w:ascii="Arial" w:cs="Arial" w:eastAsia="Arial" w:hAnsi="Arial"/>
          <w:sz w:val="16"/>
          <w:szCs w:val="16"/>
          <w:i w:val="1"/>
          <w:iCs w:val="1"/>
          <w:color w:val="auto"/>
        </w:rPr>
        <w:t xml:space="preserve"> </w:t>
      </w:r>
      <w:r>
        <w:rPr>
          <w:rFonts w:ascii="Arial" w:cs="Arial" w:eastAsia="Arial" w:hAnsi="Arial"/>
          <w:sz w:val="16"/>
          <w:szCs w:val="16"/>
          <w:color w:val="auto"/>
        </w:rPr>
        <w:t>amounts borrowed under repurchase agreements collateralized by loans held for resale. In August 2008, we used the proceeds from the sale of $23,200 of Class A-1 notes, net of a discount of $928, to repay the balance of repurchase agreements outstanding at the time. The $3,058 decline in borrowings during the first three months of 2009 results from borrower payments on the loans that serve as collateral for the notes. See Note 13 to our Interim Consolidated Financial Statements for additional information on the terms and balances of our lines of credit and other secured borrowings.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45" w:name="page46"/>
    <w:bookmarkEnd w:id="45"/>
    <w:tbl>
      <w:tblPr>
        <w:tblLayout w:type="fixed"/>
        <w:tblInd w:w="0" w:type="dxa"/>
        <w:tblCellMar>
          <w:top w:w="0" w:type="dxa"/>
          <w:left w:w="0" w:type="dxa"/>
          <w:bottom w:w="0" w:type="dxa"/>
          <w:right w:w="0" w:type="dxa"/>
        </w:tblCellMar>
      </w:tblPr>
      <w:tr>
        <w:trPr>
          <w:trHeight w:val="207"/>
        </w:trPr>
        <w:tc>
          <w:tcPr>
            <w:tcW w:w="6680" w:type="dxa"/>
            <w:vAlign w:val="bottom"/>
            <w:gridSpan w:val="2"/>
          </w:tcPr>
          <w:p>
            <w:pPr>
              <w:spacing w:after="0"/>
              <w:rPr>
                <w:sz w:val="20"/>
                <w:szCs w:val="20"/>
                <w:color w:val="auto"/>
              </w:rPr>
            </w:pPr>
            <w:r>
              <w:rPr>
                <w:rFonts w:ascii="Arial" w:cs="Arial" w:eastAsia="Arial" w:hAnsi="Arial"/>
                <w:sz w:val="18"/>
                <w:szCs w:val="18"/>
                <w:color w:val="auto"/>
                <w:w w:val="93"/>
              </w:rPr>
              <w:t>Comparative selected operations data for the three months ended March 31 is as follows:</w:t>
            </w:r>
          </w:p>
        </w:tc>
        <w:tc>
          <w:tcPr>
            <w:tcW w:w="4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64"/>
        </w:trPr>
        <w:tc>
          <w:tcPr>
            <w:tcW w:w="6260" w:type="dxa"/>
            <w:vAlign w:val="bottom"/>
            <w:tcBorders>
              <w:top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500" w:type="dxa"/>
            <w:vAlign w:val="bottom"/>
          </w:tcPr>
          <w:p>
            <w:pPr>
              <w:jc w:val="right"/>
              <w:ind w:right="712"/>
              <w:spacing w:after="0"/>
              <w:rPr>
                <w:sz w:val="20"/>
                <w:szCs w:val="20"/>
                <w:color w:val="auto"/>
              </w:rPr>
            </w:pPr>
            <w:r>
              <w:rPr>
                <w:rFonts w:ascii="Arial" w:cs="Arial" w:eastAsia="Arial" w:hAnsi="Arial"/>
                <w:sz w:val="18"/>
                <w:szCs w:val="18"/>
                <w:color w:val="auto"/>
              </w:rPr>
              <w:t>2009</w:t>
            </w: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500" w:type="dxa"/>
            <w:vAlign w:val="bottom"/>
          </w:tcPr>
          <w:p>
            <w:pPr>
              <w:jc w:val="right"/>
              <w:ind w:right="712"/>
              <w:spacing w:after="0"/>
              <w:rPr>
                <w:sz w:val="20"/>
                <w:szCs w:val="20"/>
                <w:color w:val="auto"/>
              </w:rPr>
            </w:pPr>
            <w:r>
              <w:rPr>
                <w:rFonts w:ascii="Arial" w:cs="Arial" w:eastAsia="Arial" w:hAnsi="Arial"/>
                <w:sz w:val="18"/>
                <w:szCs w:val="18"/>
                <w:color w:val="auto"/>
              </w:rPr>
              <w:t>2008</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62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60" w:type="dxa"/>
            <w:vAlign w:val="bottom"/>
            <w:gridSpan w:val="2"/>
          </w:tcPr>
          <w:p>
            <w:pPr>
              <w:spacing w:after="0"/>
              <w:rPr>
                <w:sz w:val="21"/>
                <w:szCs w:val="21"/>
                <w:color w:val="auto"/>
              </w:rPr>
            </w:pPr>
          </w:p>
        </w:tc>
        <w:tc>
          <w:tcPr>
            <w:tcW w:w="1840" w:type="dxa"/>
            <w:vAlign w:val="bottom"/>
            <w:gridSpan w:val="2"/>
          </w:tcPr>
          <w:p>
            <w:pPr>
              <w:spacing w:after="0"/>
              <w:rPr>
                <w:sz w:val="21"/>
                <w:szCs w:val="21"/>
                <w:color w:val="auto"/>
              </w:rPr>
            </w:pPr>
          </w:p>
        </w:tc>
        <w:tc>
          <w:tcPr>
            <w:tcW w:w="44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668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Revenue</w:t>
            </w:r>
          </w:p>
        </w:tc>
        <w:tc>
          <w:tcPr>
            <w:tcW w:w="420" w:type="dxa"/>
            <w:vAlign w:val="bottom"/>
            <w:shd w:val="clear" w:color="auto" w:fill="EAF9E8"/>
          </w:tcPr>
          <w:p>
            <w:pPr>
              <w:spacing w:after="0"/>
              <w:rPr>
                <w:sz w:val="18"/>
                <w:szCs w:val="18"/>
                <w:color w:val="auto"/>
              </w:rPr>
            </w:pPr>
          </w:p>
        </w:tc>
        <w:tc>
          <w:tcPr>
            <w:tcW w:w="440" w:type="dxa"/>
            <w:vAlign w:val="bottom"/>
            <w:tcBorders>
              <w:top w:val="single" w:sz="8" w:color="auto"/>
            </w:tcBorders>
            <w:shd w:val="clear" w:color="auto" w:fill="EAF9E8"/>
          </w:tcPr>
          <w:p>
            <w:pPr>
              <w:jc w:val="right"/>
              <w:ind w:right="283"/>
              <w:spacing w:after="0"/>
              <w:rPr>
                <w:sz w:val="20"/>
                <w:szCs w:val="20"/>
                <w:color w:val="auto"/>
              </w:rPr>
            </w:pPr>
            <w:r>
              <w:rPr>
                <w:rFonts w:ascii="Arial" w:cs="Arial" w:eastAsia="Arial" w:hAnsi="Arial"/>
                <w:sz w:val="15"/>
                <w:szCs w:val="15"/>
                <w:color w:val="auto"/>
                <w:w w:val="71"/>
              </w:rPr>
              <w:t>$</w:t>
            </w:r>
          </w:p>
        </w:tc>
        <w:tc>
          <w:tcPr>
            <w:tcW w:w="150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EAF9E8"/>
          </w:tcPr>
          <w:p>
            <w:pPr>
              <w:spacing w:after="0"/>
              <w:rPr>
                <w:sz w:val="18"/>
                <w:szCs w:val="18"/>
                <w:color w:val="auto"/>
              </w:rPr>
            </w:pPr>
          </w:p>
        </w:tc>
        <w:tc>
          <w:tcPr>
            <w:tcW w:w="440" w:type="dxa"/>
            <w:vAlign w:val="bottom"/>
            <w:tcBorders>
              <w:top w:val="single" w:sz="8" w:color="auto"/>
            </w:tcBorders>
            <w:shd w:val="clear" w:color="auto" w:fill="EAF9E8"/>
          </w:tcPr>
          <w:p>
            <w:pPr>
              <w:jc w:val="right"/>
              <w:ind w:right="283"/>
              <w:spacing w:after="0"/>
              <w:rPr>
                <w:sz w:val="20"/>
                <w:szCs w:val="20"/>
                <w:color w:val="auto"/>
              </w:rPr>
            </w:pPr>
            <w:r>
              <w:rPr>
                <w:rFonts w:ascii="Arial" w:cs="Arial" w:eastAsia="Arial" w:hAnsi="Arial"/>
                <w:sz w:val="15"/>
                <w:szCs w:val="15"/>
                <w:color w:val="auto"/>
                <w:w w:val="71"/>
              </w:rPr>
              <w:t>$</w:t>
            </w:r>
          </w:p>
        </w:tc>
        <w:tc>
          <w:tcPr>
            <w:tcW w:w="150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68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561</w:t>
            </w:r>
          </w:p>
        </w:tc>
        <w:tc>
          <w:tcPr>
            <w:tcW w:w="3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917</w:t>
            </w:r>
          </w:p>
        </w:tc>
        <w:tc>
          <w:tcPr>
            <w:tcW w:w="0" w:type="dxa"/>
            <w:vAlign w:val="bottom"/>
          </w:tcPr>
          <w:p>
            <w:pPr>
              <w:spacing w:after="0"/>
              <w:rPr>
                <w:sz w:val="1"/>
                <w:szCs w:val="1"/>
                <w:color w:val="auto"/>
              </w:rPr>
            </w:pPr>
          </w:p>
        </w:tc>
      </w:tr>
      <w:tr>
        <w:trPr>
          <w:trHeight w:val="237"/>
        </w:trPr>
        <w:tc>
          <w:tcPr>
            <w:tcW w:w="6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40" w:type="dxa"/>
            <w:vAlign w:val="bottom"/>
            <w:gridSpan w:val="2"/>
          </w:tcPr>
          <w:p>
            <w:pPr>
              <w:spacing w:after="0"/>
              <w:rPr>
                <w:sz w:val="20"/>
                <w:szCs w:val="20"/>
                <w:color w:val="auto"/>
              </w:rPr>
            </w:pPr>
          </w:p>
        </w:tc>
        <w:tc>
          <w:tcPr>
            <w:tcW w:w="440" w:type="dxa"/>
            <w:vAlign w:val="bottom"/>
          </w:tcPr>
          <w:p>
            <w:pPr>
              <w:spacing w:after="0"/>
              <w:rPr>
                <w:sz w:val="20"/>
                <w:szCs w:val="20"/>
                <w:color w:val="auto"/>
              </w:rPr>
            </w:pPr>
          </w:p>
        </w:tc>
        <w:tc>
          <w:tcPr>
            <w:tcW w:w="160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68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Loss from operations</w:t>
            </w:r>
          </w:p>
        </w:tc>
        <w:tc>
          <w:tcPr>
            <w:tcW w:w="420" w:type="dxa"/>
            <w:vAlign w:val="bottom"/>
            <w:shd w:val="clear" w:color="auto" w:fill="EAF9E8"/>
          </w:tcPr>
          <w:p>
            <w:pPr>
              <w:spacing w:after="0"/>
              <w:rPr>
                <w:sz w:val="18"/>
                <w:szCs w:val="18"/>
                <w:color w:val="auto"/>
              </w:rPr>
            </w:pPr>
          </w:p>
        </w:tc>
        <w:tc>
          <w:tcPr>
            <w:tcW w:w="440" w:type="dxa"/>
            <w:vAlign w:val="bottom"/>
            <w:tcBorders>
              <w:top w:val="single" w:sz="8" w:color="auto"/>
            </w:tcBorders>
            <w:shd w:val="clear" w:color="auto" w:fill="EAF9E8"/>
          </w:tcPr>
          <w:p>
            <w:pPr>
              <w:spacing w:after="0"/>
              <w:rPr>
                <w:sz w:val="18"/>
                <w:szCs w:val="18"/>
                <w:color w:val="auto"/>
              </w:rPr>
            </w:pPr>
          </w:p>
        </w:tc>
        <w:tc>
          <w:tcPr>
            <w:tcW w:w="150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(561)</w:t>
            </w:r>
          </w:p>
        </w:tc>
        <w:tc>
          <w:tcPr>
            <w:tcW w:w="340" w:type="dxa"/>
            <w:vAlign w:val="bottom"/>
            <w:shd w:val="clear" w:color="auto" w:fill="EAF9E8"/>
          </w:tcPr>
          <w:p>
            <w:pPr>
              <w:spacing w:after="0"/>
              <w:rPr>
                <w:sz w:val="18"/>
                <w:szCs w:val="18"/>
                <w:color w:val="auto"/>
              </w:rPr>
            </w:pPr>
          </w:p>
        </w:tc>
        <w:tc>
          <w:tcPr>
            <w:tcW w:w="440" w:type="dxa"/>
            <w:vAlign w:val="bottom"/>
            <w:tcBorders>
              <w:top w:val="single" w:sz="8" w:color="auto"/>
            </w:tcBorders>
            <w:shd w:val="clear" w:color="auto" w:fill="EAF9E8"/>
          </w:tcPr>
          <w:p>
            <w:pPr>
              <w:spacing w:after="0"/>
              <w:rPr>
                <w:sz w:val="18"/>
                <w:szCs w:val="18"/>
                <w:color w:val="auto"/>
              </w:rPr>
            </w:pPr>
          </w:p>
        </w:tc>
        <w:tc>
          <w:tcPr>
            <w:tcW w:w="150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(917)</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6680" w:type="dxa"/>
            <w:vAlign w:val="bottom"/>
            <w:gridSpan w:val="2"/>
            <w:vMerge w:val="restart"/>
          </w:tcPr>
          <w:p>
            <w:pPr>
              <w:spacing w:after="0"/>
              <w:rPr>
                <w:sz w:val="20"/>
                <w:szCs w:val="20"/>
                <w:color w:val="auto"/>
              </w:rPr>
            </w:pPr>
            <w:r>
              <w:rPr>
                <w:rFonts w:ascii="Arial" w:cs="Arial" w:eastAsia="Arial" w:hAnsi="Arial"/>
                <w:sz w:val="18"/>
                <w:szCs w:val="18"/>
                <w:color w:val="auto"/>
              </w:rPr>
              <w:t>Other income (expense):</w:t>
            </w:r>
          </w:p>
        </w:tc>
        <w:tc>
          <w:tcPr>
            <w:tcW w:w="420" w:type="dxa"/>
            <w:vAlign w:val="bottom"/>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spacing w:after="0"/>
              <w:rPr>
                <w:sz w:val="21"/>
                <w:szCs w:val="21"/>
                <w:color w:val="auto"/>
              </w:rPr>
            </w:pPr>
          </w:p>
        </w:tc>
        <w:tc>
          <w:tcPr>
            <w:tcW w:w="340" w:type="dxa"/>
            <w:vAlign w:val="bottom"/>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6680" w:type="dxa"/>
            <w:vAlign w:val="bottom"/>
            <w:gridSpan w:val="2"/>
            <w:vMerge w:val="continue"/>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680" w:type="dxa"/>
            <w:vAlign w:val="bottom"/>
            <w:gridSpan w:val="2"/>
            <w:shd w:val="clear" w:color="auto" w:fill="EAF9E8"/>
          </w:tcPr>
          <w:p>
            <w:pPr>
              <w:ind w:left="160"/>
              <w:spacing w:after="0"/>
              <w:rPr>
                <w:sz w:val="20"/>
                <w:szCs w:val="20"/>
                <w:color w:val="auto"/>
              </w:rPr>
            </w:pPr>
            <w:r>
              <w:rPr>
                <w:rFonts w:ascii="Arial" w:cs="Arial" w:eastAsia="Arial" w:hAnsi="Arial"/>
                <w:sz w:val="18"/>
                <w:szCs w:val="18"/>
                <w:color w:val="auto"/>
              </w:rPr>
              <w:t>Interest income:</w:t>
            </w:r>
          </w:p>
        </w:tc>
        <w:tc>
          <w:tcPr>
            <w:tcW w:w="420" w:type="dxa"/>
            <w:vAlign w:val="bottom"/>
            <w:shd w:val="clear" w:color="auto" w:fill="EAF9E8"/>
          </w:tcPr>
          <w:p>
            <w:pPr>
              <w:spacing w:after="0"/>
              <w:rPr>
                <w:sz w:val="18"/>
                <w:szCs w:val="18"/>
                <w:color w:val="auto"/>
              </w:rPr>
            </w:pPr>
          </w:p>
        </w:tc>
        <w:tc>
          <w:tcPr>
            <w:tcW w:w="440" w:type="dxa"/>
            <w:vAlign w:val="bottom"/>
            <w:shd w:val="clear" w:color="auto" w:fill="EAF9E8"/>
          </w:tcPr>
          <w:p>
            <w:pPr>
              <w:spacing w:after="0"/>
              <w:rPr>
                <w:sz w:val="18"/>
                <w:szCs w:val="18"/>
                <w:color w:val="auto"/>
              </w:rPr>
            </w:pPr>
          </w:p>
        </w:tc>
        <w:tc>
          <w:tcPr>
            <w:tcW w:w="150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440" w:type="dxa"/>
            <w:vAlign w:val="bottom"/>
            <w:shd w:val="clear" w:color="auto" w:fill="EAF9E8"/>
          </w:tcPr>
          <w:p>
            <w:pPr>
              <w:spacing w:after="0"/>
              <w:rPr>
                <w:sz w:val="18"/>
                <w:szCs w:val="18"/>
                <w:color w:val="auto"/>
              </w:rPr>
            </w:pPr>
          </w:p>
        </w:tc>
        <w:tc>
          <w:tcPr>
            <w:tcW w:w="150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gridSpan w:val="2"/>
          </w:tcPr>
          <w:p>
            <w:pPr>
              <w:ind w:left="320"/>
              <w:spacing w:after="0"/>
              <w:rPr>
                <w:sz w:val="20"/>
                <w:szCs w:val="20"/>
                <w:color w:val="auto"/>
              </w:rPr>
            </w:pPr>
            <w:r>
              <w:rPr>
                <w:rFonts w:ascii="Arial" w:cs="Arial" w:eastAsia="Arial" w:hAnsi="Arial"/>
                <w:sz w:val="18"/>
                <w:szCs w:val="18"/>
                <w:color w:val="auto"/>
              </w:rPr>
              <w:t>Loans held for resale</w:t>
            </w: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1,433</w:t>
            </w: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2,139</w:t>
            </w:r>
          </w:p>
        </w:tc>
        <w:tc>
          <w:tcPr>
            <w:tcW w:w="0" w:type="dxa"/>
            <w:vAlign w:val="bottom"/>
          </w:tcPr>
          <w:p>
            <w:pPr>
              <w:spacing w:after="0"/>
              <w:rPr>
                <w:sz w:val="1"/>
                <w:szCs w:val="1"/>
                <w:color w:val="auto"/>
              </w:rPr>
            </w:pPr>
          </w:p>
        </w:tc>
      </w:tr>
      <w:tr>
        <w:trPr>
          <w:trHeight w:val="216"/>
        </w:trPr>
        <w:tc>
          <w:tcPr>
            <w:tcW w:w="6680" w:type="dxa"/>
            <w:vAlign w:val="bottom"/>
            <w:gridSpan w:val="2"/>
            <w:shd w:val="clear" w:color="auto" w:fill="EAF9E8"/>
          </w:tcPr>
          <w:p>
            <w:pPr>
              <w:ind w:left="320"/>
              <w:spacing w:after="0"/>
              <w:rPr>
                <w:sz w:val="20"/>
                <w:szCs w:val="20"/>
                <w:color w:val="auto"/>
              </w:rPr>
            </w:pPr>
            <w:r>
              <w:rPr>
                <w:rFonts w:ascii="Arial" w:cs="Arial" w:eastAsia="Arial" w:hAnsi="Arial"/>
                <w:sz w:val="18"/>
                <w:szCs w:val="18"/>
                <w:color w:val="auto"/>
              </w:rPr>
              <w:t>Subordinate and residual trading securities</w:t>
            </w:r>
          </w:p>
        </w:tc>
        <w:tc>
          <w:tcPr>
            <w:tcW w:w="420" w:type="dxa"/>
            <w:vAlign w:val="bottom"/>
            <w:shd w:val="clear" w:color="auto" w:fill="EAF9E8"/>
          </w:tcPr>
          <w:p>
            <w:pPr>
              <w:spacing w:after="0"/>
              <w:rPr>
                <w:sz w:val="18"/>
                <w:szCs w:val="18"/>
                <w:color w:val="auto"/>
              </w:rPr>
            </w:pPr>
          </w:p>
        </w:tc>
        <w:tc>
          <w:tcPr>
            <w:tcW w:w="440" w:type="dxa"/>
            <w:vAlign w:val="bottom"/>
            <w:shd w:val="clear" w:color="auto" w:fill="EAF9E8"/>
          </w:tcPr>
          <w:p>
            <w:pPr>
              <w:spacing w:after="0"/>
              <w:rPr>
                <w:sz w:val="18"/>
                <w:szCs w:val="18"/>
                <w:color w:val="auto"/>
              </w:rPr>
            </w:pPr>
          </w:p>
        </w:tc>
        <w:tc>
          <w:tcPr>
            <w:tcW w:w="15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450</w:t>
            </w:r>
          </w:p>
        </w:tc>
        <w:tc>
          <w:tcPr>
            <w:tcW w:w="340" w:type="dxa"/>
            <w:vAlign w:val="bottom"/>
            <w:shd w:val="clear" w:color="auto" w:fill="EAF9E8"/>
          </w:tcPr>
          <w:p>
            <w:pPr>
              <w:spacing w:after="0"/>
              <w:rPr>
                <w:sz w:val="18"/>
                <w:szCs w:val="18"/>
                <w:color w:val="auto"/>
              </w:rPr>
            </w:pPr>
          </w:p>
        </w:tc>
        <w:tc>
          <w:tcPr>
            <w:tcW w:w="440" w:type="dxa"/>
            <w:vAlign w:val="bottom"/>
            <w:shd w:val="clear" w:color="auto" w:fill="EAF9E8"/>
          </w:tcPr>
          <w:p>
            <w:pPr>
              <w:spacing w:after="0"/>
              <w:rPr>
                <w:sz w:val="18"/>
                <w:szCs w:val="18"/>
                <w:color w:val="auto"/>
              </w:rPr>
            </w:pPr>
          </w:p>
        </w:tc>
        <w:tc>
          <w:tcPr>
            <w:tcW w:w="160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1,517</w:t>
            </w:r>
          </w:p>
        </w:tc>
        <w:tc>
          <w:tcPr>
            <w:tcW w:w="0" w:type="dxa"/>
            <w:vAlign w:val="bottom"/>
          </w:tcPr>
          <w:p>
            <w:pPr>
              <w:spacing w:after="0"/>
              <w:rPr>
                <w:sz w:val="1"/>
                <w:szCs w:val="1"/>
                <w:color w:val="auto"/>
              </w:rPr>
            </w:pPr>
          </w:p>
        </w:tc>
      </w:tr>
      <w:tr>
        <w:trPr>
          <w:trHeight w:val="243"/>
        </w:trPr>
        <w:tc>
          <w:tcPr>
            <w:tcW w:w="62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600" w:type="dxa"/>
            <w:vAlign w:val="bottom"/>
            <w:gridSpan w:val="2"/>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6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1,883</w:t>
            </w:r>
          </w:p>
        </w:tc>
        <w:tc>
          <w:tcPr>
            <w:tcW w:w="34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3,656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gridSpan w:val="2"/>
            <w:shd w:val="clear" w:color="auto" w:fill="EAF9E8"/>
          </w:tcPr>
          <w:p>
            <w:pPr>
              <w:ind w:left="160"/>
              <w:spacing w:after="0"/>
              <w:rPr>
                <w:sz w:val="20"/>
                <w:szCs w:val="20"/>
                <w:color w:val="auto"/>
              </w:rPr>
            </w:pPr>
            <w:r>
              <w:rPr>
                <w:rFonts w:ascii="Arial" w:cs="Arial" w:eastAsia="Arial" w:hAnsi="Arial"/>
                <w:sz w:val="18"/>
                <w:szCs w:val="18"/>
                <w:color w:val="auto"/>
              </w:rPr>
              <w:t>Interest expense</w:t>
            </w:r>
          </w:p>
        </w:tc>
        <w:tc>
          <w:tcPr>
            <w:tcW w:w="420" w:type="dxa"/>
            <w:vAlign w:val="bottom"/>
            <w:shd w:val="clear" w:color="auto" w:fill="EAF9E8"/>
          </w:tcPr>
          <w:p>
            <w:pPr>
              <w:spacing w:after="0"/>
              <w:rPr>
                <w:sz w:val="18"/>
                <w:szCs w:val="18"/>
                <w:color w:val="auto"/>
              </w:rPr>
            </w:pPr>
          </w:p>
        </w:tc>
        <w:tc>
          <w:tcPr>
            <w:tcW w:w="440" w:type="dxa"/>
            <w:vAlign w:val="bottom"/>
            <w:shd w:val="clear" w:color="auto" w:fill="EAF9E8"/>
          </w:tcPr>
          <w:p>
            <w:pPr>
              <w:spacing w:after="0"/>
              <w:rPr>
                <w:sz w:val="18"/>
                <w:szCs w:val="18"/>
                <w:color w:val="auto"/>
              </w:rPr>
            </w:pPr>
          </w:p>
        </w:tc>
        <w:tc>
          <w:tcPr>
            <w:tcW w:w="184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rPr>
              <w:t>(629)</w:t>
            </w:r>
          </w:p>
        </w:tc>
        <w:tc>
          <w:tcPr>
            <w:tcW w:w="440" w:type="dxa"/>
            <w:vAlign w:val="bottom"/>
            <w:shd w:val="clear" w:color="auto" w:fill="EAF9E8"/>
          </w:tcPr>
          <w:p>
            <w:pPr>
              <w:spacing w:after="0"/>
              <w:rPr>
                <w:sz w:val="18"/>
                <w:szCs w:val="18"/>
                <w:color w:val="auto"/>
              </w:rPr>
            </w:pPr>
          </w:p>
        </w:tc>
        <w:tc>
          <w:tcPr>
            <w:tcW w:w="160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(856)</w:t>
            </w:r>
          </w:p>
        </w:tc>
        <w:tc>
          <w:tcPr>
            <w:tcW w:w="0" w:type="dxa"/>
            <w:vAlign w:val="bottom"/>
          </w:tcPr>
          <w:p>
            <w:pPr>
              <w:spacing w:after="0"/>
              <w:rPr>
                <w:sz w:val="1"/>
                <w:szCs w:val="1"/>
                <w:color w:val="auto"/>
              </w:rPr>
            </w:pPr>
          </w:p>
        </w:tc>
      </w:tr>
      <w:tr>
        <w:trPr>
          <w:trHeight w:val="216"/>
        </w:trPr>
        <w:tc>
          <w:tcPr>
            <w:tcW w:w="6680" w:type="dxa"/>
            <w:vAlign w:val="bottom"/>
            <w:gridSpan w:val="2"/>
          </w:tcPr>
          <w:p>
            <w:pPr>
              <w:ind w:left="160"/>
              <w:spacing w:after="0"/>
              <w:rPr>
                <w:sz w:val="20"/>
                <w:szCs w:val="20"/>
                <w:color w:val="auto"/>
              </w:rPr>
            </w:pPr>
            <w:r>
              <w:rPr>
                <w:rFonts w:ascii="Arial" w:cs="Arial" w:eastAsia="Arial" w:hAnsi="Arial"/>
                <w:sz w:val="18"/>
                <w:szCs w:val="18"/>
                <w:color w:val="auto"/>
              </w:rPr>
              <w:t>Unrealized losses on subordinate and residual trading securities</w:t>
            </w: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40" w:type="dxa"/>
            <w:vAlign w:val="bottom"/>
            <w:gridSpan w:val="2"/>
          </w:tcPr>
          <w:p>
            <w:pPr>
              <w:jc w:val="right"/>
              <w:ind w:right="280"/>
              <w:spacing w:after="0"/>
              <w:rPr>
                <w:sz w:val="20"/>
                <w:szCs w:val="20"/>
                <w:color w:val="auto"/>
              </w:rPr>
            </w:pPr>
            <w:r>
              <w:rPr>
                <w:rFonts w:ascii="Arial" w:cs="Arial" w:eastAsia="Arial" w:hAnsi="Arial"/>
                <w:sz w:val="18"/>
                <w:szCs w:val="18"/>
                <w:color w:val="auto"/>
              </w:rPr>
              <w:t>(282)</w:t>
            </w:r>
          </w:p>
        </w:tc>
        <w:tc>
          <w:tcPr>
            <w:tcW w:w="440" w:type="dxa"/>
            <w:vAlign w:val="bottom"/>
          </w:tcPr>
          <w:p>
            <w:pPr>
              <w:spacing w:after="0"/>
              <w:rPr>
                <w:sz w:val="18"/>
                <w:szCs w:val="18"/>
                <w:color w:val="auto"/>
              </w:rPr>
            </w:pPr>
          </w:p>
        </w:tc>
        <w:tc>
          <w:tcPr>
            <w:tcW w:w="1600" w:type="dxa"/>
            <w:vAlign w:val="bottom"/>
            <w:gridSpan w:val="2"/>
          </w:tcPr>
          <w:p>
            <w:pPr>
              <w:jc w:val="right"/>
              <w:ind w:right="40"/>
              <w:spacing w:after="0"/>
              <w:rPr>
                <w:sz w:val="20"/>
                <w:szCs w:val="20"/>
                <w:color w:val="auto"/>
              </w:rPr>
            </w:pPr>
            <w:r>
              <w:rPr>
                <w:rFonts w:ascii="Arial" w:cs="Arial" w:eastAsia="Arial" w:hAnsi="Arial"/>
                <w:sz w:val="18"/>
                <w:szCs w:val="18"/>
                <w:color w:val="auto"/>
              </w:rPr>
              <w:t>(1,032)</w:t>
            </w:r>
          </w:p>
        </w:tc>
        <w:tc>
          <w:tcPr>
            <w:tcW w:w="0" w:type="dxa"/>
            <w:vAlign w:val="bottom"/>
          </w:tcPr>
          <w:p>
            <w:pPr>
              <w:spacing w:after="0"/>
              <w:rPr>
                <w:sz w:val="1"/>
                <w:szCs w:val="1"/>
                <w:color w:val="auto"/>
              </w:rPr>
            </w:pPr>
          </w:p>
        </w:tc>
      </w:tr>
      <w:tr>
        <w:trPr>
          <w:trHeight w:val="216"/>
        </w:trPr>
        <w:tc>
          <w:tcPr>
            <w:tcW w:w="6680" w:type="dxa"/>
            <w:vAlign w:val="bottom"/>
            <w:gridSpan w:val="2"/>
            <w:shd w:val="clear" w:color="auto" w:fill="EAF9E8"/>
          </w:tcPr>
          <w:p>
            <w:pPr>
              <w:ind w:left="160"/>
              <w:spacing w:after="0"/>
              <w:rPr>
                <w:sz w:val="20"/>
                <w:szCs w:val="20"/>
                <w:color w:val="auto"/>
              </w:rPr>
            </w:pPr>
            <w:r>
              <w:rPr>
                <w:rFonts w:ascii="Arial" w:cs="Arial" w:eastAsia="Arial" w:hAnsi="Arial"/>
                <w:sz w:val="18"/>
                <w:szCs w:val="18"/>
                <w:color w:val="auto"/>
              </w:rPr>
              <w:t>Loss on loans held for resale, net</w:t>
            </w:r>
          </w:p>
        </w:tc>
        <w:tc>
          <w:tcPr>
            <w:tcW w:w="420" w:type="dxa"/>
            <w:vAlign w:val="bottom"/>
            <w:shd w:val="clear" w:color="auto" w:fill="EAF9E8"/>
          </w:tcPr>
          <w:p>
            <w:pPr>
              <w:spacing w:after="0"/>
              <w:rPr>
                <w:sz w:val="18"/>
                <w:szCs w:val="18"/>
                <w:color w:val="auto"/>
              </w:rPr>
            </w:pPr>
          </w:p>
        </w:tc>
        <w:tc>
          <w:tcPr>
            <w:tcW w:w="440" w:type="dxa"/>
            <w:vAlign w:val="bottom"/>
            <w:shd w:val="clear" w:color="auto" w:fill="EAF9E8"/>
          </w:tcPr>
          <w:p>
            <w:pPr>
              <w:spacing w:after="0"/>
              <w:rPr>
                <w:sz w:val="18"/>
                <w:szCs w:val="18"/>
                <w:color w:val="auto"/>
              </w:rPr>
            </w:pPr>
          </w:p>
        </w:tc>
        <w:tc>
          <w:tcPr>
            <w:tcW w:w="184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rPr>
              <w:t>(4,554)</w:t>
            </w:r>
          </w:p>
        </w:tc>
        <w:tc>
          <w:tcPr>
            <w:tcW w:w="440" w:type="dxa"/>
            <w:vAlign w:val="bottom"/>
            <w:shd w:val="clear" w:color="auto" w:fill="EAF9E8"/>
          </w:tcPr>
          <w:p>
            <w:pPr>
              <w:spacing w:after="0"/>
              <w:rPr>
                <w:sz w:val="18"/>
                <w:szCs w:val="18"/>
                <w:color w:val="auto"/>
              </w:rPr>
            </w:pPr>
          </w:p>
        </w:tc>
        <w:tc>
          <w:tcPr>
            <w:tcW w:w="160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(4,509)</w:t>
            </w:r>
          </w:p>
        </w:tc>
        <w:tc>
          <w:tcPr>
            <w:tcW w:w="0" w:type="dxa"/>
            <w:vAlign w:val="bottom"/>
          </w:tcPr>
          <w:p>
            <w:pPr>
              <w:spacing w:after="0"/>
              <w:rPr>
                <w:sz w:val="1"/>
                <w:szCs w:val="1"/>
                <w:color w:val="auto"/>
              </w:rPr>
            </w:pPr>
          </w:p>
        </w:tc>
      </w:tr>
      <w:tr>
        <w:trPr>
          <w:trHeight w:val="222"/>
        </w:trPr>
        <w:tc>
          <w:tcPr>
            <w:tcW w:w="6680" w:type="dxa"/>
            <w:vAlign w:val="bottom"/>
            <w:gridSpan w:val="2"/>
          </w:tcPr>
          <w:p>
            <w:pPr>
              <w:ind w:left="160"/>
              <w:spacing w:after="0"/>
              <w:rPr>
                <w:sz w:val="20"/>
                <w:szCs w:val="20"/>
                <w:color w:val="auto"/>
              </w:rPr>
            </w:pPr>
            <w:r>
              <w:rPr>
                <w:rFonts w:ascii="Arial" w:cs="Arial" w:eastAsia="Arial" w:hAnsi="Arial"/>
                <w:sz w:val="18"/>
                <w:szCs w:val="18"/>
                <w:color w:val="auto"/>
              </w:rPr>
              <w:t>Other, net</w:t>
            </w:r>
          </w:p>
        </w:tc>
        <w:tc>
          <w:tcPr>
            <w:tcW w:w="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5</w:t>
            </w:r>
          </w:p>
        </w:tc>
        <w:tc>
          <w:tcPr>
            <w:tcW w:w="3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6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40" w:type="dxa"/>
            <w:vAlign w:val="bottom"/>
            <w:gridSpan w:val="2"/>
          </w:tcPr>
          <w:p>
            <w:pPr>
              <w:spacing w:after="0"/>
              <w:rPr>
                <w:sz w:val="20"/>
                <w:szCs w:val="20"/>
                <w:color w:val="auto"/>
              </w:rPr>
            </w:pPr>
          </w:p>
        </w:tc>
        <w:tc>
          <w:tcPr>
            <w:tcW w:w="440" w:type="dxa"/>
            <w:vAlign w:val="bottom"/>
          </w:tcPr>
          <w:p>
            <w:pPr>
              <w:spacing w:after="0"/>
              <w:rPr>
                <w:sz w:val="20"/>
                <w:szCs w:val="20"/>
                <w:color w:val="auto"/>
              </w:rPr>
            </w:pPr>
          </w:p>
        </w:tc>
        <w:tc>
          <w:tcPr>
            <w:tcW w:w="160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680" w:type="dxa"/>
            <w:vAlign w:val="bottom"/>
            <w:gridSpan w:val="2"/>
            <w:shd w:val="clear" w:color="auto" w:fill="EAF9E8"/>
          </w:tcPr>
          <w:p>
            <w:pPr>
              <w:ind w:left="320"/>
              <w:spacing w:after="0"/>
              <w:rPr>
                <w:sz w:val="20"/>
                <w:szCs w:val="20"/>
                <w:color w:val="auto"/>
              </w:rPr>
            </w:pPr>
            <w:r>
              <w:rPr>
                <w:rFonts w:ascii="Arial" w:cs="Arial" w:eastAsia="Arial" w:hAnsi="Arial"/>
                <w:sz w:val="18"/>
                <w:szCs w:val="18"/>
                <w:color w:val="auto"/>
              </w:rPr>
              <w:t>Total other expense, net</w:t>
            </w:r>
          </w:p>
        </w:tc>
        <w:tc>
          <w:tcPr>
            <w:tcW w:w="420" w:type="dxa"/>
            <w:vAlign w:val="bottom"/>
            <w:shd w:val="clear" w:color="auto" w:fill="EAF9E8"/>
          </w:tcPr>
          <w:p>
            <w:pPr>
              <w:spacing w:after="0"/>
              <w:rPr>
                <w:sz w:val="18"/>
                <w:szCs w:val="18"/>
                <w:color w:val="auto"/>
              </w:rPr>
            </w:pPr>
          </w:p>
        </w:tc>
        <w:tc>
          <w:tcPr>
            <w:tcW w:w="440" w:type="dxa"/>
            <w:vAlign w:val="bottom"/>
            <w:tcBorders>
              <w:top w:val="single" w:sz="8" w:color="auto"/>
            </w:tcBorders>
            <w:shd w:val="clear" w:color="auto" w:fill="EAF9E8"/>
          </w:tcPr>
          <w:p>
            <w:pPr>
              <w:spacing w:after="0"/>
              <w:rPr>
                <w:sz w:val="18"/>
                <w:szCs w:val="18"/>
                <w:color w:val="auto"/>
              </w:rPr>
            </w:pPr>
          </w:p>
        </w:tc>
        <w:tc>
          <w:tcPr>
            <w:tcW w:w="150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(3,577)</w:t>
            </w:r>
          </w:p>
        </w:tc>
        <w:tc>
          <w:tcPr>
            <w:tcW w:w="340" w:type="dxa"/>
            <w:vAlign w:val="bottom"/>
            <w:shd w:val="clear" w:color="auto" w:fill="EAF9E8"/>
          </w:tcPr>
          <w:p>
            <w:pPr>
              <w:spacing w:after="0"/>
              <w:rPr>
                <w:sz w:val="18"/>
                <w:szCs w:val="18"/>
                <w:color w:val="auto"/>
              </w:rPr>
            </w:pPr>
          </w:p>
        </w:tc>
        <w:tc>
          <w:tcPr>
            <w:tcW w:w="440" w:type="dxa"/>
            <w:vAlign w:val="bottom"/>
            <w:tcBorders>
              <w:top w:val="single" w:sz="8" w:color="auto"/>
            </w:tcBorders>
            <w:shd w:val="clear" w:color="auto" w:fill="EAF9E8"/>
          </w:tcPr>
          <w:p>
            <w:pPr>
              <w:spacing w:after="0"/>
              <w:rPr>
                <w:sz w:val="18"/>
                <w:szCs w:val="18"/>
                <w:color w:val="auto"/>
              </w:rPr>
            </w:pPr>
          </w:p>
        </w:tc>
        <w:tc>
          <w:tcPr>
            <w:tcW w:w="150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(2,741)</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6680" w:type="dxa"/>
            <w:vAlign w:val="bottom"/>
            <w:gridSpan w:val="2"/>
            <w:vMerge w:val="restart"/>
          </w:tcPr>
          <w:p>
            <w:pPr>
              <w:spacing w:after="0"/>
              <w:rPr>
                <w:sz w:val="20"/>
                <w:szCs w:val="20"/>
                <w:color w:val="auto"/>
              </w:rPr>
            </w:pPr>
            <w:r>
              <w:rPr>
                <w:rFonts w:ascii="Arial" w:cs="Arial" w:eastAsia="Arial" w:hAnsi="Arial"/>
                <w:sz w:val="18"/>
                <w:szCs w:val="18"/>
                <w:color w:val="auto"/>
              </w:rPr>
              <w:t>Loss before income taxes</w:t>
            </w:r>
          </w:p>
        </w:tc>
        <w:tc>
          <w:tcPr>
            <w:tcW w:w="860" w:type="dxa"/>
            <w:vAlign w:val="bottom"/>
            <w:gridSpan w:val="2"/>
          </w:tcPr>
          <w:p>
            <w:pPr>
              <w:spacing w:after="0"/>
              <w:rPr>
                <w:sz w:val="21"/>
                <w:szCs w:val="21"/>
                <w:color w:val="auto"/>
              </w:rPr>
            </w:pPr>
          </w:p>
        </w:tc>
        <w:tc>
          <w:tcPr>
            <w:tcW w:w="1840" w:type="dxa"/>
            <w:vAlign w:val="bottom"/>
            <w:gridSpan w:val="2"/>
          </w:tcPr>
          <w:p>
            <w:pPr>
              <w:spacing w:after="0"/>
              <w:rPr>
                <w:sz w:val="21"/>
                <w:szCs w:val="21"/>
                <w:color w:val="auto"/>
              </w:rPr>
            </w:pPr>
          </w:p>
        </w:tc>
        <w:tc>
          <w:tcPr>
            <w:tcW w:w="440" w:type="dxa"/>
            <w:vAlign w:val="bottom"/>
          </w:tcPr>
          <w:p>
            <w:pPr>
              <w:spacing w:after="0"/>
              <w:rPr>
                <w:sz w:val="21"/>
                <w:szCs w:val="21"/>
                <w:color w:val="auto"/>
              </w:rPr>
            </w:pPr>
          </w:p>
        </w:tc>
        <w:tc>
          <w:tcPr>
            <w:tcW w:w="1600" w:type="dxa"/>
            <w:vAlign w:val="bottom"/>
            <w:gridSpan w:val="2"/>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6680" w:type="dxa"/>
            <w:vAlign w:val="bottom"/>
            <w:gridSpan w:val="2"/>
            <w:vMerge w:val="continue"/>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Borders>
              <w:top w:val="single" w:sz="8" w:color="auto"/>
            </w:tcBorders>
          </w:tcPr>
          <w:p>
            <w:pPr>
              <w:jc w:val="right"/>
              <w:ind w:right="283"/>
              <w:spacing w:after="0"/>
              <w:rPr>
                <w:sz w:val="20"/>
                <w:szCs w:val="20"/>
                <w:color w:val="auto"/>
              </w:rPr>
            </w:pPr>
            <w:r>
              <w:rPr>
                <w:rFonts w:ascii="Arial" w:cs="Arial" w:eastAsia="Arial" w:hAnsi="Arial"/>
                <w:sz w:val="15"/>
                <w:szCs w:val="15"/>
                <w:color w:val="auto"/>
                <w:w w:val="71"/>
              </w:rPr>
              <w:t>$</w:t>
            </w: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(4,138)</w:t>
            </w:r>
          </w:p>
        </w:tc>
        <w:tc>
          <w:tcPr>
            <w:tcW w:w="340" w:type="dxa"/>
            <w:vAlign w:val="bottom"/>
          </w:tcPr>
          <w:p>
            <w:pPr>
              <w:spacing w:after="0"/>
              <w:rPr>
                <w:sz w:val="18"/>
                <w:szCs w:val="18"/>
                <w:color w:val="auto"/>
              </w:rPr>
            </w:pPr>
          </w:p>
        </w:tc>
        <w:tc>
          <w:tcPr>
            <w:tcW w:w="440" w:type="dxa"/>
            <w:vAlign w:val="bottom"/>
            <w:tcBorders>
              <w:top w:val="single" w:sz="8" w:color="auto"/>
            </w:tcBorders>
          </w:tcPr>
          <w:p>
            <w:pPr>
              <w:jc w:val="right"/>
              <w:ind w:right="283"/>
              <w:spacing w:after="0"/>
              <w:rPr>
                <w:sz w:val="20"/>
                <w:szCs w:val="20"/>
                <w:color w:val="auto"/>
              </w:rPr>
            </w:pPr>
            <w:r>
              <w:rPr>
                <w:rFonts w:ascii="Arial" w:cs="Arial" w:eastAsia="Arial" w:hAnsi="Arial"/>
                <w:sz w:val="15"/>
                <w:szCs w:val="15"/>
                <w:color w:val="auto"/>
                <w:w w:val="71"/>
              </w:rPr>
              <w:t>$</w:t>
            </w: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(3,658)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4507230</wp:posOffset>
            </wp:positionH>
            <wp:positionV relativeFrom="paragraph">
              <wp:posOffset>150495</wp:posOffset>
            </wp:positionV>
            <wp:extent cx="2675890"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675890" cy="26035"/>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jc w:val="both"/>
        <w:ind w:firstLine="473"/>
        <w:spacing w:after="0" w:line="259" w:lineRule="auto"/>
        <w:rPr>
          <w:sz w:val="20"/>
          <w:szCs w:val="20"/>
          <w:color w:val="auto"/>
        </w:rPr>
      </w:pPr>
      <w:r>
        <w:rPr>
          <w:rFonts w:ascii="Arial" w:cs="Arial" w:eastAsia="Arial" w:hAnsi="Arial"/>
          <w:sz w:val="18"/>
          <w:szCs w:val="18"/>
          <w:i w:val="1"/>
          <w:iCs w:val="1"/>
          <w:color w:val="auto"/>
        </w:rPr>
        <w:t xml:space="preserve">Interest Income. </w:t>
      </w:r>
      <w:r>
        <w:rPr>
          <w:rFonts w:ascii="Arial" w:cs="Arial" w:eastAsia="Arial" w:hAnsi="Arial"/>
          <w:sz w:val="18"/>
          <w:szCs w:val="18"/>
          <w:color w:val="auto"/>
        </w:rPr>
        <w:t>Interest income on subordinate and residual trading securities declined by $1,067 or 70% in the first quarter of 2009. Cash flows from the</w:t>
      </w:r>
      <w:r>
        <w:rPr>
          <w:rFonts w:ascii="Arial" w:cs="Arial" w:eastAsia="Arial" w:hAnsi="Arial"/>
          <w:sz w:val="18"/>
          <w:szCs w:val="18"/>
          <w:i w:val="1"/>
          <w:iCs w:val="1"/>
          <w:color w:val="auto"/>
        </w:rPr>
        <w:t xml:space="preserve"> </w:t>
      </w:r>
      <w:r>
        <w:rPr>
          <w:rFonts w:ascii="Arial" w:cs="Arial" w:eastAsia="Arial" w:hAnsi="Arial"/>
          <w:sz w:val="18"/>
          <w:szCs w:val="18"/>
          <w:color w:val="auto"/>
        </w:rPr>
        <w:t>remaining subordinate and residual securities have declined in 2009 because of an increase in defaults and unrecoverable losses on the underlying mortgage loans.</w:t>
      </w:r>
    </w:p>
    <w:p>
      <w:pPr>
        <w:spacing w:after="0" w:line="194" w:lineRule="exact"/>
        <w:rPr>
          <w:sz w:val="20"/>
          <w:szCs w:val="20"/>
          <w:color w:val="auto"/>
        </w:rPr>
      </w:pPr>
    </w:p>
    <w:p>
      <w:pPr>
        <w:jc w:val="both"/>
        <w:ind w:firstLine="532"/>
        <w:spacing w:after="0" w:line="255" w:lineRule="auto"/>
        <w:rPr>
          <w:sz w:val="20"/>
          <w:szCs w:val="20"/>
          <w:color w:val="auto"/>
        </w:rPr>
      </w:pPr>
      <w:r>
        <w:rPr>
          <w:rFonts w:ascii="Arial" w:cs="Arial" w:eastAsia="Arial" w:hAnsi="Arial"/>
          <w:sz w:val="18"/>
          <w:szCs w:val="18"/>
          <w:i w:val="1"/>
          <w:iCs w:val="1"/>
          <w:color w:val="auto"/>
        </w:rPr>
        <w:t xml:space="preserve">Loss on Loans Held for Resale, Net. </w:t>
      </w:r>
      <w:r>
        <w:rPr>
          <w:rFonts w:ascii="Arial" w:cs="Arial" w:eastAsia="Arial" w:hAnsi="Arial"/>
          <w:sz w:val="18"/>
          <w:szCs w:val="18"/>
          <w:color w:val="auto"/>
        </w:rPr>
        <w:t>Loss on loans held for resale, net for the three months ended March 31 2009 and 2008 include combined valuation</w:t>
      </w:r>
      <w:r>
        <w:rPr>
          <w:rFonts w:ascii="Arial" w:cs="Arial" w:eastAsia="Arial" w:hAnsi="Arial"/>
          <w:sz w:val="18"/>
          <w:szCs w:val="18"/>
          <w:i w:val="1"/>
          <w:iCs w:val="1"/>
          <w:color w:val="auto"/>
        </w:rPr>
        <w:t xml:space="preserve"> </w:t>
      </w:r>
      <w:r>
        <w:rPr>
          <w:rFonts w:ascii="Arial" w:cs="Arial" w:eastAsia="Arial" w:hAnsi="Arial"/>
          <w:sz w:val="18"/>
          <w:szCs w:val="18"/>
          <w:color w:val="auto"/>
        </w:rPr>
        <w:t>adjustments, charge-offs and losses on real estate owned of $4,554 and $4,629, respectively. Valuation losses represent charges that we recorded to reduce loans held for resale to their fair values which have declined due to the deteriorating conditions in the subprime mortgage market. In addition to these valuation adjustments, we have recorded charge-offs on resolved loans. The UPB of nonperforming loans as a percentage of total UPB has increased from 48% at December 31, 2008 to 52% at March 31, 2009.</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 Management Vehicles</w:t>
      </w:r>
    </w:p>
    <w:p>
      <w:pPr>
        <w:spacing w:after="0" w:line="231" w:lineRule="exact"/>
        <w:rPr>
          <w:sz w:val="20"/>
          <w:szCs w:val="20"/>
          <w:color w:val="auto"/>
        </w:rPr>
      </w:pPr>
    </w:p>
    <w:p>
      <w:pPr>
        <w:ind w:left="620"/>
        <w:spacing w:after="0"/>
        <w:rPr>
          <w:sz w:val="20"/>
          <w:szCs w:val="20"/>
          <w:color w:val="auto"/>
        </w:rPr>
      </w:pPr>
      <w:r>
        <w:rPr>
          <w:rFonts w:ascii="Arial" w:cs="Arial" w:eastAsia="Arial" w:hAnsi="Arial"/>
          <w:sz w:val="16"/>
          <w:szCs w:val="16"/>
          <w:color w:val="auto"/>
        </w:rPr>
        <w:t>The losses before income taxes for the first quarter of 2009 and 2008 primarily reflect our share of the net losses incurred by OSI and by ONL and</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9240" w:type="dxa"/>
            <w:vAlign w:val="bottom"/>
            <w:gridSpan w:val="7"/>
          </w:tcPr>
          <w:p>
            <w:pPr>
              <w:spacing w:after="0"/>
              <w:rPr>
                <w:sz w:val="20"/>
                <w:szCs w:val="20"/>
                <w:color w:val="auto"/>
              </w:rPr>
            </w:pPr>
            <w:r>
              <w:rPr>
                <w:rFonts w:ascii="Arial" w:cs="Arial" w:eastAsia="Arial" w:hAnsi="Arial"/>
                <w:sz w:val="18"/>
                <w:szCs w:val="18"/>
                <w:color w:val="auto"/>
                <w:w w:val="94"/>
              </w:rPr>
              <w:t>affiliates. These losses largely resulted from charges to reduce loans, real estate and residual securities to their fair values.</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7"/>
        </w:trPr>
        <w:tc>
          <w:tcPr>
            <w:tcW w:w="6680" w:type="dxa"/>
            <w:vAlign w:val="bottom"/>
            <w:gridSpan w:val="3"/>
          </w:tcPr>
          <w:p>
            <w:pPr>
              <w:spacing w:after="0"/>
              <w:rPr>
                <w:sz w:val="20"/>
                <w:szCs w:val="20"/>
                <w:color w:val="auto"/>
              </w:rPr>
            </w:pPr>
            <w:r>
              <w:rPr>
                <w:rFonts w:ascii="Arial" w:cs="Arial" w:eastAsia="Arial" w:hAnsi="Arial"/>
                <w:sz w:val="18"/>
                <w:szCs w:val="18"/>
                <w:color w:val="auto"/>
              </w:rPr>
              <w:t>Comparative selected balance sheet data:</w:t>
            </w: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4"/>
        </w:trPr>
        <w:tc>
          <w:tcPr>
            <w:tcW w:w="2900" w:type="dxa"/>
            <w:vAlign w:val="bottom"/>
            <w:tcBorders>
              <w:top w:val="single" w:sz="8" w:color="auto"/>
            </w:tcBorders>
          </w:tcPr>
          <w:p>
            <w:pPr>
              <w:spacing w:after="0"/>
              <w:rPr>
                <w:sz w:val="24"/>
                <w:szCs w:val="24"/>
                <w:color w:val="auto"/>
              </w:rPr>
            </w:pPr>
          </w:p>
        </w:tc>
        <w:tc>
          <w:tcPr>
            <w:tcW w:w="3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00" w:type="dxa"/>
            <w:vAlign w:val="bottom"/>
            <w:gridSpan w:val="2"/>
          </w:tcPr>
          <w:p>
            <w:pPr>
              <w:jc w:val="right"/>
              <w:ind w:right="620"/>
              <w:spacing w:after="0"/>
              <w:rPr>
                <w:sz w:val="20"/>
                <w:szCs w:val="20"/>
                <w:color w:val="auto"/>
              </w:rPr>
            </w:pPr>
            <w:r>
              <w:rPr>
                <w:rFonts w:ascii="Arial" w:cs="Arial" w:eastAsia="Arial" w:hAnsi="Arial"/>
                <w:sz w:val="18"/>
                <w:szCs w:val="18"/>
                <w:color w:val="auto"/>
              </w:rPr>
              <w:t>March 31, 2009</w:t>
            </w: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60" w:type="dxa"/>
            <w:vAlign w:val="bottom"/>
            <w:gridSpan w:val="2"/>
          </w:tcPr>
          <w:p>
            <w:pPr>
              <w:jc w:val="right"/>
              <w:ind w:right="380"/>
              <w:spacing w:after="0"/>
              <w:rPr>
                <w:sz w:val="20"/>
                <w:szCs w:val="20"/>
                <w:color w:val="auto"/>
              </w:rPr>
            </w:pPr>
            <w:r>
              <w:rPr>
                <w:rFonts w:ascii="Arial" w:cs="Arial" w:eastAsia="Arial" w:hAnsi="Arial"/>
                <w:sz w:val="18"/>
                <w:szCs w:val="18"/>
                <w:color w:val="auto"/>
                <w:w w:val="92"/>
              </w:rPr>
              <w:t>December 31, 2008</w:t>
            </w:r>
          </w:p>
        </w:tc>
        <w:tc>
          <w:tcPr>
            <w:tcW w:w="0" w:type="dxa"/>
            <w:vAlign w:val="bottom"/>
          </w:tcPr>
          <w:p>
            <w:pPr>
              <w:spacing w:after="0"/>
              <w:rPr>
                <w:sz w:val="1"/>
                <w:szCs w:val="1"/>
                <w:color w:val="auto"/>
              </w:rPr>
            </w:pPr>
          </w:p>
        </w:tc>
      </w:tr>
      <w:tr>
        <w:trPr>
          <w:trHeight w:val="245"/>
        </w:trPr>
        <w:tc>
          <w:tcPr>
            <w:tcW w:w="2900" w:type="dxa"/>
            <w:vAlign w:val="bottom"/>
          </w:tcPr>
          <w:p>
            <w:pPr>
              <w:spacing w:after="0"/>
              <w:rPr>
                <w:sz w:val="21"/>
                <w:szCs w:val="21"/>
                <w:color w:val="auto"/>
              </w:rPr>
            </w:pPr>
          </w:p>
        </w:tc>
        <w:tc>
          <w:tcPr>
            <w:tcW w:w="33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700" w:type="dxa"/>
            <w:vAlign w:val="bottom"/>
            <w:tcBorders>
              <w:bottom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7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6680" w:type="dxa"/>
            <w:vAlign w:val="bottom"/>
            <w:gridSpan w:val="3"/>
            <w:shd w:val="clear" w:color="auto" w:fill="EAF9E8"/>
          </w:tcPr>
          <w:p>
            <w:pPr>
              <w:spacing w:after="0"/>
              <w:rPr>
                <w:sz w:val="20"/>
                <w:szCs w:val="20"/>
                <w:color w:val="auto"/>
              </w:rPr>
            </w:pPr>
            <w:r>
              <w:rPr>
                <w:rFonts w:ascii="Arial" w:cs="Arial" w:eastAsia="Arial" w:hAnsi="Arial"/>
                <w:sz w:val="18"/>
                <w:szCs w:val="18"/>
                <w:color w:val="auto"/>
              </w:rPr>
              <w:t>Investment in unconsolidated entities</w:t>
            </w:r>
          </w:p>
        </w:tc>
        <w:tc>
          <w:tcPr>
            <w:tcW w:w="42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170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76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gridSpan w:val="3"/>
          </w:tcPr>
          <w:p>
            <w:pPr>
              <w:ind w:left="160"/>
              <w:spacing w:after="0"/>
              <w:rPr>
                <w:sz w:val="20"/>
                <w:szCs w:val="20"/>
                <w:color w:val="auto"/>
              </w:rPr>
            </w:pPr>
            <w:r>
              <w:rPr>
                <w:rFonts w:ascii="Arial" w:cs="Arial" w:eastAsia="Arial" w:hAnsi="Arial"/>
                <w:sz w:val="18"/>
                <w:szCs w:val="18"/>
                <w:color w:val="auto"/>
              </w:rPr>
              <w:t>OSI</w:t>
            </w:r>
          </w:p>
        </w:tc>
        <w:tc>
          <w:tcPr>
            <w:tcW w:w="660" w:type="dxa"/>
            <w:vAlign w:val="bottom"/>
            <w:gridSpan w:val="2"/>
          </w:tcPr>
          <w:p>
            <w:pPr>
              <w:jc w:val="right"/>
              <w:ind w:right="83"/>
              <w:spacing w:after="0"/>
              <w:rPr>
                <w:sz w:val="20"/>
                <w:szCs w:val="20"/>
                <w:color w:val="auto"/>
              </w:rPr>
            </w:pPr>
            <w:r>
              <w:rPr>
                <w:rFonts w:ascii="Arial" w:cs="Arial" w:eastAsia="Arial" w:hAnsi="Arial"/>
                <w:sz w:val="18"/>
                <w:szCs w:val="18"/>
                <w:color w:val="auto"/>
              </w:rPr>
              <w:t>$</w:t>
            </w:r>
          </w:p>
        </w:tc>
        <w:tc>
          <w:tcPr>
            <w:tcW w:w="1700" w:type="dxa"/>
            <w:vAlign w:val="bottom"/>
          </w:tcPr>
          <w:p>
            <w:pPr>
              <w:jc w:val="right"/>
              <w:spacing w:after="0"/>
              <w:rPr>
                <w:sz w:val="20"/>
                <w:szCs w:val="20"/>
                <w:color w:val="auto"/>
              </w:rPr>
            </w:pPr>
            <w:r>
              <w:rPr>
                <w:rFonts w:ascii="Arial" w:cs="Arial" w:eastAsia="Arial" w:hAnsi="Arial"/>
                <w:sz w:val="18"/>
                <w:szCs w:val="18"/>
                <w:color w:val="auto"/>
              </w:rPr>
              <w:t>12,933</w:t>
            </w:r>
          </w:p>
        </w:tc>
        <w:tc>
          <w:tcPr>
            <w:tcW w:w="200" w:type="dxa"/>
            <w:vAlign w:val="bottom"/>
          </w:tcPr>
          <w:p>
            <w:pPr>
              <w:spacing w:after="0"/>
              <w:rPr>
                <w:sz w:val="18"/>
                <w:szCs w:val="18"/>
                <w:color w:val="auto"/>
              </w:rPr>
            </w:pPr>
          </w:p>
        </w:tc>
        <w:tc>
          <w:tcPr>
            <w:tcW w:w="320" w:type="dxa"/>
            <w:vAlign w:val="bottom"/>
            <w:gridSpan w:val="2"/>
          </w:tcPr>
          <w:p>
            <w:pPr>
              <w:jc w:val="right"/>
              <w:ind w:right="23"/>
              <w:spacing w:after="0"/>
              <w:rPr>
                <w:sz w:val="20"/>
                <w:szCs w:val="20"/>
                <w:color w:val="auto"/>
              </w:rPr>
            </w:pPr>
            <w:r>
              <w:rPr>
                <w:rFonts w:ascii="Arial" w:cs="Arial" w:eastAsia="Arial" w:hAnsi="Arial"/>
                <w:sz w:val="18"/>
                <w:szCs w:val="18"/>
                <w:color w:val="auto"/>
              </w:rPr>
              <w:t>$</w:t>
            </w:r>
          </w:p>
        </w:tc>
        <w:tc>
          <w:tcPr>
            <w:tcW w:w="1860" w:type="dxa"/>
            <w:vAlign w:val="bottom"/>
            <w:gridSpan w:val="2"/>
          </w:tcPr>
          <w:p>
            <w:pPr>
              <w:jc w:val="right"/>
              <w:ind w:right="100"/>
              <w:spacing w:after="0"/>
              <w:rPr>
                <w:sz w:val="20"/>
                <w:szCs w:val="20"/>
                <w:color w:val="auto"/>
              </w:rPr>
            </w:pPr>
            <w:r>
              <w:rPr>
                <w:rFonts w:ascii="Arial" w:cs="Arial" w:eastAsia="Arial" w:hAnsi="Arial"/>
                <w:sz w:val="18"/>
                <w:szCs w:val="18"/>
                <w:color w:val="auto"/>
              </w:rPr>
              <w:t>15,410</w:t>
            </w:r>
          </w:p>
        </w:tc>
        <w:tc>
          <w:tcPr>
            <w:tcW w:w="0" w:type="dxa"/>
            <w:vAlign w:val="bottom"/>
          </w:tcPr>
          <w:p>
            <w:pPr>
              <w:spacing w:after="0"/>
              <w:rPr>
                <w:sz w:val="1"/>
                <w:szCs w:val="1"/>
                <w:color w:val="auto"/>
              </w:rPr>
            </w:pPr>
          </w:p>
        </w:tc>
      </w:tr>
      <w:tr>
        <w:trPr>
          <w:trHeight w:val="216"/>
        </w:trPr>
        <w:tc>
          <w:tcPr>
            <w:tcW w:w="6680" w:type="dxa"/>
            <w:vAlign w:val="bottom"/>
            <w:gridSpan w:val="3"/>
            <w:shd w:val="clear" w:color="auto" w:fill="EAF9E8"/>
          </w:tcPr>
          <w:p>
            <w:pPr>
              <w:ind w:left="160"/>
              <w:spacing w:after="0"/>
              <w:rPr>
                <w:sz w:val="20"/>
                <w:szCs w:val="20"/>
                <w:color w:val="auto"/>
              </w:rPr>
            </w:pPr>
            <w:r>
              <w:rPr>
                <w:rFonts w:ascii="Arial" w:cs="Arial" w:eastAsia="Arial" w:hAnsi="Arial"/>
                <w:sz w:val="18"/>
                <w:szCs w:val="18"/>
                <w:color w:val="auto"/>
              </w:rPr>
              <w:t>ONL and affiliates</w:t>
            </w:r>
          </w:p>
        </w:tc>
        <w:tc>
          <w:tcPr>
            <w:tcW w:w="42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17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9,103</w:t>
            </w:r>
          </w:p>
        </w:tc>
        <w:tc>
          <w:tcPr>
            <w:tcW w:w="2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86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10,174</w:t>
            </w:r>
          </w:p>
        </w:tc>
        <w:tc>
          <w:tcPr>
            <w:tcW w:w="0" w:type="dxa"/>
            <w:vAlign w:val="bottom"/>
          </w:tcPr>
          <w:p>
            <w:pPr>
              <w:spacing w:after="0"/>
              <w:rPr>
                <w:sz w:val="1"/>
                <w:szCs w:val="1"/>
                <w:color w:val="auto"/>
              </w:rPr>
            </w:pPr>
          </w:p>
        </w:tc>
      </w:tr>
      <w:tr>
        <w:trPr>
          <w:trHeight w:val="243"/>
        </w:trPr>
        <w:tc>
          <w:tcPr>
            <w:tcW w:w="2900" w:type="dxa"/>
            <w:vAlign w:val="bottom"/>
          </w:tcPr>
          <w:p>
            <w:pPr>
              <w:spacing w:after="0"/>
              <w:rPr>
                <w:sz w:val="21"/>
                <w:szCs w:val="21"/>
                <w:color w:val="auto"/>
              </w:rPr>
            </w:pPr>
          </w:p>
        </w:tc>
        <w:tc>
          <w:tcPr>
            <w:tcW w:w="33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60" w:type="dxa"/>
            <w:vAlign w:val="bottom"/>
            <w:gridSpan w:val="2"/>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90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22,036</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25,584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gridSpan w:val="3"/>
            <w:shd w:val="clear" w:color="auto" w:fill="EAF9E8"/>
          </w:tcPr>
          <w:p>
            <w:pPr>
              <w:spacing w:after="0"/>
              <w:rPr>
                <w:sz w:val="20"/>
                <w:szCs w:val="20"/>
                <w:color w:val="auto"/>
              </w:rPr>
            </w:pPr>
            <w:r>
              <w:rPr>
                <w:rFonts w:ascii="Arial" w:cs="Arial" w:eastAsia="Arial" w:hAnsi="Arial"/>
                <w:sz w:val="18"/>
                <w:szCs w:val="18"/>
                <w:color w:val="auto"/>
              </w:rPr>
              <w:t>Other</w:t>
            </w:r>
          </w:p>
        </w:tc>
        <w:tc>
          <w:tcPr>
            <w:tcW w:w="42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17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754</w:t>
            </w:r>
          </w:p>
        </w:tc>
        <w:tc>
          <w:tcPr>
            <w:tcW w:w="2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86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1,171</w:t>
            </w:r>
          </w:p>
        </w:tc>
        <w:tc>
          <w:tcPr>
            <w:tcW w:w="0" w:type="dxa"/>
            <w:vAlign w:val="bottom"/>
          </w:tcPr>
          <w:p>
            <w:pPr>
              <w:spacing w:after="0"/>
              <w:rPr>
                <w:sz w:val="1"/>
                <w:szCs w:val="1"/>
                <w:color w:val="auto"/>
              </w:rPr>
            </w:pPr>
          </w:p>
        </w:tc>
      </w:tr>
      <w:tr>
        <w:trPr>
          <w:trHeight w:val="243"/>
        </w:trPr>
        <w:tc>
          <w:tcPr>
            <w:tcW w:w="6680" w:type="dxa"/>
            <w:vAlign w:val="bottom"/>
            <w:gridSpan w:val="3"/>
            <w:vMerge w:val="restart"/>
          </w:tcPr>
          <w:p>
            <w:pPr>
              <w:ind w:left="160"/>
              <w:spacing w:after="0"/>
              <w:rPr>
                <w:sz w:val="20"/>
                <w:szCs w:val="20"/>
                <w:color w:val="auto"/>
              </w:rPr>
            </w:pPr>
            <w:r>
              <w:rPr>
                <w:rFonts w:ascii="Arial" w:cs="Arial" w:eastAsia="Arial" w:hAnsi="Arial"/>
                <w:sz w:val="18"/>
                <w:szCs w:val="18"/>
                <w:color w:val="auto"/>
              </w:rPr>
              <w:t>Total assets</w:t>
            </w:r>
          </w:p>
        </w:tc>
        <w:tc>
          <w:tcPr>
            <w:tcW w:w="660" w:type="dxa"/>
            <w:vAlign w:val="bottom"/>
            <w:gridSpan w:val="2"/>
          </w:tcPr>
          <w:p>
            <w:pPr>
              <w:spacing w:after="0"/>
              <w:rPr>
                <w:sz w:val="21"/>
                <w:szCs w:val="21"/>
                <w:color w:val="auto"/>
              </w:rPr>
            </w:pPr>
          </w:p>
        </w:tc>
        <w:tc>
          <w:tcPr>
            <w:tcW w:w="1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20" w:type="dxa"/>
            <w:vAlign w:val="bottom"/>
            <w:gridSpan w:val="2"/>
          </w:tcPr>
          <w:p>
            <w:pPr>
              <w:spacing w:after="0"/>
              <w:rPr>
                <w:sz w:val="21"/>
                <w:szCs w:val="21"/>
                <w:color w:val="auto"/>
              </w:rPr>
            </w:pPr>
          </w:p>
        </w:tc>
        <w:tc>
          <w:tcPr>
            <w:tcW w:w="1860" w:type="dxa"/>
            <w:vAlign w:val="bottom"/>
            <w:gridSpan w:val="2"/>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6680" w:type="dxa"/>
            <w:vAlign w:val="bottom"/>
            <w:gridSpan w:val="3"/>
            <w:vMerge w:val="continue"/>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Borders>
              <w:top w:val="single" w:sz="8" w:color="auto"/>
            </w:tcBorders>
          </w:tcPr>
          <w:p>
            <w:pPr>
              <w:jc w:val="right"/>
              <w:ind w:right="83"/>
              <w:spacing w:after="0"/>
              <w:rPr>
                <w:sz w:val="20"/>
                <w:szCs w:val="20"/>
                <w:color w:val="auto"/>
              </w:rPr>
            </w:pPr>
            <w:r>
              <w:rPr>
                <w:rFonts w:ascii="Arial" w:cs="Arial" w:eastAsia="Arial" w:hAnsi="Arial"/>
                <w:sz w:val="15"/>
                <w:szCs w:val="15"/>
                <w:color w:val="auto"/>
                <w:w w:val="71"/>
              </w:rPr>
              <w:t>$</w:t>
            </w:r>
          </w:p>
        </w:tc>
        <w:tc>
          <w:tcPr>
            <w:tcW w:w="1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22,790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Borders>
              <w:top w:val="single" w:sz="8" w:color="auto"/>
            </w:tcBorders>
          </w:tcPr>
          <w:p>
            <w:pPr>
              <w:jc w:val="right"/>
              <w:ind w:right="23"/>
              <w:spacing w:after="0"/>
              <w:rPr>
                <w:sz w:val="20"/>
                <w:szCs w:val="20"/>
                <w:color w:val="auto"/>
              </w:rPr>
            </w:pPr>
            <w:r>
              <w:rPr>
                <w:rFonts w:ascii="Arial" w:cs="Arial" w:eastAsia="Arial" w:hAnsi="Arial"/>
                <w:sz w:val="15"/>
                <w:szCs w:val="15"/>
                <w:color w:val="auto"/>
                <w:w w:val="71"/>
              </w:rPr>
              <w:t>$</w:t>
            </w:r>
          </w:p>
        </w:tc>
        <w:tc>
          <w:tcPr>
            <w:tcW w:w="1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26,755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6680" w:type="dxa"/>
            <w:vAlign w:val="bottom"/>
            <w:gridSpan w:val="3"/>
            <w:vMerge w:val="restart"/>
          </w:tcPr>
          <w:p>
            <w:pPr>
              <w:spacing w:after="0"/>
              <w:rPr>
                <w:sz w:val="20"/>
                <w:szCs w:val="20"/>
                <w:color w:val="auto"/>
              </w:rPr>
            </w:pPr>
            <w:r>
              <w:rPr>
                <w:rFonts w:ascii="Arial" w:cs="Arial" w:eastAsia="Arial" w:hAnsi="Arial"/>
                <w:sz w:val="18"/>
                <w:szCs w:val="18"/>
                <w:color w:val="auto"/>
                <w:w w:val="93"/>
              </w:rPr>
              <w:t>Comparative selected operations data for the three months ended March 31 is as follows:</w:t>
            </w:r>
          </w:p>
        </w:tc>
        <w:tc>
          <w:tcPr>
            <w:tcW w:w="4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680" w:type="dxa"/>
            <w:vAlign w:val="bottom"/>
            <w:gridSpan w:val="3"/>
            <w:vMerge w:val="continu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6680" w:type="dxa"/>
            <w:vAlign w:val="bottom"/>
            <w:gridSpan w:val="3"/>
            <w:vMerge w:val="continue"/>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4"/>
        </w:trPr>
        <w:tc>
          <w:tcPr>
            <w:tcW w:w="2900" w:type="dxa"/>
            <w:vAlign w:val="bottom"/>
            <w:tcBorders>
              <w:top w:val="single" w:sz="8" w:color="auto"/>
            </w:tcBorders>
          </w:tcPr>
          <w:p>
            <w:pPr>
              <w:spacing w:after="0"/>
              <w:rPr>
                <w:sz w:val="24"/>
                <w:szCs w:val="24"/>
                <w:color w:val="auto"/>
              </w:rPr>
            </w:pPr>
          </w:p>
        </w:tc>
        <w:tc>
          <w:tcPr>
            <w:tcW w:w="3300" w:type="dxa"/>
            <w:vAlign w:val="bottom"/>
            <w:tcBorders>
              <w:top w:val="single" w:sz="8" w:color="auto"/>
            </w:tcBorders>
          </w:tcPr>
          <w:p>
            <w:pPr>
              <w:spacing w:after="0"/>
              <w:rPr>
                <w:sz w:val="24"/>
                <w:szCs w:val="24"/>
                <w:color w:val="auto"/>
              </w:rPr>
            </w:pP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00" w:type="dxa"/>
            <w:vAlign w:val="bottom"/>
          </w:tcPr>
          <w:p>
            <w:pPr>
              <w:jc w:val="right"/>
              <w:ind w:right="712"/>
              <w:spacing w:after="0"/>
              <w:rPr>
                <w:sz w:val="20"/>
                <w:szCs w:val="20"/>
                <w:color w:val="auto"/>
              </w:rPr>
            </w:pPr>
            <w:r>
              <w:rPr>
                <w:rFonts w:ascii="Arial" w:cs="Arial" w:eastAsia="Arial" w:hAnsi="Arial"/>
                <w:sz w:val="18"/>
                <w:szCs w:val="18"/>
                <w:color w:val="auto"/>
              </w:rPr>
              <w:t>2009</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60" w:type="dxa"/>
            <w:vAlign w:val="bottom"/>
          </w:tcPr>
          <w:p>
            <w:pPr>
              <w:jc w:val="right"/>
              <w:ind w:right="712"/>
              <w:spacing w:after="0"/>
              <w:rPr>
                <w:sz w:val="20"/>
                <w:szCs w:val="20"/>
                <w:color w:val="auto"/>
              </w:rPr>
            </w:pPr>
            <w:r>
              <w:rPr>
                <w:rFonts w:ascii="Arial" w:cs="Arial" w:eastAsia="Arial" w:hAnsi="Arial"/>
                <w:sz w:val="18"/>
                <w:szCs w:val="18"/>
                <w:color w:val="auto"/>
              </w:rPr>
              <w:t>2008</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2900" w:type="dxa"/>
            <w:vAlign w:val="bottom"/>
          </w:tcPr>
          <w:p>
            <w:pPr>
              <w:spacing w:after="0"/>
              <w:rPr>
                <w:sz w:val="21"/>
                <w:szCs w:val="21"/>
                <w:color w:val="auto"/>
              </w:rPr>
            </w:pPr>
          </w:p>
        </w:tc>
        <w:tc>
          <w:tcPr>
            <w:tcW w:w="33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60" w:type="dxa"/>
            <w:vAlign w:val="bottom"/>
            <w:gridSpan w:val="2"/>
          </w:tcPr>
          <w:p>
            <w:pPr>
              <w:spacing w:after="0"/>
              <w:rPr>
                <w:sz w:val="21"/>
                <w:szCs w:val="21"/>
                <w:color w:val="auto"/>
              </w:rPr>
            </w:pPr>
          </w:p>
        </w:tc>
        <w:tc>
          <w:tcPr>
            <w:tcW w:w="1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20" w:type="dxa"/>
            <w:vAlign w:val="bottom"/>
            <w:gridSpan w:val="2"/>
          </w:tcPr>
          <w:p>
            <w:pPr>
              <w:spacing w:after="0"/>
              <w:rPr>
                <w:sz w:val="21"/>
                <w:szCs w:val="21"/>
                <w:color w:val="auto"/>
              </w:rPr>
            </w:pPr>
          </w:p>
        </w:tc>
        <w:tc>
          <w:tcPr>
            <w:tcW w:w="1860" w:type="dxa"/>
            <w:vAlign w:val="bottom"/>
            <w:gridSpan w:val="2"/>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6680" w:type="dxa"/>
            <w:vAlign w:val="bottom"/>
            <w:gridSpan w:val="3"/>
            <w:shd w:val="clear" w:color="auto" w:fill="EAF9E8"/>
          </w:tcPr>
          <w:p>
            <w:pPr>
              <w:spacing w:after="0"/>
              <w:rPr>
                <w:sz w:val="20"/>
                <w:szCs w:val="20"/>
                <w:color w:val="auto"/>
              </w:rPr>
            </w:pPr>
            <w:r>
              <w:rPr>
                <w:rFonts w:ascii="Arial" w:cs="Arial" w:eastAsia="Arial" w:hAnsi="Arial"/>
                <w:sz w:val="18"/>
                <w:szCs w:val="18"/>
                <w:color w:val="auto"/>
              </w:rPr>
              <w:t>Revenue (management fees)</w:t>
            </w:r>
          </w:p>
        </w:tc>
        <w:tc>
          <w:tcPr>
            <w:tcW w:w="420" w:type="dxa"/>
            <w:vAlign w:val="bottom"/>
            <w:shd w:val="clear" w:color="auto" w:fill="EAF9E8"/>
          </w:tcPr>
          <w:p>
            <w:pPr>
              <w:spacing w:after="0"/>
              <w:rPr>
                <w:sz w:val="18"/>
                <w:szCs w:val="18"/>
                <w:color w:val="auto"/>
              </w:rPr>
            </w:pPr>
          </w:p>
        </w:tc>
        <w:tc>
          <w:tcPr>
            <w:tcW w:w="240" w:type="dxa"/>
            <w:vAlign w:val="bottom"/>
            <w:tcBorders>
              <w:top w:val="single" w:sz="8" w:color="auto"/>
            </w:tcBorders>
            <w:shd w:val="clear" w:color="auto" w:fill="EAF9E8"/>
          </w:tcPr>
          <w:p>
            <w:pPr>
              <w:jc w:val="right"/>
              <w:ind w:right="83"/>
              <w:spacing w:after="0"/>
              <w:rPr>
                <w:sz w:val="20"/>
                <w:szCs w:val="20"/>
                <w:color w:val="auto"/>
              </w:rPr>
            </w:pPr>
            <w:r>
              <w:rPr>
                <w:rFonts w:ascii="Arial" w:cs="Arial" w:eastAsia="Arial" w:hAnsi="Arial"/>
                <w:sz w:val="15"/>
                <w:szCs w:val="15"/>
                <w:color w:val="auto"/>
                <w:w w:val="71"/>
              </w:rPr>
              <w:t>$</w:t>
            </w:r>
          </w:p>
        </w:tc>
        <w:tc>
          <w:tcPr>
            <w:tcW w:w="170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537</w:t>
            </w:r>
          </w:p>
        </w:tc>
        <w:tc>
          <w:tcPr>
            <w:tcW w:w="2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80" w:type="dxa"/>
            <w:vAlign w:val="bottom"/>
            <w:tcBorders>
              <w:top w:val="single" w:sz="8" w:color="auto"/>
            </w:tcBorders>
            <w:shd w:val="clear" w:color="auto" w:fill="EAF9E8"/>
          </w:tcPr>
          <w:p>
            <w:pPr>
              <w:jc w:val="right"/>
              <w:ind w:right="23"/>
              <w:spacing w:after="0"/>
              <w:rPr>
                <w:sz w:val="20"/>
                <w:szCs w:val="20"/>
                <w:color w:val="auto"/>
              </w:rPr>
            </w:pPr>
            <w:r>
              <w:rPr>
                <w:rFonts w:ascii="Arial" w:cs="Arial" w:eastAsia="Arial" w:hAnsi="Arial"/>
                <w:sz w:val="15"/>
                <w:szCs w:val="15"/>
                <w:color w:val="auto"/>
                <w:w w:val="71"/>
              </w:rPr>
              <w:t>$</w:t>
            </w:r>
          </w:p>
        </w:tc>
        <w:tc>
          <w:tcPr>
            <w:tcW w:w="176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1,051</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680" w:type="dxa"/>
            <w:vAlign w:val="bottom"/>
            <w:gridSpan w:val="3"/>
          </w:tcPr>
          <w:p>
            <w:pPr>
              <w:spacing w:after="0"/>
              <w:rPr>
                <w:sz w:val="20"/>
                <w:szCs w:val="20"/>
                <w:color w:val="auto"/>
              </w:rPr>
            </w:pPr>
            <w:r>
              <w:rPr>
                <w:rFonts w:ascii="Arial" w:cs="Arial" w:eastAsia="Arial" w:hAnsi="Arial"/>
                <w:sz w:val="18"/>
                <w:szCs w:val="18"/>
                <w:color w:val="auto"/>
              </w:rPr>
              <w:t>Operating expenses</w:t>
            </w: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762</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60" w:type="dxa"/>
            <w:vAlign w:val="bottom"/>
            <w:gridSpan w:val="2"/>
          </w:tcPr>
          <w:p>
            <w:pPr>
              <w:jc w:val="right"/>
              <w:ind w:right="100"/>
              <w:spacing w:after="0"/>
              <w:rPr>
                <w:sz w:val="20"/>
                <w:szCs w:val="20"/>
                <w:color w:val="auto"/>
              </w:rPr>
            </w:pPr>
            <w:r>
              <w:rPr>
                <w:rFonts w:ascii="Arial" w:cs="Arial" w:eastAsia="Arial" w:hAnsi="Arial"/>
                <w:sz w:val="18"/>
                <w:szCs w:val="18"/>
                <w:color w:val="auto"/>
              </w:rPr>
              <w:t>690</w:t>
            </w:r>
          </w:p>
        </w:tc>
        <w:tc>
          <w:tcPr>
            <w:tcW w:w="0" w:type="dxa"/>
            <w:vAlign w:val="bottom"/>
          </w:tcPr>
          <w:p>
            <w:pPr>
              <w:spacing w:after="0"/>
              <w:rPr>
                <w:sz w:val="1"/>
                <w:szCs w:val="1"/>
                <w:color w:val="auto"/>
              </w:rPr>
            </w:pPr>
          </w:p>
        </w:tc>
      </w:tr>
      <w:tr>
        <w:trPr>
          <w:trHeight w:val="237"/>
        </w:trPr>
        <w:tc>
          <w:tcPr>
            <w:tcW w:w="290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00" w:type="dxa"/>
            <w:vAlign w:val="bottom"/>
            <w:gridSpan w:val="2"/>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6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680" w:type="dxa"/>
            <w:vAlign w:val="bottom"/>
            <w:gridSpan w:val="3"/>
            <w:shd w:val="clear" w:color="auto" w:fill="EAF9E8"/>
          </w:tcPr>
          <w:p>
            <w:pPr>
              <w:spacing w:after="0"/>
              <w:rPr>
                <w:sz w:val="20"/>
                <w:szCs w:val="20"/>
                <w:color w:val="auto"/>
              </w:rPr>
            </w:pPr>
            <w:r>
              <w:rPr>
                <w:rFonts w:ascii="Arial" w:cs="Arial" w:eastAsia="Arial" w:hAnsi="Arial"/>
                <w:sz w:val="18"/>
                <w:szCs w:val="18"/>
                <w:color w:val="auto"/>
              </w:rPr>
              <w:t>Income (loss) from operations</w:t>
            </w:r>
          </w:p>
        </w:tc>
        <w:tc>
          <w:tcPr>
            <w:tcW w:w="420" w:type="dxa"/>
            <w:vAlign w:val="bottom"/>
            <w:shd w:val="clear" w:color="auto" w:fill="EAF9E8"/>
          </w:tcPr>
          <w:p>
            <w:pPr>
              <w:spacing w:after="0"/>
              <w:rPr>
                <w:sz w:val="18"/>
                <w:szCs w:val="18"/>
                <w:color w:val="auto"/>
              </w:rPr>
            </w:pPr>
          </w:p>
        </w:tc>
        <w:tc>
          <w:tcPr>
            <w:tcW w:w="240" w:type="dxa"/>
            <w:vAlign w:val="bottom"/>
            <w:tcBorders>
              <w:top w:val="single" w:sz="8" w:color="auto"/>
            </w:tcBorders>
            <w:shd w:val="clear" w:color="auto" w:fill="EAF9E8"/>
          </w:tcPr>
          <w:p>
            <w:pPr>
              <w:spacing w:after="0"/>
              <w:rPr>
                <w:sz w:val="18"/>
                <w:szCs w:val="18"/>
                <w:color w:val="auto"/>
              </w:rPr>
            </w:pPr>
          </w:p>
        </w:tc>
        <w:tc>
          <w:tcPr>
            <w:tcW w:w="170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(225)</w:t>
            </w:r>
          </w:p>
        </w:tc>
        <w:tc>
          <w:tcPr>
            <w:tcW w:w="2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80" w:type="dxa"/>
            <w:vAlign w:val="bottom"/>
            <w:tcBorders>
              <w:top w:val="single" w:sz="8" w:color="auto"/>
            </w:tcBorders>
            <w:shd w:val="clear" w:color="auto" w:fill="EAF9E8"/>
          </w:tcPr>
          <w:p>
            <w:pPr>
              <w:spacing w:after="0"/>
              <w:rPr>
                <w:sz w:val="18"/>
                <w:szCs w:val="18"/>
                <w:color w:val="auto"/>
              </w:rPr>
            </w:pPr>
          </w:p>
        </w:tc>
        <w:tc>
          <w:tcPr>
            <w:tcW w:w="176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361</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6680" w:type="dxa"/>
            <w:vAlign w:val="bottom"/>
            <w:gridSpan w:val="3"/>
            <w:vMerge w:val="restart"/>
          </w:tcPr>
          <w:p>
            <w:pPr>
              <w:spacing w:after="0"/>
              <w:rPr>
                <w:sz w:val="20"/>
                <w:szCs w:val="20"/>
                <w:color w:val="auto"/>
              </w:rPr>
            </w:pPr>
            <w:r>
              <w:rPr>
                <w:rFonts w:ascii="Arial" w:cs="Arial" w:eastAsia="Arial" w:hAnsi="Arial"/>
                <w:sz w:val="18"/>
                <w:szCs w:val="18"/>
                <w:color w:val="auto"/>
              </w:rPr>
              <w:t>Other income (expense):</w:t>
            </w:r>
          </w:p>
        </w:tc>
        <w:tc>
          <w:tcPr>
            <w:tcW w:w="4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700" w:type="dxa"/>
            <w:vAlign w:val="bottom"/>
            <w:tcBorders>
              <w:bottom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7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6680" w:type="dxa"/>
            <w:vAlign w:val="bottom"/>
            <w:gridSpan w:val="3"/>
            <w:vMerge w:val="continue"/>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680" w:type="dxa"/>
            <w:vAlign w:val="bottom"/>
            <w:gridSpan w:val="3"/>
            <w:shd w:val="clear" w:color="auto" w:fill="EAF9E8"/>
          </w:tcPr>
          <w:p>
            <w:pPr>
              <w:ind w:left="160"/>
              <w:spacing w:after="0"/>
              <w:rPr>
                <w:sz w:val="20"/>
                <w:szCs w:val="20"/>
                <w:color w:val="auto"/>
              </w:rPr>
            </w:pPr>
            <w:r>
              <w:rPr>
                <w:rFonts w:ascii="Arial" w:cs="Arial" w:eastAsia="Arial" w:hAnsi="Arial"/>
                <w:sz w:val="18"/>
                <w:szCs w:val="18"/>
                <w:color w:val="auto"/>
              </w:rPr>
              <w:t>Equity in earnings (losses) of unconsolidated entities</w:t>
            </w:r>
          </w:p>
        </w:tc>
        <w:tc>
          <w:tcPr>
            <w:tcW w:w="42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170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76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gridSpan w:val="3"/>
          </w:tcPr>
          <w:p>
            <w:pPr>
              <w:ind w:left="320"/>
              <w:spacing w:after="0"/>
              <w:rPr>
                <w:sz w:val="20"/>
                <w:szCs w:val="20"/>
                <w:color w:val="auto"/>
              </w:rPr>
            </w:pPr>
            <w:r>
              <w:rPr>
                <w:rFonts w:ascii="Arial" w:cs="Arial" w:eastAsia="Arial" w:hAnsi="Arial"/>
                <w:sz w:val="18"/>
                <w:szCs w:val="18"/>
                <w:color w:val="auto"/>
              </w:rPr>
              <w:t>OSI</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273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60" w:type="dxa"/>
            <w:vAlign w:val="bottom"/>
            <w:gridSpan w:val="2"/>
          </w:tcPr>
          <w:p>
            <w:pPr>
              <w:jc w:val="right"/>
              <w:ind w:right="40"/>
              <w:spacing w:after="0"/>
              <w:rPr>
                <w:sz w:val="20"/>
                <w:szCs w:val="20"/>
                <w:color w:val="auto"/>
              </w:rPr>
            </w:pPr>
            <w:r>
              <w:rPr>
                <w:rFonts w:ascii="Arial" w:cs="Arial" w:eastAsia="Arial" w:hAnsi="Arial"/>
                <w:sz w:val="18"/>
                <w:szCs w:val="18"/>
                <w:color w:val="auto"/>
              </w:rPr>
              <w:t>(636)</w:t>
            </w:r>
          </w:p>
        </w:tc>
        <w:tc>
          <w:tcPr>
            <w:tcW w:w="0" w:type="dxa"/>
            <w:vAlign w:val="bottom"/>
          </w:tcPr>
          <w:p>
            <w:pPr>
              <w:spacing w:after="0"/>
              <w:rPr>
                <w:sz w:val="1"/>
                <w:szCs w:val="1"/>
                <w:color w:val="auto"/>
              </w:rPr>
            </w:pPr>
          </w:p>
        </w:tc>
      </w:tr>
      <w:tr>
        <w:trPr>
          <w:trHeight w:val="216"/>
        </w:trPr>
        <w:tc>
          <w:tcPr>
            <w:tcW w:w="6680" w:type="dxa"/>
            <w:vAlign w:val="bottom"/>
            <w:gridSpan w:val="3"/>
            <w:shd w:val="clear" w:color="auto" w:fill="EAF9E8"/>
          </w:tcPr>
          <w:p>
            <w:pPr>
              <w:ind w:left="320"/>
              <w:spacing w:after="0"/>
              <w:rPr>
                <w:sz w:val="20"/>
                <w:szCs w:val="20"/>
                <w:color w:val="auto"/>
              </w:rPr>
            </w:pPr>
            <w:r>
              <w:rPr>
                <w:rFonts w:ascii="Arial" w:cs="Arial" w:eastAsia="Arial" w:hAnsi="Arial"/>
                <w:sz w:val="18"/>
                <w:szCs w:val="18"/>
                <w:color w:val="auto"/>
              </w:rPr>
              <w:t>ONL and affiliates</w:t>
            </w:r>
          </w:p>
        </w:tc>
        <w:tc>
          <w:tcPr>
            <w:tcW w:w="42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190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(575)</w:t>
            </w:r>
          </w:p>
        </w:tc>
        <w:tc>
          <w:tcPr>
            <w:tcW w:w="14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86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(1,046)</w:t>
            </w:r>
          </w:p>
        </w:tc>
        <w:tc>
          <w:tcPr>
            <w:tcW w:w="0" w:type="dxa"/>
            <w:vAlign w:val="bottom"/>
          </w:tcPr>
          <w:p>
            <w:pPr>
              <w:spacing w:after="0"/>
              <w:rPr>
                <w:sz w:val="1"/>
                <w:szCs w:val="1"/>
                <w:color w:val="auto"/>
              </w:rPr>
            </w:pPr>
          </w:p>
        </w:tc>
      </w:tr>
      <w:tr>
        <w:trPr>
          <w:trHeight w:val="243"/>
        </w:trPr>
        <w:tc>
          <w:tcPr>
            <w:tcW w:w="2900" w:type="dxa"/>
            <w:vAlign w:val="bottom"/>
          </w:tcPr>
          <w:p>
            <w:pPr>
              <w:spacing w:after="0"/>
              <w:rPr>
                <w:sz w:val="21"/>
                <w:szCs w:val="21"/>
                <w:color w:val="auto"/>
              </w:rPr>
            </w:pPr>
          </w:p>
        </w:tc>
        <w:tc>
          <w:tcPr>
            <w:tcW w:w="33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00" w:type="dxa"/>
            <w:vAlign w:val="bottom"/>
            <w:gridSpan w:val="2"/>
          </w:tcPr>
          <w:p>
            <w:pPr>
              <w:spacing w:after="0"/>
              <w:rPr>
                <w:sz w:val="21"/>
                <w:szCs w:val="21"/>
                <w:color w:val="auto"/>
              </w:rPr>
            </w:pP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60" w:type="dxa"/>
            <w:vAlign w:val="bottom"/>
            <w:gridSpan w:val="2"/>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90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(1,682)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gridSpan w:val="3"/>
            <w:shd w:val="clear" w:color="auto" w:fill="EAF9E8"/>
          </w:tcPr>
          <w:p>
            <w:pPr>
              <w:ind w:left="160"/>
              <w:spacing w:after="0"/>
              <w:rPr>
                <w:sz w:val="20"/>
                <w:szCs w:val="20"/>
                <w:color w:val="auto"/>
              </w:rPr>
            </w:pPr>
            <w:r>
              <w:rPr>
                <w:rFonts w:ascii="Arial" w:cs="Arial" w:eastAsia="Arial" w:hAnsi="Arial"/>
                <w:sz w:val="18"/>
                <w:szCs w:val="18"/>
                <w:color w:val="auto"/>
              </w:rPr>
              <w:t>Other, net</w:t>
            </w:r>
          </w:p>
        </w:tc>
        <w:tc>
          <w:tcPr>
            <w:tcW w:w="42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190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86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43"/>
        </w:trPr>
        <w:tc>
          <w:tcPr>
            <w:tcW w:w="6680" w:type="dxa"/>
            <w:vAlign w:val="bottom"/>
            <w:gridSpan w:val="3"/>
            <w:vMerge w:val="restart"/>
          </w:tcPr>
          <w:p>
            <w:pPr>
              <w:ind w:left="320"/>
              <w:spacing w:after="0"/>
              <w:rPr>
                <w:sz w:val="20"/>
                <w:szCs w:val="20"/>
                <w:color w:val="auto"/>
              </w:rPr>
            </w:pPr>
            <w:r>
              <w:rPr>
                <w:rFonts w:ascii="Arial" w:cs="Arial" w:eastAsia="Arial" w:hAnsi="Arial"/>
                <w:sz w:val="18"/>
                <w:szCs w:val="18"/>
                <w:color w:val="auto"/>
              </w:rPr>
              <w:t>Other expense, net</w:t>
            </w:r>
          </w:p>
        </w:tc>
        <w:tc>
          <w:tcPr>
            <w:tcW w:w="4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00" w:type="dxa"/>
            <w:vAlign w:val="bottom"/>
            <w:gridSpan w:val="2"/>
          </w:tcPr>
          <w:p>
            <w:pPr>
              <w:spacing w:after="0"/>
              <w:rPr>
                <w:sz w:val="21"/>
                <w:szCs w:val="21"/>
                <w:color w:val="auto"/>
              </w:rPr>
            </w:pP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60" w:type="dxa"/>
            <w:vAlign w:val="bottom"/>
            <w:gridSpan w:val="2"/>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6680" w:type="dxa"/>
            <w:vAlign w:val="bottom"/>
            <w:gridSpan w:val="3"/>
            <w:vMerge w:val="continue"/>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246620" cy="1016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10160"/>
                    </a:xfrm>
                    <a:prstGeom prst="rect">
                      <a:avLst/>
                    </a:prstGeom>
                    <a:noFill/>
                  </pic:spPr>
                </pic:pic>
              </a:graphicData>
            </a:graphic>
          </wp:anchor>
        </w:drawing>
      </w:r>
    </w:p>
    <w:p>
      <w:pPr>
        <w:sectPr>
          <w:pgSz w:w="11900" w:h="16838" w:orient="portrait"/>
          <w:cols w:equalWidth="0" w:num="1">
            <w:col w:w="11420"/>
          </w:cols>
          <w:pgMar w:left="240" w:top="108" w:right="239" w:bottom="0" w:gutter="0" w:footer="0" w:header="0"/>
        </w:sectPr>
      </w:pPr>
    </w:p>
    <w:bookmarkStart w:id="46" w:name="page47"/>
    <w:bookmarkEnd w:id="46"/>
    <w:p>
      <w:pPr>
        <w:spacing w:after="0"/>
        <w:tabs>
          <w:tab w:leader="none" w:pos="7080" w:val="left"/>
          <w:tab w:leader="none" w:pos="8700" w:val="left"/>
          <w:tab w:leader="none" w:pos="9360" w:val="left"/>
          <w:tab w:leader="none" w:pos="10840" w:val="left"/>
        </w:tabs>
        <w:rPr>
          <w:sz w:val="20"/>
          <w:szCs w:val="20"/>
          <w:color w:val="auto"/>
        </w:rPr>
      </w:pPr>
      <w:r>
        <w:rPr>
          <w:rFonts w:ascii="Arial" w:cs="Arial" w:eastAsia="Arial" w:hAnsi="Arial"/>
          <w:sz w:val="18"/>
          <w:szCs w:val="18"/>
          <w:color w:val="auto"/>
        </w:rPr>
        <w:t>Loss before income taxes</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(527)</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(1,446)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4507230</wp:posOffset>
            </wp:positionH>
            <wp:positionV relativeFrom="paragraph">
              <wp:posOffset>165735</wp:posOffset>
            </wp:positionV>
            <wp:extent cx="2675890"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675890" cy="2603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p>
      <w:pPr>
        <w:spacing w:after="0" w:line="200" w:lineRule="exact"/>
        <w:rPr>
          <w:sz w:val="20"/>
          <w:szCs w:val="20"/>
          <w:color w:val="auto"/>
        </w:rPr>
      </w:pPr>
    </w:p>
    <w:p>
      <w:pPr>
        <w:spacing w:after="0" w:line="30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67575"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type w:val="continuous"/>
        </w:sectPr>
      </w:pPr>
    </w:p>
    <w:bookmarkStart w:id="47" w:name="page48"/>
    <w:bookmarkEnd w:id="47"/>
    <w:p>
      <w:pPr>
        <w:jc w:val="both"/>
        <w:ind w:firstLine="501"/>
        <w:spacing w:after="0" w:line="298" w:lineRule="auto"/>
        <w:rPr>
          <w:sz w:val="20"/>
          <w:szCs w:val="20"/>
          <w:color w:val="auto"/>
        </w:rPr>
      </w:pPr>
      <w:r>
        <w:rPr>
          <w:rFonts w:ascii="Arial" w:cs="Arial" w:eastAsia="Arial" w:hAnsi="Arial"/>
          <w:sz w:val="16"/>
          <w:szCs w:val="16"/>
          <w:i w:val="1"/>
          <w:iCs w:val="1"/>
          <w:color w:val="auto"/>
        </w:rPr>
        <w:t xml:space="preserve">Investment in Unconsolidated Entities. </w:t>
      </w:r>
      <w:r>
        <w:rPr>
          <w:rFonts w:ascii="Arial" w:cs="Arial" w:eastAsia="Arial" w:hAnsi="Arial"/>
          <w:sz w:val="16"/>
          <w:szCs w:val="16"/>
          <w:color w:val="auto"/>
        </w:rPr>
        <w:t>We account for our 25% interest in OSI and approximately 25% ownership interest in ONL and its affiliates using</w:t>
      </w:r>
      <w:r>
        <w:rPr>
          <w:rFonts w:ascii="Arial" w:cs="Arial" w:eastAsia="Arial" w:hAnsi="Arial"/>
          <w:sz w:val="16"/>
          <w:szCs w:val="16"/>
          <w:i w:val="1"/>
          <w:iCs w:val="1"/>
          <w:color w:val="auto"/>
        </w:rPr>
        <w:t xml:space="preserve"> </w:t>
      </w:r>
      <w:r>
        <w:rPr>
          <w:rFonts w:ascii="Arial" w:cs="Arial" w:eastAsia="Arial" w:hAnsi="Arial"/>
          <w:sz w:val="16"/>
          <w:szCs w:val="16"/>
          <w:color w:val="auto"/>
        </w:rPr>
        <w:t>the equity method of accounting. During the first three months of 2009, we received distributions totaling $3,246. We did not make any investments in OSI during 2009, and our commitment to invest additional capital has expired. We did not make any investments in ONL and affiliates during the first quarter of 2009, but have a remaining commitment as of March 31, 2009 to invest up to an additional $33,902.</w:t>
      </w:r>
    </w:p>
    <w:p>
      <w:pPr>
        <w:spacing w:after="0" w:line="167" w:lineRule="exact"/>
        <w:rPr>
          <w:sz w:val="20"/>
          <w:szCs w:val="20"/>
          <w:color w:val="auto"/>
        </w:rPr>
      </w:pPr>
    </w:p>
    <w:p>
      <w:pPr>
        <w:jc w:val="both"/>
        <w:ind w:firstLine="520"/>
        <w:spacing w:after="0" w:line="294" w:lineRule="auto"/>
        <w:rPr>
          <w:sz w:val="20"/>
          <w:szCs w:val="20"/>
          <w:color w:val="auto"/>
        </w:rPr>
      </w:pPr>
      <w:r>
        <w:rPr>
          <w:rFonts w:ascii="Arial" w:cs="Arial" w:eastAsia="Arial" w:hAnsi="Arial"/>
          <w:sz w:val="16"/>
          <w:szCs w:val="16"/>
          <w:i w:val="1"/>
          <w:iCs w:val="1"/>
          <w:color w:val="auto"/>
        </w:rPr>
        <w:t xml:space="preserve">Equity in earnings of unconsolidated entities. </w:t>
      </w:r>
      <w:r>
        <w:rPr>
          <w:rFonts w:ascii="Arial" w:cs="Arial" w:eastAsia="Arial" w:hAnsi="Arial"/>
          <w:sz w:val="16"/>
          <w:szCs w:val="16"/>
          <w:color w:val="auto"/>
        </w:rPr>
        <w:t>The losses incurred by ONL and affiliates in the first quarter of 2009 are primarily the result of charges to</w:t>
      </w:r>
      <w:r>
        <w:rPr>
          <w:rFonts w:ascii="Arial" w:cs="Arial" w:eastAsia="Arial" w:hAnsi="Arial"/>
          <w:sz w:val="16"/>
          <w:szCs w:val="16"/>
          <w:i w:val="1"/>
          <w:iCs w:val="1"/>
          <w:color w:val="auto"/>
        </w:rPr>
        <w:t xml:space="preserve"> </w:t>
      </w:r>
      <w:r>
        <w:rPr>
          <w:rFonts w:ascii="Arial" w:cs="Arial" w:eastAsia="Arial" w:hAnsi="Arial"/>
          <w:sz w:val="16"/>
          <w:szCs w:val="16"/>
          <w:color w:val="auto"/>
        </w:rPr>
        <w:t>reduce loans and real estate to fair value. The losses incurred by OSI and ONL in the first three months of 2008 primarily reflect unrealized losses on residual securities and the write-off of loan facility fees, offset in part by unrealized gains on OSI’s investment in derivative financial instruments. Reported losses include the approximately 25% share of loan servicing and management expenses that are charged to OSI and ONL by the Servicing segment and eliminated in consolidation. See Note 10 to the Interim Consolidated Financial Statements for additional details regarding our investment in these entities.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Mortgage Services</w:t>
      </w:r>
    </w:p>
    <w:p>
      <w:pPr>
        <w:spacing w:after="0" w:line="231" w:lineRule="exact"/>
        <w:rPr>
          <w:sz w:val="20"/>
          <w:szCs w:val="20"/>
          <w:color w:val="auto"/>
        </w:rPr>
      </w:pPr>
    </w:p>
    <w:p>
      <w:pPr>
        <w:jc w:val="both"/>
        <w:ind w:firstLine="535"/>
        <w:spacing w:after="0" w:line="254" w:lineRule="auto"/>
        <w:rPr>
          <w:sz w:val="20"/>
          <w:szCs w:val="20"/>
          <w:color w:val="auto"/>
        </w:rPr>
      </w:pPr>
      <w:r>
        <w:rPr>
          <w:rFonts w:ascii="Arial" w:cs="Arial" w:eastAsia="Arial" w:hAnsi="Arial"/>
          <w:sz w:val="18"/>
          <w:szCs w:val="18"/>
          <w:color w:val="auto"/>
        </w:rPr>
        <w:t>Income from operations improved by $1,889 or 58% in the first quarter of 2009 as compared to 2008. We have offset the effect of declining origination volumes by increasing the array and geographical range of the mortgage and default services that we provide to originators and servicers. These services include default processing, property inspection and preservation, homeowner outreach, real estate sales and title services. As a result of the growth in revenue from these services and because of our success in reducing operating expenses, income from operations as a percent of revenue improved from 19% in the first quarter of 2008 to 28% in 2009. In November 2008, our Board of Directors authorized management to investigate the possible sale of our remaining GSS partnerships that are included in this segment.</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100" w:type="dxa"/>
            <w:vAlign w:val="bottom"/>
            <w:gridSpan w:val="3"/>
          </w:tcPr>
          <w:p>
            <w:pPr>
              <w:spacing w:after="0"/>
              <w:rPr>
                <w:sz w:val="20"/>
                <w:szCs w:val="20"/>
                <w:color w:val="auto"/>
              </w:rPr>
            </w:pPr>
            <w:r>
              <w:rPr>
                <w:rFonts w:ascii="Arial" w:cs="Arial" w:eastAsia="Arial" w:hAnsi="Arial"/>
                <w:sz w:val="18"/>
                <w:szCs w:val="18"/>
                <w:color w:val="auto"/>
              </w:rPr>
              <w:t>Comparative selected balance sheet data:</w:t>
            </w:r>
          </w:p>
        </w:tc>
        <w:tc>
          <w:tcPr>
            <w:tcW w:w="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64"/>
        </w:trPr>
        <w:tc>
          <w:tcPr>
            <w:tcW w:w="20" w:type="dxa"/>
            <w:vAlign w:val="bottom"/>
          </w:tcPr>
          <w:p>
            <w:pPr>
              <w:spacing w:after="0"/>
              <w:rPr>
                <w:sz w:val="24"/>
                <w:szCs w:val="24"/>
                <w:color w:val="auto"/>
              </w:rPr>
            </w:pPr>
          </w:p>
        </w:tc>
        <w:tc>
          <w:tcPr>
            <w:tcW w:w="2880" w:type="dxa"/>
            <w:vAlign w:val="bottom"/>
            <w:tcBorders>
              <w:top w:val="single" w:sz="8" w:color="auto"/>
            </w:tcBorders>
          </w:tcPr>
          <w:p>
            <w:pPr>
              <w:spacing w:after="0"/>
              <w:rPr>
                <w:sz w:val="24"/>
                <w:szCs w:val="24"/>
                <w:color w:val="auto"/>
              </w:rPr>
            </w:pPr>
          </w:p>
        </w:tc>
        <w:tc>
          <w:tcPr>
            <w:tcW w:w="4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March 31, 2009</w:t>
            </w: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60" w:type="dxa"/>
            <w:vAlign w:val="bottom"/>
            <w:gridSpan w:val="2"/>
          </w:tcPr>
          <w:p>
            <w:pPr>
              <w:ind w:left="100"/>
              <w:spacing w:after="0"/>
              <w:rPr>
                <w:sz w:val="20"/>
                <w:szCs w:val="20"/>
                <w:color w:val="auto"/>
              </w:rPr>
            </w:pPr>
            <w:r>
              <w:rPr>
                <w:rFonts w:ascii="Arial" w:cs="Arial" w:eastAsia="Arial" w:hAnsi="Arial"/>
                <w:sz w:val="18"/>
                <w:szCs w:val="18"/>
                <w:color w:val="auto"/>
              </w:rPr>
              <w:t>December 31, 2008</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880" w:type="dxa"/>
            <w:vAlign w:val="bottom"/>
          </w:tcPr>
          <w:p>
            <w:pPr>
              <w:spacing w:after="0"/>
              <w:rPr>
                <w:sz w:val="21"/>
                <w:szCs w:val="21"/>
                <w:color w:val="auto"/>
              </w:rPr>
            </w:pPr>
          </w:p>
        </w:tc>
        <w:tc>
          <w:tcPr>
            <w:tcW w:w="4200" w:type="dxa"/>
            <w:vAlign w:val="bottom"/>
          </w:tcPr>
          <w:p>
            <w:pPr>
              <w:spacing w:after="0"/>
              <w:rPr>
                <w:sz w:val="21"/>
                <w:szCs w:val="21"/>
                <w:color w:val="auto"/>
              </w:rPr>
            </w:pPr>
          </w:p>
        </w:tc>
        <w:tc>
          <w:tcPr>
            <w:tcW w:w="1540" w:type="dxa"/>
            <w:vAlign w:val="bottom"/>
            <w:gridSpan w:val="2"/>
          </w:tcPr>
          <w:p>
            <w:pPr>
              <w:spacing w:after="0"/>
              <w:rPr>
                <w:sz w:val="21"/>
                <w:szCs w:val="21"/>
                <w:color w:val="auto"/>
              </w:rPr>
            </w:pPr>
          </w:p>
        </w:tc>
        <w:tc>
          <w:tcPr>
            <w:tcW w:w="4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8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Cash</w:t>
            </w:r>
          </w:p>
        </w:tc>
        <w:tc>
          <w:tcPr>
            <w:tcW w:w="20" w:type="dxa"/>
            <w:vAlign w:val="bottom"/>
            <w:shd w:val="clear" w:color="auto" w:fill="EAF9E8"/>
          </w:tcPr>
          <w:p>
            <w:pPr>
              <w:spacing w:after="0"/>
              <w:rPr>
                <w:sz w:val="18"/>
                <w:szCs w:val="18"/>
                <w:color w:val="auto"/>
              </w:rPr>
            </w:pPr>
          </w:p>
        </w:tc>
        <w:tc>
          <w:tcPr>
            <w:tcW w:w="1520" w:type="dxa"/>
            <w:vAlign w:val="bottom"/>
            <w:tcBorders>
              <w:top w:val="single" w:sz="8" w:color="auto"/>
            </w:tcBorders>
            <w:shd w:val="clear" w:color="auto" w:fill="EAF9E8"/>
          </w:tcPr>
          <w:p>
            <w:pPr>
              <w:jc w:val="right"/>
              <w:ind w:right="1398"/>
              <w:spacing w:after="0"/>
              <w:rPr>
                <w:sz w:val="20"/>
                <w:szCs w:val="20"/>
                <w:color w:val="auto"/>
              </w:rPr>
            </w:pPr>
            <w:r>
              <w:rPr>
                <w:rFonts w:ascii="Arial" w:cs="Arial" w:eastAsia="Arial" w:hAnsi="Arial"/>
                <w:sz w:val="10"/>
                <w:szCs w:val="10"/>
                <w:color w:val="auto"/>
                <w:w w:val="71"/>
              </w:rPr>
              <w:t>$</w:t>
            </w:r>
          </w:p>
        </w:tc>
        <w:tc>
          <w:tcPr>
            <w:tcW w:w="40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264</w:t>
            </w:r>
          </w:p>
        </w:tc>
        <w:tc>
          <w:tcPr>
            <w:tcW w:w="340" w:type="dxa"/>
            <w:vAlign w:val="bottom"/>
            <w:shd w:val="clear" w:color="auto" w:fill="EAF9E8"/>
          </w:tcPr>
          <w:p>
            <w:pPr>
              <w:spacing w:after="0"/>
              <w:rPr>
                <w:sz w:val="18"/>
                <w:szCs w:val="18"/>
                <w:color w:val="auto"/>
              </w:rPr>
            </w:pPr>
          </w:p>
        </w:tc>
        <w:tc>
          <w:tcPr>
            <w:tcW w:w="180" w:type="dxa"/>
            <w:vAlign w:val="bottom"/>
            <w:tcBorders>
              <w:top w:val="single" w:sz="8" w:color="auto"/>
            </w:tcBorders>
            <w:shd w:val="clear" w:color="auto" w:fill="EAF9E8"/>
          </w:tcPr>
          <w:p>
            <w:pPr>
              <w:jc w:val="right"/>
              <w:ind w:right="23"/>
              <w:spacing w:after="0"/>
              <w:rPr>
                <w:sz w:val="20"/>
                <w:szCs w:val="20"/>
                <w:color w:val="auto"/>
              </w:rPr>
            </w:pPr>
            <w:r>
              <w:rPr>
                <w:rFonts w:ascii="Arial" w:cs="Arial" w:eastAsia="Arial" w:hAnsi="Arial"/>
                <w:sz w:val="15"/>
                <w:szCs w:val="15"/>
                <w:color w:val="auto"/>
                <w:w w:val="71"/>
              </w:rPr>
              <w:t>$</w:t>
            </w:r>
          </w:p>
        </w:tc>
        <w:tc>
          <w:tcPr>
            <w:tcW w:w="176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749</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gridSpan w:val="2"/>
          </w:tcPr>
          <w:p>
            <w:pPr>
              <w:spacing w:after="0"/>
              <w:rPr>
                <w:sz w:val="20"/>
                <w:szCs w:val="20"/>
                <w:color w:val="auto"/>
              </w:rPr>
            </w:pPr>
            <w:r>
              <w:rPr>
                <w:rFonts w:ascii="Arial" w:cs="Arial" w:eastAsia="Arial" w:hAnsi="Arial"/>
                <w:sz w:val="18"/>
                <w:szCs w:val="18"/>
                <w:color w:val="auto"/>
              </w:rPr>
              <w:t>Receivables</w:t>
            </w:r>
          </w:p>
        </w:tc>
        <w:tc>
          <w:tcPr>
            <w:tcW w:w="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3,702</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60" w:type="dxa"/>
            <w:vAlign w:val="bottom"/>
            <w:gridSpan w:val="2"/>
          </w:tcPr>
          <w:p>
            <w:pPr>
              <w:jc w:val="right"/>
              <w:ind w:right="100"/>
              <w:spacing w:after="0"/>
              <w:rPr>
                <w:sz w:val="20"/>
                <w:szCs w:val="20"/>
                <w:color w:val="auto"/>
              </w:rPr>
            </w:pPr>
            <w:r>
              <w:rPr>
                <w:rFonts w:ascii="Arial" w:cs="Arial" w:eastAsia="Arial" w:hAnsi="Arial"/>
                <w:sz w:val="18"/>
                <w:szCs w:val="18"/>
                <w:color w:val="auto"/>
              </w:rPr>
              <w:t>2,680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EAF9E8"/>
          </w:tcPr>
          <w:p>
            <w:pPr>
              <w:spacing w:after="0"/>
              <w:rPr>
                <w:sz w:val="18"/>
                <w:szCs w:val="18"/>
                <w:color w:val="auto"/>
              </w:rPr>
            </w:pPr>
          </w:p>
        </w:tc>
        <w:tc>
          <w:tcPr>
            <w:tcW w:w="1520" w:type="dxa"/>
            <w:vAlign w:val="bottom"/>
            <w:shd w:val="clear" w:color="auto" w:fill="EAF9E8"/>
          </w:tcPr>
          <w:p>
            <w:pPr>
              <w:spacing w:after="0"/>
              <w:rPr>
                <w:sz w:val="18"/>
                <w:szCs w:val="18"/>
                <w:color w:val="auto"/>
              </w:rPr>
            </w:pPr>
          </w:p>
        </w:tc>
        <w:tc>
          <w:tcPr>
            <w:tcW w:w="4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36</w:t>
            </w:r>
          </w:p>
        </w:tc>
        <w:tc>
          <w:tcPr>
            <w:tcW w:w="34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86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080" w:type="dxa"/>
            <w:vAlign w:val="bottom"/>
            <w:gridSpan w:val="2"/>
            <w:vMerge w:val="restart"/>
          </w:tcPr>
          <w:p>
            <w:pPr>
              <w:ind w:left="140"/>
              <w:spacing w:after="0"/>
              <w:rPr>
                <w:sz w:val="20"/>
                <w:szCs w:val="20"/>
                <w:color w:val="auto"/>
              </w:rPr>
            </w:pPr>
            <w:r>
              <w:rPr>
                <w:rFonts w:ascii="Arial" w:cs="Arial" w:eastAsia="Arial" w:hAnsi="Arial"/>
                <w:sz w:val="18"/>
                <w:szCs w:val="18"/>
                <w:color w:val="auto"/>
              </w:rPr>
              <w:t>Total assets</w:t>
            </w:r>
          </w:p>
        </w:tc>
        <w:tc>
          <w:tcPr>
            <w:tcW w:w="1540" w:type="dxa"/>
            <w:vAlign w:val="bottom"/>
            <w:gridSpan w:val="2"/>
          </w:tcPr>
          <w:p>
            <w:pPr>
              <w:spacing w:after="0"/>
              <w:rPr>
                <w:sz w:val="21"/>
                <w:szCs w:val="21"/>
                <w:color w:val="auto"/>
              </w:rPr>
            </w:pPr>
          </w:p>
        </w:tc>
        <w:tc>
          <w:tcPr>
            <w:tcW w:w="400" w:type="dxa"/>
            <w:vAlign w:val="bottom"/>
          </w:tcPr>
          <w:p>
            <w:pPr>
              <w:spacing w:after="0"/>
              <w:rPr>
                <w:sz w:val="21"/>
                <w:szCs w:val="21"/>
                <w:color w:val="auto"/>
              </w:rPr>
            </w:pPr>
          </w:p>
        </w:tc>
        <w:tc>
          <w:tcPr>
            <w:tcW w:w="520" w:type="dxa"/>
            <w:vAlign w:val="bottom"/>
            <w:gridSpan w:val="2"/>
          </w:tcPr>
          <w:p>
            <w:pPr>
              <w:spacing w:after="0"/>
              <w:rPr>
                <w:sz w:val="21"/>
                <w:szCs w:val="21"/>
                <w:color w:val="auto"/>
              </w:rPr>
            </w:pPr>
          </w:p>
        </w:tc>
        <w:tc>
          <w:tcPr>
            <w:tcW w:w="1860" w:type="dxa"/>
            <w:vAlign w:val="bottom"/>
            <w:gridSpan w:val="2"/>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1520" w:type="dxa"/>
            <w:vAlign w:val="bottom"/>
            <w:tcBorders>
              <w:top w:val="single" w:sz="8" w:color="auto"/>
            </w:tcBorders>
          </w:tcPr>
          <w:p>
            <w:pPr>
              <w:jc w:val="right"/>
              <w:ind w:right="1398"/>
              <w:spacing w:after="0"/>
              <w:rPr>
                <w:sz w:val="20"/>
                <w:szCs w:val="20"/>
                <w:color w:val="auto"/>
              </w:rPr>
            </w:pPr>
            <w:r>
              <w:rPr>
                <w:rFonts w:ascii="Arial" w:cs="Arial" w:eastAsia="Arial" w:hAnsi="Arial"/>
                <w:sz w:val="10"/>
                <w:szCs w:val="10"/>
                <w:color w:val="auto"/>
                <w:w w:val="71"/>
              </w:rPr>
              <w:t>$</w:t>
            </w: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4"/>
              </w:rPr>
              <w:t>4,002</w:t>
            </w:r>
          </w:p>
        </w:tc>
        <w:tc>
          <w:tcPr>
            <w:tcW w:w="340" w:type="dxa"/>
            <w:vAlign w:val="bottom"/>
          </w:tcPr>
          <w:p>
            <w:pPr>
              <w:spacing w:after="0"/>
              <w:rPr>
                <w:sz w:val="18"/>
                <w:szCs w:val="18"/>
                <w:color w:val="auto"/>
              </w:rPr>
            </w:pPr>
          </w:p>
        </w:tc>
        <w:tc>
          <w:tcPr>
            <w:tcW w:w="180" w:type="dxa"/>
            <w:vAlign w:val="bottom"/>
            <w:tcBorders>
              <w:top w:val="single" w:sz="8" w:color="auto"/>
            </w:tcBorders>
          </w:tcPr>
          <w:p>
            <w:pPr>
              <w:jc w:val="right"/>
              <w:ind w:right="23"/>
              <w:spacing w:after="0"/>
              <w:rPr>
                <w:sz w:val="20"/>
                <w:szCs w:val="20"/>
                <w:color w:val="auto"/>
              </w:rPr>
            </w:pPr>
            <w:r>
              <w:rPr>
                <w:rFonts w:ascii="Arial" w:cs="Arial" w:eastAsia="Arial" w:hAnsi="Arial"/>
                <w:sz w:val="15"/>
                <w:szCs w:val="15"/>
                <w:color w:val="auto"/>
                <w:w w:val="71"/>
              </w:rPr>
              <w:t>$</w:t>
            </w:r>
          </w:p>
        </w:tc>
        <w:tc>
          <w:tcPr>
            <w:tcW w:w="1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3,558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900" w:type="dxa"/>
            <w:vAlign w:val="bottom"/>
            <w:gridSpan w:val="2"/>
          </w:tcPr>
          <w:p>
            <w:pPr>
              <w:spacing w:after="0"/>
              <w:rPr>
                <w:sz w:val="20"/>
                <w:szCs w:val="20"/>
                <w:color w:val="auto"/>
              </w:rPr>
            </w:pPr>
          </w:p>
        </w:tc>
        <w:tc>
          <w:tcPr>
            <w:tcW w:w="4200" w:type="dxa"/>
            <w:vAlign w:val="bottom"/>
          </w:tcPr>
          <w:p>
            <w:pPr>
              <w:spacing w:after="0"/>
              <w:rPr>
                <w:sz w:val="20"/>
                <w:szCs w:val="20"/>
                <w:color w:val="auto"/>
              </w:rPr>
            </w:pPr>
          </w:p>
        </w:tc>
        <w:tc>
          <w:tcPr>
            <w:tcW w:w="1540" w:type="dxa"/>
            <w:vAlign w:val="bottom"/>
            <w:tcBorders>
              <w:bottom w:val="single" w:sz="8" w:color="auto"/>
            </w:tcBorders>
            <w:gridSpan w:val="2"/>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900" w:type="dxa"/>
            <w:vAlign w:val="bottom"/>
            <w:gridSpan w:val="2"/>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restart"/>
          </w:tcPr>
          <w:p>
            <w:pPr>
              <w:spacing w:after="0"/>
              <w:rPr>
                <w:sz w:val="11"/>
                <w:szCs w:val="11"/>
                <w:color w:val="auto"/>
              </w:rPr>
            </w:pPr>
          </w:p>
        </w:tc>
        <w:tc>
          <w:tcPr>
            <w:tcW w:w="2880" w:type="dxa"/>
            <w:vAlign w:val="bottom"/>
          </w:tcPr>
          <w:p>
            <w:pPr>
              <w:spacing w:after="0"/>
              <w:rPr>
                <w:sz w:val="11"/>
                <w:szCs w:val="11"/>
                <w:color w:val="auto"/>
              </w:rPr>
            </w:pPr>
          </w:p>
        </w:tc>
        <w:tc>
          <w:tcPr>
            <w:tcW w:w="4200" w:type="dxa"/>
            <w:vAlign w:val="bottom"/>
          </w:tcPr>
          <w:p>
            <w:pPr>
              <w:spacing w:after="0"/>
              <w:rPr>
                <w:sz w:val="11"/>
                <w:szCs w:val="11"/>
                <w:color w:val="auto"/>
              </w:rPr>
            </w:pPr>
          </w:p>
        </w:tc>
        <w:tc>
          <w:tcPr>
            <w:tcW w:w="1540" w:type="dxa"/>
            <w:vAlign w:val="bottom"/>
            <w:gridSpan w:val="2"/>
          </w:tcPr>
          <w:p>
            <w:pPr>
              <w:spacing w:after="0"/>
              <w:rPr>
                <w:sz w:val="11"/>
                <w:szCs w:val="11"/>
                <w:color w:val="auto"/>
              </w:rPr>
            </w:pPr>
          </w:p>
        </w:tc>
        <w:tc>
          <w:tcPr>
            <w:tcW w:w="400" w:type="dxa"/>
            <w:vAlign w:val="bottom"/>
          </w:tcPr>
          <w:p>
            <w:pPr>
              <w:spacing w:after="0"/>
              <w:rPr>
                <w:sz w:val="11"/>
                <w:szCs w:val="11"/>
                <w:color w:val="auto"/>
              </w:rPr>
            </w:pPr>
          </w:p>
        </w:tc>
        <w:tc>
          <w:tcPr>
            <w:tcW w:w="520" w:type="dxa"/>
            <w:vAlign w:val="bottom"/>
            <w:gridSpan w:val="2"/>
          </w:tcPr>
          <w:p>
            <w:pPr>
              <w:spacing w:after="0"/>
              <w:rPr>
                <w:sz w:val="11"/>
                <w:szCs w:val="11"/>
                <w:color w:val="auto"/>
              </w:rPr>
            </w:pPr>
          </w:p>
        </w:tc>
        <w:tc>
          <w:tcPr>
            <w:tcW w:w="186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8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Total liabilities</w:t>
            </w:r>
          </w:p>
        </w:tc>
        <w:tc>
          <w:tcPr>
            <w:tcW w:w="1540" w:type="dxa"/>
            <w:vAlign w:val="bottom"/>
            <w:gridSpan w:val="2"/>
            <w:shd w:val="clear" w:color="auto" w:fill="EAF9E8"/>
          </w:tcPr>
          <w:p>
            <w:pPr>
              <w:jc w:val="right"/>
              <w:ind w:right="1398"/>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EAF9E8"/>
          </w:tcPr>
          <w:p>
            <w:pPr>
              <w:jc w:val="right"/>
              <w:spacing w:after="0"/>
              <w:rPr>
                <w:sz w:val="20"/>
                <w:szCs w:val="20"/>
                <w:color w:val="auto"/>
              </w:rPr>
            </w:pPr>
            <w:r>
              <w:rPr>
                <w:rFonts w:ascii="Arial" w:cs="Arial" w:eastAsia="Arial" w:hAnsi="Arial"/>
                <w:sz w:val="18"/>
                <w:szCs w:val="18"/>
                <w:color w:val="auto"/>
                <w:w w:val="84"/>
              </w:rPr>
              <w:t>1,898</w:t>
            </w:r>
          </w:p>
        </w:tc>
        <w:tc>
          <w:tcPr>
            <w:tcW w:w="520" w:type="dxa"/>
            <w:vAlign w:val="bottom"/>
            <w:gridSpan w:val="2"/>
            <w:shd w:val="clear" w:color="auto" w:fill="EAF9E8"/>
          </w:tcPr>
          <w:p>
            <w:pPr>
              <w:jc w:val="right"/>
              <w:ind w:right="23"/>
              <w:spacing w:after="0"/>
              <w:rPr>
                <w:sz w:val="20"/>
                <w:szCs w:val="20"/>
                <w:color w:val="auto"/>
              </w:rPr>
            </w:pPr>
            <w:r>
              <w:rPr>
                <w:rFonts w:ascii="Arial" w:cs="Arial" w:eastAsia="Arial" w:hAnsi="Arial"/>
                <w:sz w:val="18"/>
                <w:szCs w:val="18"/>
                <w:color w:val="auto"/>
              </w:rPr>
              <w:t>$</w:t>
            </w:r>
          </w:p>
        </w:tc>
        <w:tc>
          <w:tcPr>
            <w:tcW w:w="186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2,442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880" w:type="dxa"/>
            <w:vAlign w:val="bottom"/>
          </w:tcPr>
          <w:p>
            <w:pPr>
              <w:spacing w:after="0"/>
              <w:rPr>
                <w:sz w:val="21"/>
                <w:szCs w:val="21"/>
                <w:color w:val="auto"/>
              </w:rPr>
            </w:pPr>
          </w:p>
        </w:tc>
        <w:tc>
          <w:tcPr>
            <w:tcW w:w="4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52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34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7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jc w:val="both"/>
        <w:ind w:firstLine="562"/>
        <w:spacing w:after="0" w:line="268" w:lineRule="auto"/>
        <w:rPr>
          <w:sz w:val="20"/>
          <w:szCs w:val="20"/>
          <w:color w:val="auto"/>
        </w:rPr>
      </w:pPr>
      <w:r>
        <w:rPr>
          <w:rFonts w:ascii="Arial" w:cs="Arial" w:eastAsia="Arial" w:hAnsi="Arial"/>
          <w:sz w:val="18"/>
          <w:szCs w:val="18"/>
          <w:i w:val="1"/>
          <w:iCs w:val="1"/>
          <w:color w:val="auto"/>
        </w:rPr>
        <w:t xml:space="preserve">Receivables. </w:t>
      </w:r>
      <w:r>
        <w:rPr>
          <w:rFonts w:ascii="Arial" w:cs="Arial" w:eastAsia="Arial" w:hAnsi="Arial"/>
          <w:sz w:val="18"/>
          <w:szCs w:val="18"/>
          <w:color w:val="auto"/>
        </w:rPr>
        <w:t>Receivables increased by $1,022 largely due to revenue growth in our new business, some of which have longer payment cycles than our</w:t>
      </w:r>
      <w:r>
        <w:rPr>
          <w:rFonts w:ascii="Arial" w:cs="Arial" w:eastAsia="Arial" w:hAnsi="Arial"/>
          <w:sz w:val="18"/>
          <w:szCs w:val="18"/>
          <w:i w:val="1"/>
          <w:iCs w:val="1"/>
          <w:color w:val="auto"/>
        </w:rPr>
        <w:t xml:space="preserve"> </w:t>
      </w:r>
      <w:r>
        <w:rPr>
          <w:rFonts w:ascii="Arial" w:cs="Arial" w:eastAsia="Arial" w:hAnsi="Arial"/>
          <w:sz w:val="18"/>
          <w:szCs w:val="18"/>
          <w:color w:val="auto"/>
        </w:rPr>
        <w:t>existing operations.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80" w:type="dxa"/>
            <w:vAlign w:val="bottom"/>
            <w:gridSpan w:val="2"/>
          </w:tcPr>
          <w:p>
            <w:pPr>
              <w:spacing w:after="0"/>
              <w:rPr>
                <w:sz w:val="20"/>
                <w:szCs w:val="20"/>
                <w:color w:val="auto"/>
              </w:rPr>
            </w:pPr>
            <w:r>
              <w:rPr>
                <w:rFonts w:ascii="Arial" w:cs="Arial" w:eastAsia="Arial" w:hAnsi="Arial"/>
                <w:sz w:val="18"/>
                <w:szCs w:val="18"/>
                <w:color w:val="auto"/>
                <w:w w:val="93"/>
              </w:rPr>
              <w:t>Comparative selected operations data for the three months ended March 31 is as follows:</w:t>
            </w:r>
          </w:p>
        </w:tc>
        <w:tc>
          <w:tcPr>
            <w:tcW w:w="4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4"/>
        </w:trPr>
        <w:tc>
          <w:tcPr>
            <w:tcW w:w="6200" w:type="dxa"/>
            <w:vAlign w:val="bottom"/>
            <w:tcBorders>
              <w:top w:val="single" w:sz="8" w:color="auto"/>
            </w:tcBorders>
          </w:tcPr>
          <w:p>
            <w:pPr>
              <w:spacing w:after="0"/>
              <w:rPr>
                <w:sz w:val="24"/>
                <w:szCs w:val="24"/>
                <w:color w:val="auto"/>
              </w:rPr>
            </w:pPr>
          </w:p>
        </w:tc>
        <w:tc>
          <w:tcPr>
            <w:tcW w:w="480" w:type="dxa"/>
            <w:vAlign w:val="bottom"/>
          </w:tcPr>
          <w:p>
            <w:pPr>
              <w:spacing w:after="0"/>
              <w:rPr>
                <w:sz w:val="24"/>
                <w:szCs w:val="24"/>
                <w:color w:val="auto"/>
              </w:rPr>
            </w:pPr>
          </w:p>
        </w:tc>
        <w:tc>
          <w:tcPr>
            <w:tcW w:w="1720" w:type="dxa"/>
            <w:vAlign w:val="bottom"/>
            <w:gridSpan w:val="2"/>
          </w:tcPr>
          <w:p>
            <w:pPr>
              <w:jc w:val="right"/>
              <w:ind w:right="83"/>
              <w:spacing w:after="0"/>
              <w:rPr>
                <w:sz w:val="20"/>
                <w:szCs w:val="20"/>
                <w:color w:val="auto"/>
              </w:rPr>
            </w:pPr>
            <w:r>
              <w:rPr>
                <w:rFonts w:ascii="Arial" w:cs="Arial" w:eastAsia="Arial" w:hAnsi="Arial"/>
                <w:sz w:val="18"/>
                <w:szCs w:val="18"/>
                <w:color w:val="auto"/>
              </w:rPr>
              <w:t>2009</w:t>
            </w: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500" w:type="dxa"/>
            <w:vAlign w:val="bottom"/>
          </w:tcPr>
          <w:p>
            <w:pPr>
              <w:jc w:val="right"/>
              <w:ind w:right="712"/>
              <w:spacing w:after="0"/>
              <w:rPr>
                <w:sz w:val="20"/>
                <w:szCs w:val="20"/>
                <w:color w:val="auto"/>
              </w:rPr>
            </w:pPr>
            <w:r>
              <w:rPr>
                <w:rFonts w:ascii="Arial" w:cs="Arial" w:eastAsia="Arial" w:hAnsi="Arial"/>
                <w:sz w:val="18"/>
                <w:szCs w:val="18"/>
                <w:color w:val="auto"/>
              </w:rPr>
              <w:t>2008</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62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0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340" w:type="dxa"/>
            <w:vAlign w:val="bottom"/>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668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Revenue:</w:t>
            </w:r>
          </w:p>
        </w:tc>
        <w:tc>
          <w:tcPr>
            <w:tcW w:w="420" w:type="dxa"/>
            <w:vAlign w:val="bottom"/>
            <w:shd w:val="clear" w:color="auto" w:fill="EAF9E8"/>
          </w:tcPr>
          <w:p>
            <w:pPr>
              <w:spacing w:after="0"/>
              <w:rPr>
                <w:sz w:val="18"/>
                <w:szCs w:val="18"/>
                <w:color w:val="auto"/>
              </w:rPr>
            </w:pPr>
          </w:p>
        </w:tc>
        <w:tc>
          <w:tcPr>
            <w:tcW w:w="1300" w:type="dxa"/>
            <w:vAlign w:val="bottom"/>
            <w:shd w:val="clear" w:color="auto" w:fill="EAF9E8"/>
          </w:tcPr>
          <w:p>
            <w:pPr>
              <w:spacing w:after="0"/>
              <w:rPr>
                <w:sz w:val="18"/>
                <w:szCs w:val="18"/>
                <w:color w:val="auto"/>
              </w:rPr>
            </w:pPr>
          </w:p>
        </w:tc>
        <w:tc>
          <w:tcPr>
            <w:tcW w:w="64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440" w:type="dxa"/>
            <w:vAlign w:val="bottom"/>
            <w:shd w:val="clear" w:color="auto" w:fill="EAF9E8"/>
          </w:tcPr>
          <w:p>
            <w:pPr>
              <w:spacing w:after="0"/>
              <w:rPr>
                <w:sz w:val="18"/>
                <w:szCs w:val="18"/>
                <w:color w:val="auto"/>
              </w:rPr>
            </w:pPr>
          </w:p>
        </w:tc>
        <w:tc>
          <w:tcPr>
            <w:tcW w:w="150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gridSpan w:val="2"/>
          </w:tcPr>
          <w:p>
            <w:pPr>
              <w:ind w:left="160"/>
              <w:spacing w:after="0"/>
              <w:rPr>
                <w:sz w:val="20"/>
                <w:szCs w:val="20"/>
                <w:color w:val="auto"/>
              </w:rPr>
            </w:pPr>
            <w:r>
              <w:rPr>
                <w:rFonts w:ascii="Arial" w:cs="Arial" w:eastAsia="Arial" w:hAnsi="Arial"/>
                <w:sz w:val="18"/>
                <w:szCs w:val="18"/>
                <w:color w:val="auto"/>
              </w:rPr>
              <w:t>Servicing and subservicing fees</w:t>
            </w:r>
          </w:p>
        </w:tc>
        <w:tc>
          <w:tcPr>
            <w:tcW w:w="1720" w:type="dxa"/>
            <w:vAlign w:val="bottom"/>
            <w:gridSpan w:val="2"/>
          </w:tcPr>
          <w:p>
            <w:pPr>
              <w:jc w:val="right"/>
              <w:ind w:right="1143"/>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321</w:t>
            </w:r>
          </w:p>
        </w:tc>
        <w:tc>
          <w:tcPr>
            <w:tcW w:w="780" w:type="dxa"/>
            <w:vAlign w:val="bottom"/>
            <w:gridSpan w:val="2"/>
          </w:tcPr>
          <w:p>
            <w:pPr>
              <w:jc w:val="right"/>
              <w:ind w:right="283"/>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1,473</w:t>
            </w:r>
          </w:p>
        </w:tc>
        <w:tc>
          <w:tcPr>
            <w:tcW w:w="0" w:type="dxa"/>
            <w:vAlign w:val="bottom"/>
          </w:tcPr>
          <w:p>
            <w:pPr>
              <w:spacing w:after="0"/>
              <w:rPr>
                <w:sz w:val="1"/>
                <w:szCs w:val="1"/>
                <w:color w:val="auto"/>
              </w:rPr>
            </w:pPr>
          </w:p>
        </w:tc>
      </w:tr>
      <w:tr>
        <w:trPr>
          <w:trHeight w:val="216"/>
        </w:trPr>
        <w:tc>
          <w:tcPr>
            <w:tcW w:w="6680" w:type="dxa"/>
            <w:vAlign w:val="bottom"/>
            <w:gridSpan w:val="2"/>
            <w:shd w:val="clear" w:color="auto" w:fill="EAF9E8"/>
          </w:tcPr>
          <w:p>
            <w:pPr>
              <w:ind w:left="160"/>
              <w:spacing w:after="0"/>
              <w:rPr>
                <w:sz w:val="20"/>
                <w:szCs w:val="20"/>
                <w:color w:val="auto"/>
              </w:rPr>
            </w:pPr>
            <w:r>
              <w:rPr>
                <w:rFonts w:ascii="Arial" w:cs="Arial" w:eastAsia="Arial" w:hAnsi="Arial"/>
                <w:sz w:val="18"/>
                <w:szCs w:val="18"/>
                <w:color w:val="auto"/>
              </w:rPr>
              <w:t>Process management fees</w:t>
            </w:r>
          </w:p>
        </w:tc>
        <w:tc>
          <w:tcPr>
            <w:tcW w:w="420" w:type="dxa"/>
            <w:vAlign w:val="bottom"/>
            <w:shd w:val="clear" w:color="auto" w:fill="EAF9E8"/>
          </w:tcPr>
          <w:p>
            <w:pPr>
              <w:spacing w:after="0"/>
              <w:rPr>
                <w:sz w:val="18"/>
                <w:szCs w:val="18"/>
                <w:color w:val="auto"/>
              </w:rPr>
            </w:pPr>
          </w:p>
        </w:tc>
        <w:tc>
          <w:tcPr>
            <w:tcW w:w="1300" w:type="dxa"/>
            <w:vAlign w:val="bottom"/>
            <w:shd w:val="clear" w:color="auto" w:fill="EAF9E8"/>
          </w:tcPr>
          <w:p>
            <w:pPr>
              <w:spacing w:after="0"/>
              <w:rPr>
                <w:sz w:val="18"/>
                <w:szCs w:val="18"/>
                <w:color w:val="auto"/>
              </w:rPr>
            </w:pPr>
          </w:p>
        </w:tc>
        <w:tc>
          <w:tcPr>
            <w:tcW w:w="6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17,654</w:t>
            </w:r>
          </w:p>
        </w:tc>
        <w:tc>
          <w:tcPr>
            <w:tcW w:w="340" w:type="dxa"/>
            <w:vAlign w:val="bottom"/>
            <w:shd w:val="clear" w:color="auto" w:fill="EAF9E8"/>
          </w:tcPr>
          <w:p>
            <w:pPr>
              <w:spacing w:after="0"/>
              <w:rPr>
                <w:sz w:val="18"/>
                <w:szCs w:val="18"/>
                <w:color w:val="auto"/>
              </w:rPr>
            </w:pPr>
          </w:p>
        </w:tc>
        <w:tc>
          <w:tcPr>
            <w:tcW w:w="440" w:type="dxa"/>
            <w:vAlign w:val="bottom"/>
            <w:shd w:val="clear" w:color="auto" w:fill="EAF9E8"/>
          </w:tcPr>
          <w:p>
            <w:pPr>
              <w:spacing w:after="0"/>
              <w:rPr>
                <w:sz w:val="18"/>
                <w:szCs w:val="18"/>
                <w:color w:val="auto"/>
              </w:rPr>
            </w:pPr>
          </w:p>
        </w:tc>
        <w:tc>
          <w:tcPr>
            <w:tcW w:w="160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15,151</w:t>
            </w:r>
          </w:p>
        </w:tc>
        <w:tc>
          <w:tcPr>
            <w:tcW w:w="0" w:type="dxa"/>
            <w:vAlign w:val="bottom"/>
          </w:tcPr>
          <w:p>
            <w:pPr>
              <w:spacing w:after="0"/>
              <w:rPr>
                <w:sz w:val="1"/>
                <w:szCs w:val="1"/>
                <w:color w:val="auto"/>
              </w:rPr>
            </w:pPr>
          </w:p>
        </w:tc>
      </w:tr>
      <w:tr>
        <w:trPr>
          <w:trHeight w:val="222"/>
        </w:trPr>
        <w:tc>
          <w:tcPr>
            <w:tcW w:w="6680" w:type="dxa"/>
            <w:vAlign w:val="bottom"/>
            <w:gridSpan w:val="2"/>
          </w:tcPr>
          <w:p>
            <w:pPr>
              <w:ind w:left="160"/>
              <w:spacing w:after="0"/>
              <w:rPr>
                <w:sz w:val="20"/>
                <w:szCs w:val="20"/>
                <w:color w:val="auto"/>
              </w:rPr>
            </w:pPr>
            <w:r>
              <w:rPr>
                <w:rFonts w:ascii="Arial" w:cs="Arial" w:eastAsia="Arial" w:hAnsi="Arial"/>
                <w:sz w:val="18"/>
                <w:szCs w:val="18"/>
                <w:color w:val="auto"/>
              </w:rPr>
              <w:t>Other</w:t>
            </w:r>
          </w:p>
        </w:tc>
        <w:tc>
          <w:tcPr>
            <w:tcW w:w="4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42</w:t>
            </w:r>
          </w:p>
        </w:tc>
        <w:tc>
          <w:tcPr>
            <w:tcW w:w="3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37"/>
        </w:trPr>
        <w:tc>
          <w:tcPr>
            <w:tcW w:w="62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680" w:type="dxa"/>
            <w:vAlign w:val="bottom"/>
            <w:gridSpan w:val="2"/>
            <w:shd w:val="clear" w:color="auto" w:fill="EAF9E8"/>
          </w:tcPr>
          <w:p>
            <w:pPr>
              <w:ind w:left="320"/>
              <w:spacing w:after="0"/>
              <w:rPr>
                <w:sz w:val="20"/>
                <w:szCs w:val="20"/>
                <w:color w:val="auto"/>
              </w:rPr>
            </w:pPr>
            <w:r>
              <w:rPr>
                <w:rFonts w:ascii="Arial" w:cs="Arial" w:eastAsia="Arial" w:hAnsi="Arial"/>
                <w:sz w:val="18"/>
                <w:szCs w:val="18"/>
                <w:color w:val="auto"/>
              </w:rPr>
              <w:t>Total revenue</w:t>
            </w:r>
          </w:p>
        </w:tc>
        <w:tc>
          <w:tcPr>
            <w:tcW w:w="420" w:type="dxa"/>
            <w:vAlign w:val="bottom"/>
            <w:shd w:val="clear" w:color="auto" w:fill="EAF9E8"/>
          </w:tcPr>
          <w:p>
            <w:pPr>
              <w:spacing w:after="0"/>
              <w:rPr>
                <w:sz w:val="18"/>
                <w:szCs w:val="18"/>
                <w:color w:val="auto"/>
              </w:rPr>
            </w:pPr>
          </w:p>
        </w:tc>
        <w:tc>
          <w:tcPr>
            <w:tcW w:w="1300" w:type="dxa"/>
            <w:vAlign w:val="bottom"/>
            <w:tcBorders>
              <w:top w:val="single" w:sz="8" w:color="auto"/>
            </w:tcBorders>
            <w:shd w:val="clear" w:color="auto" w:fill="EAF9E8"/>
          </w:tcPr>
          <w:p>
            <w:pPr>
              <w:spacing w:after="0"/>
              <w:rPr>
                <w:sz w:val="18"/>
                <w:szCs w:val="18"/>
                <w:color w:val="auto"/>
              </w:rPr>
            </w:pPr>
          </w:p>
        </w:tc>
        <w:tc>
          <w:tcPr>
            <w:tcW w:w="64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18,017</w:t>
            </w:r>
          </w:p>
        </w:tc>
        <w:tc>
          <w:tcPr>
            <w:tcW w:w="340" w:type="dxa"/>
            <w:vAlign w:val="bottom"/>
            <w:shd w:val="clear" w:color="auto" w:fill="EAF9E8"/>
          </w:tcPr>
          <w:p>
            <w:pPr>
              <w:spacing w:after="0"/>
              <w:rPr>
                <w:sz w:val="18"/>
                <w:szCs w:val="18"/>
                <w:color w:val="auto"/>
              </w:rPr>
            </w:pPr>
          </w:p>
        </w:tc>
        <w:tc>
          <w:tcPr>
            <w:tcW w:w="440" w:type="dxa"/>
            <w:vAlign w:val="bottom"/>
            <w:tcBorders>
              <w:top w:val="single" w:sz="8" w:color="auto"/>
            </w:tcBorders>
            <w:shd w:val="clear" w:color="auto" w:fill="EAF9E8"/>
          </w:tcPr>
          <w:p>
            <w:pPr>
              <w:spacing w:after="0"/>
              <w:rPr>
                <w:sz w:val="18"/>
                <w:szCs w:val="18"/>
                <w:color w:val="auto"/>
              </w:rPr>
            </w:pPr>
          </w:p>
        </w:tc>
        <w:tc>
          <w:tcPr>
            <w:tcW w:w="150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16,755</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6680" w:type="dxa"/>
            <w:vAlign w:val="bottom"/>
            <w:gridSpan w:val="2"/>
            <w:vMerge w:val="restart"/>
          </w:tcPr>
          <w:p>
            <w:pPr>
              <w:spacing w:after="0"/>
              <w:rPr>
                <w:sz w:val="20"/>
                <w:szCs w:val="20"/>
                <w:color w:val="auto"/>
              </w:rPr>
            </w:pPr>
            <w:r>
              <w:rPr>
                <w:rFonts w:ascii="Arial" w:cs="Arial" w:eastAsia="Arial" w:hAnsi="Arial"/>
                <w:sz w:val="18"/>
                <w:szCs w:val="18"/>
                <w:color w:val="auto"/>
              </w:rPr>
              <w:t>Operating expenses:</w:t>
            </w:r>
          </w:p>
        </w:tc>
        <w:tc>
          <w:tcPr>
            <w:tcW w:w="420" w:type="dxa"/>
            <w:vAlign w:val="bottom"/>
          </w:tcPr>
          <w:p>
            <w:pPr>
              <w:spacing w:after="0"/>
              <w:rPr>
                <w:sz w:val="21"/>
                <w:szCs w:val="21"/>
                <w:color w:val="auto"/>
              </w:rPr>
            </w:pPr>
          </w:p>
        </w:tc>
        <w:tc>
          <w:tcPr>
            <w:tcW w:w="130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340" w:type="dxa"/>
            <w:vAlign w:val="bottom"/>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6680" w:type="dxa"/>
            <w:vAlign w:val="bottom"/>
            <w:gridSpan w:val="2"/>
            <w:vMerge w:val="continue"/>
          </w:tcPr>
          <w:p>
            <w:pPr>
              <w:spacing w:after="0"/>
              <w:rPr>
                <w:sz w:val="18"/>
                <w:szCs w:val="18"/>
                <w:color w:val="auto"/>
              </w:rPr>
            </w:pPr>
          </w:p>
        </w:tc>
        <w:tc>
          <w:tcPr>
            <w:tcW w:w="4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680" w:type="dxa"/>
            <w:vAlign w:val="bottom"/>
            <w:gridSpan w:val="2"/>
            <w:shd w:val="clear" w:color="auto" w:fill="EAF9E8"/>
          </w:tcPr>
          <w:p>
            <w:pPr>
              <w:ind w:left="160"/>
              <w:spacing w:after="0"/>
              <w:rPr>
                <w:sz w:val="20"/>
                <w:szCs w:val="20"/>
                <w:color w:val="auto"/>
              </w:rPr>
            </w:pPr>
            <w:r>
              <w:rPr>
                <w:rFonts w:ascii="Arial" w:cs="Arial" w:eastAsia="Arial" w:hAnsi="Arial"/>
                <w:sz w:val="18"/>
                <w:szCs w:val="18"/>
                <w:color w:val="auto"/>
              </w:rPr>
              <w:t>Compensation and benefits</w:t>
            </w:r>
          </w:p>
        </w:tc>
        <w:tc>
          <w:tcPr>
            <w:tcW w:w="420" w:type="dxa"/>
            <w:vAlign w:val="bottom"/>
            <w:shd w:val="clear" w:color="auto" w:fill="EAF9E8"/>
          </w:tcPr>
          <w:p>
            <w:pPr>
              <w:spacing w:after="0"/>
              <w:rPr>
                <w:sz w:val="18"/>
                <w:szCs w:val="18"/>
                <w:color w:val="auto"/>
              </w:rPr>
            </w:pPr>
          </w:p>
        </w:tc>
        <w:tc>
          <w:tcPr>
            <w:tcW w:w="1300" w:type="dxa"/>
            <w:vAlign w:val="bottom"/>
            <w:shd w:val="clear" w:color="auto" w:fill="EAF9E8"/>
          </w:tcPr>
          <w:p>
            <w:pPr>
              <w:spacing w:after="0"/>
              <w:rPr>
                <w:sz w:val="18"/>
                <w:szCs w:val="18"/>
                <w:color w:val="auto"/>
              </w:rPr>
            </w:pPr>
          </w:p>
        </w:tc>
        <w:tc>
          <w:tcPr>
            <w:tcW w:w="6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2,799</w:t>
            </w:r>
          </w:p>
        </w:tc>
        <w:tc>
          <w:tcPr>
            <w:tcW w:w="340" w:type="dxa"/>
            <w:vAlign w:val="bottom"/>
            <w:shd w:val="clear" w:color="auto" w:fill="EAF9E8"/>
          </w:tcPr>
          <w:p>
            <w:pPr>
              <w:spacing w:after="0"/>
              <w:rPr>
                <w:sz w:val="18"/>
                <w:szCs w:val="18"/>
                <w:color w:val="auto"/>
              </w:rPr>
            </w:pPr>
          </w:p>
        </w:tc>
        <w:tc>
          <w:tcPr>
            <w:tcW w:w="440" w:type="dxa"/>
            <w:vAlign w:val="bottom"/>
            <w:shd w:val="clear" w:color="auto" w:fill="EAF9E8"/>
          </w:tcPr>
          <w:p>
            <w:pPr>
              <w:spacing w:after="0"/>
              <w:rPr>
                <w:sz w:val="18"/>
                <w:szCs w:val="18"/>
                <w:color w:val="auto"/>
              </w:rPr>
            </w:pPr>
          </w:p>
        </w:tc>
        <w:tc>
          <w:tcPr>
            <w:tcW w:w="160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2,972</w:t>
            </w:r>
          </w:p>
        </w:tc>
        <w:tc>
          <w:tcPr>
            <w:tcW w:w="0" w:type="dxa"/>
            <w:vAlign w:val="bottom"/>
          </w:tcPr>
          <w:p>
            <w:pPr>
              <w:spacing w:after="0"/>
              <w:rPr>
                <w:sz w:val="1"/>
                <w:szCs w:val="1"/>
                <w:color w:val="auto"/>
              </w:rPr>
            </w:pPr>
          </w:p>
        </w:tc>
      </w:tr>
      <w:tr>
        <w:trPr>
          <w:trHeight w:val="216"/>
        </w:trPr>
        <w:tc>
          <w:tcPr>
            <w:tcW w:w="6680" w:type="dxa"/>
            <w:vAlign w:val="bottom"/>
            <w:gridSpan w:val="2"/>
          </w:tcPr>
          <w:p>
            <w:pPr>
              <w:ind w:left="160"/>
              <w:spacing w:after="0"/>
              <w:rPr>
                <w:sz w:val="20"/>
                <w:szCs w:val="20"/>
                <w:color w:val="auto"/>
              </w:rPr>
            </w:pPr>
            <w:r>
              <w:rPr>
                <w:rFonts w:ascii="Arial" w:cs="Arial" w:eastAsia="Arial" w:hAnsi="Arial"/>
                <w:sz w:val="18"/>
                <w:szCs w:val="18"/>
                <w:color w:val="auto"/>
              </w:rPr>
              <w:t>Amortization of servicing rights</w:t>
            </w:r>
          </w:p>
        </w:tc>
        <w:tc>
          <w:tcPr>
            <w:tcW w:w="4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16"/>
        </w:trPr>
        <w:tc>
          <w:tcPr>
            <w:tcW w:w="6680" w:type="dxa"/>
            <w:vAlign w:val="bottom"/>
            <w:gridSpan w:val="2"/>
            <w:shd w:val="clear" w:color="auto" w:fill="EAF9E8"/>
          </w:tcPr>
          <w:p>
            <w:pPr>
              <w:ind w:left="160"/>
              <w:spacing w:after="0"/>
              <w:rPr>
                <w:sz w:val="20"/>
                <w:szCs w:val="20"/>
                <w:color w:val="auto"/>
              </w:rPr>
            </w:pPr>
            <w:r>
              <w:rPr>
                <w:rFonts w:ascii="Arial" w:cs="Arial" w:eastAsia="Arial" w:hAnsi="Arial"/>
                <w:sz w:val="18"/>
                <w:szCs w:val="18"/>
                <w:color w:val="auto"/>
              </w:rPr>
              <w:t>Servicing and origination</w:t>
            </w:r>
          </w:p>
        </w:tc>
        <w:tc>
          <w:tcPr>
            <w:tcW w:w="420" w:type="dxa"/>
            <w:vAlign w:val="bottom"/>
            <w:shd w:val="clear" w:color="auto" w:fill="EAF9E8"/>
          </w:tcPr>
          <w:p>
            <w:pPr>
              <w:spacing w:after="0"/>
              <w:rPr>
                <w:sz w:val="18"/>
                <w:szCs w:val="18"/>
                <w:color w:val="auto"/>
              </w:rPr>
            </w:pPr>
          </w:p>
        </w:tc>
        <w:tc>
          <w:tcPr>
            <w:tcW w:w="1300" w:type="dxa"/>
            <w:vAlign w:val="bottom"/>
            <w:shd w:val="clear" w:color="auto" w:fill="EAF9E8"/>
          </w:tcPr>
          <w:p>
            <w:pPr>
              <w:spacing w:after="0"/>
              <w:rPr>
                <w:sz w:val="18"/>
                <w:szCs w:val="18"/>
                <w:color w:val="auto"/>
              </w:rPr>
            </w:pPr>
          </w:p>
        </w:tc>
        <w:tc>
          <w:tcPr>
            <w:tcW w:w="6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7,252</w:t>
            </w:r>
          </w:p>
        </w:tc>
        <w:tc>
          <w:tcPr>
            <w:tcW w:w="340" w:type="dxa"/>
            <w:vAlign w:val="bottom"/>
            <w:shd w:val="clear" w:color="auto" w:fill="EAF9E8"/>
          </w:tcPr>
          <w:p>
            <w:pPr>
              <w:spacing w:after="0"/>
              <w:rPr>
                <w:sz w:val="18"/>
                <w:szCs w:val="18"/>
                <w:color w:val="auto"/>
              </w:rPr>
            </w:pPr>
          </w:p>
        </w:tc>
        <w:tc>
          <w:tcPr>
            <w:tcW w:w="440" w:type="dxa"/>
            <w:vAlign w:val="bottom"/>
            <w:shd w:val="clear" w:color="auto" w:fill="EAF9E8"/>
          </w:tcPr>
          <w:p>
            <w:pPr>
              <w:spacing w:after="0"/>
              <w:rPr>
                <w:sz w:val="18"/>
                <w:szCs w:val="18"/>
                <w:color w:val="auto"/>
              </w:rPr>
            </w:pPr>
          </w:p>
        </w:tc>
        <w:tc>
          <w:tcPr>
            <w:tcW w:w="160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7,485</w:t>
            </w:r>
          </w:p>
        </w:tc>
        <w:tc>
          <w:tcPr>
            <w:tcW w:w="0" w:type="dxa"/>
            <w:vAlign w:val="bottom"/>
          </w:tcPr>
          <w:p>
            <w:pPr>
              <w:spacing w:after="0"/>
              <w:rPr>
                <w:sz w:val="1"/>
                <w:szCs w:val="1"/>
                <w:color w:val="auto"/>
              </w:rPr>
            </w:pPr>
          </w:p>
        </w:tc>
      </w:tr>
      <w:tr>
        <w:trPr>
          <w:trHeight w:val="216"/>
        </w:trPr>
        <w:tc>
          <w:tcPr>
            <w:tcW w:w="6680" w:type="dxa"/>
            <w:vAlign w:val="bottom"/>
            <w:gridSpan w:val="2"/>
          </w:tcPr>
          <w:p>
            <w:pPr>
              <w:ind w:left="160"/>
              <w:spacing w:after="0"/>
              <w:rPr>
                <w:sz w:val="20"/>
                <w:szCs w:val="20"/>
                <w:color w:val="auto"/>
              </w:rPr>
            </w:pPr>
            <w:r>
              <w:rPr>
                <w:rFonts w:ascii="Arial" w:cs="Arial" w:eastAsia="Arial" w:hAnsi="Arial"/>
                <w:sz w:val="18"/>
                <w:szCs w:val="18"/>
                <w:color w:val="auto"/>
              </w:rPr>
              <w:t>Technology and communication</w:t>
            </w:r>
          </w:p>
        </w:tc>
        <w:tc>
          <w:tcPr>
            <w:tcW w:w="4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914</w:t>
            </w: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914</w:t>
            </w:r>
          </w:p>
        </w:tc>
        <w:tc>
          <w:tcPr>
            <w:tcW w:w="0" w:type="dxa"/>
            <w:vAlign w:val="bottom"/>
          </w:tcPr>
          <w:p>
            <w:pPr>
              <w:spacing w:after="0"/>
              <w:rPr>
                <w:sz w:val="1"/>
                <w:szCs w:val="1"/>
                <w:color w:val="auto"/>
              </w:rPr>
            </w:pPr>
          </w:p>
        </w:tc>
      </w:tr>
      <w:tr>
        <w:trPr>
          <w:trHeight w:val="216"/>
        </w:trPr>
        <w:tc>
          <w:tcPr>
            <w:tcW w:w="6680" w:type="dxa"/>
            <w:vAlign w:val="bottom"/>
            <w:gridSpan w:val="2"/>
            <w:shd w:val="clear" w:color="auto" w:fill="EAF9E8"/>
          </w:tcPr>
          <w:p>
            <w:pPr>
              <w:ind w:left="160"/>
              <w:spacing w:after="0"/>
              <w:rPr>
                <w:sz w:val="20"/>
                <w:szCs w:val="20"/>
                <w:color w:val="auto"/>
              </w:rPr>
            </w:pPr>
            <w:r>
              <w:rPr>
                <w:rFonts w:ascii="Arial" w:cs="Arial" w:eastAsia="Arial" w:hAnsi="Arial"/>
                <w:sz w:val="18"/>
                <w:szCs w:val="18"/>
                <w:color w:val="auto"/>
              </w:rPr>
              <w:t>Other</w:t>
            </w:r>
          </w:p>
        </w:tc>
        <w:tc>
          <w:tcPr>
            <w:tcW w:w="420" w:type="dxa"/>
            <w:vAlign w:val="bottom"/>
            <w:shd w:val="clear" w:color="auto" w:fill="EAF9E8"/>
          </w:tcPr>
          <w:p>
            <w:pPr>
              <w:spacing w:after="0"/>
              <w:rPr>
                <w:sz w:val="18"/>
                <w:szCs w:val="18"/>
                <w:color w:val="auto"/>
              </w:rPr>
            </w:pPr>
          </w:p>
        </w:tc>
        <w:tc>
          <w:tcPr>
            <w:tcW w:w="1300" w:type="dxa"/>
            <w:vAlign w:val="bottom"/>
            <w:shd w:val="clear" w:color="auto" w:fill="EAF9E8"/>
          </w:tcPr>
          <w:p>
            <w:pPr>
              <w:spacing w:after="0"/>
              <w:rPr>
                <w:sz w:val="18"/>
                <w:szCs w:val="18"/>
                <w:color w:val="auto"/>
              </w:rPr>
            </w:pPr>
          </w:p>
        </w:tc>
        <w:tc>
          <w:tcPr>
            <w:tcW w:w="6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1,927</w:t>
            </w:r>
          </w:p>
        </w:tc>
        <w:tc>
          <w:tcPr>
            <w:tcW w:w="340" w:type="dxa"/>
            <w:vAlign w:val="bottom"/>
            <w:shd w:val="clear" w:color="auto" w:fill="EAF9E8"/>
          </w:tcPr>
          <w:p>
            <w:pPr>
              <w:spacing w:after="0"/>
              <w:rPr>
                <w:sz w:val="18"/>
                <w:szCs w:val="18"/>
                <w:color w:val="auto"/>
              </w:rPr>
            </w:pPr>
          </w:p>
        </w:tc>
        <w:tc>
          <w:tcPr>
            <w:tcW w:w="440" w:type="dxa"/>
            <w:vAlign w:val="bottom"/>
            <w:shd w:val="clear" w:color="auto" w:fill="EAF9E8"/>
          </w:tcPr>
          <w:p>
            <w:pPr>
              <w:spacing w:after="0"/>
              <w:rPr>
                <w:sz w:val="18"/>
                <w:szCs w:val="18"/>
                <w:color w:val="auto"/>
              </w:rPr>
            </w:pPr>
          </w:p>
        </w:tc>
        <w:tc>
          <w:tcPr>
            <w:tcW w:w="160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1,938</w:t>
            </w:r>
          </w:p>
        </w:tc>
        <w:tc>
          <w:tcPr>
            <w:tcW w:w="0" w:type="dxa"/>
            <w:vAlign w:val="bottom"/>
          </w:tcPr>
          <w:p>
            <w:pPr>
              <w:spacing w:after="0"/>
              <w:rPr>
                <w:sz w:val="1"/>
                <w:szCs w:val="1"/>
                <w:color w:val="auto"/>
              </w:rPr>
            </w:pPr>
          </w:p>
        </w:tc>
      </w:tr>
      <w:tr>
        <w:trPr>
          <w:trHeight w:val="243"/>
        </w:trPr>
        <w:tc>
          <w:tcPr>
            <w:tcW w:w="6680" w:type="dxa"/>
            <w:vAlign w:val="bottom"/>
            <w:gridSpan w:val="2"/>
            <w:vMerge w:val="restart"/>
          </w:tcPr>
          <w:p>
            <w:pPr>
              <w:ind w:left="320"/>
              <w:spacing w:after="0"/>
              <w:rPr>
                <w:sz w:val="20"/>
                <w:szCs w:val="20"/>
                <w:color w:val="auto"/>
              </w:rPr>
            </w:pPr>
            <w:r>
              <w:rPr>
                <w:rFonts w:ascii="Arial" w:cs="Arial" w:eastAsia="Arial" w:hAnsi="Arial"/>
                <w:sz w:val="18"/>
                <w:szCs w:val="18"/>
                <w:color w:val="auto"/>
              </w:rPr>
              <w:t>Total operating expenses</w:t>
            </w:r>
          </w:p>
        </w:tc>
        <w:tc>
          <w:tcPr>
            <w:tcW w:w="4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600" w:type="dxa"/>
            <w:vAlign w:val="bottom"/>
            <w:gridSpan w:val="2"/>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6680" w:type="dxa"/>
            <w:vAlign w:val="bottom"/>
            <w:gridSpan w:val="2"/>
            <w:vMerge w:val="continue"/>
          </w:tcPr>
          <w:p>
            <w:pPr>
              <w:spacing w:after="0"/>
              <w:rPr>
                <w:sz w:val="18"/>
                <w:szCs w:val="18"/>
                <w:color w:val="auto"/>
              </w:rPr>
            </w:pPr>
          </w:p>
        </w:tc>
        <w:tc>
          <w:tcPr>
            <w:tcW w:w="420" w:type="dxa"/>
            <w:vAlign w:val="bottom"/>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12,892</w:t>
            </w:r>
          </w:p>
        </w:tc>
        <w:tc>
          <w:tcPr>
            <w:tcW w:w="34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13,519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62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68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Income from operations</w:t>
            </w:r>
          </w:p>
        </w:tc>
        <w:tc>
          <w:tcPr>
            <w:tcW w:w="420" w:type="dxa"/>
            <w:vAlign w:val="bottom"/>
            <w:shd w:val="clear" w:color="auto" w:fill="EAF9E8"/>
          </w:tcPr>
          <w:p>
            <w:pPr>
              <w:spacing w:after="0"/>
              <w:rPr>
                <w:sz w:val="18"/>
                <w:szCs w:val="18"/>
                <w:color w:val="auto"/>
              </w:rPr>
            </w:pPr>
          </w:p>
        </w:tc>
        <w:tc>
          <w:tcPr>
            <w:tcW w:w="1300" w:type="dxa"/>
            <w:vAlign w:val="bottom"/>
            <w:tcBorders>
              <w:top w:val="single" w:sz="8" w:color="auto"/>
            </w:tcBorders>
            <w:shd w:val="clear" w:color="auto" w:fill="EAF9E8"/>
          </w:tcPr>
          <w:p>
            <w:pPr>
              <w:spacing w:after="0"/>
              <w:rPr>
                <w:sz w:val="18"/>
                <w:szCs w:val="18"/>
                <w:color w:val="auto"/>
              </w:rPr>
            </w:pPr>
          </w:p>
        </w:tc>
        <w:tc>
          <w:tcPr>
            <w:tcW w:w="64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5,125</w:t>
            </w:r>
          </w:p>
        </w:tc>
        <w:tc>
          <w:tcPr>
            <w:tcW w:w="340" w:type="dxa"/>
            <w:vAlign w:val="bottom"/>
            <w:shd w:val="clear" w:color="auto" w:fill="EAF9E8"/>
          </w:tcPr>
          <w:p>
            <w:pPr>
              <w:spacing w:after="0"/>
              <w:rPr>
                <w:sz w:val="18"/>
                <w:szCs w:val="18"/>
                <w:color w:val="auto"/>
              </w:rPr>
            </w:pPr>
          </w:p>
        </w:tc>
        <w:tc>
          <w:tcPr>
            <w:tcW w:w="440" w:type="dxa"/>
            <w:vAlign w:val="bottom"/>
            <w:tcBorders>
              <w:top w:val="single" w:sz="8" w:color="auto"/>
            </w:tcBorders>
            <w:shd w:val="clear" w:color="auto" w:fill="EAF9E8"/>
          </w:tcPr>
          <w:p>
            <w:pPr>
              <w:spacing w:after="0"/>
              <w:rPr>
                <w:sz w:val="18"/>
                <w:szCs w:val="18"/>
                <w:color w:val="auto"/>
              </w:rPr>
            </w:pPr>
          </w:p>
        </w:tc>
        <w:tc>
          <w:tcPr>
            <w:tcW w:w="150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3,236</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680" w:type="dxa"/>
            <w:vAlign w:val="bottom"/>
            <w:gridSpan w:val="2"/>
          </w:tcPr>
          <w:p>
            <w:pPr>
              <w:spacing w:after="0"/>
              <w:rPr>
                <w:sz w:val="20"/>
                <w:szCs w:val="20"/>
                <w:color w:val="auto"/>
              </w:rPr>
            </w:pPr>
            <w:r>
              <w:rPr>
                <w:rFonts w:ascii="Arial" w:cs="Arial" w:eastAsia="Arial" w:hAnsi="Arial"/>
                <w:sz w:val="18"/>
                <w:szCs w:val="18"/>
                <w:color w:val="auto"/>
              </w:rPr>
              <w:t>Other income (expense), net</w:t>
            </w:r>
          </w:p>
        </w:tc>
        <w:tc>
          <w:tcPr>
            <w:tcW w:w="4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23</w:t>
            </w:r>
          </w:p>
        </w:tc>
        <w:tc>
          <w:tcPr>
            <w:tcW w:w="3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00" w:type="dxa"/>
            <w:vAlign w:val="bottom"/>
            <w:gridSpan w:val="2"/>
          </w:tcPr>
          <w:p>
            <w:pPr>
              <w:jc w:val="right"/>
              <w:ind w:right="4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37"/>
        </w:trPr>
        <w:tc>
          <w:tcPr>
            <w:tcW w:w="62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720" w:type="dxa"/>
            <w:vAlign w:val="bottom"/>
            <w:gridSpan w:val="2"/>
          </w:tcPr>
          <w:p>
            <w:pPr>
              <w:spacing w:after="0"/>
              <w:rPr>
                <w:sz w:val="20"/>
                <w:szCs w:val="20"/>
                <w:color w:val="auto"/>
              </w:rPr>
            </w:pPr>
          </w:p>
        </w:tc>
        <w:tc>
          <w:tcPr>
            <w:tcW w:w="640" w:type="dxa"/>
            <w:vAlign w:val="bottom"/>
          </w:tcPr>
          <w:p>
            <w:pPr>
              <w:spacing w:after="0"/>
              <w:rPr>
                <w:sz w:val="20"/>
                <w:szCs w:val="20"/>
                <w:color w:val="auto"/>
              </w:rPr>
            </w:pPr>
          </w:p>
        </w:tc>
        <w:tc>
          <w:tcPr>
            <w:tcW w:w="780" w:type="dxa"/>
            <w:vAlign w:val="bottom"/>
            <w:gridSpan w:val="2"/>
          </w:tcPr>
          <w:p>
            <w:pPr>
              <w:spacing w:after="0"/>
              <w:rPr>
                <w:sz w:val="20"/>
                <w:szCs w:val="20"/>
                <w:color w:val="auto"/>
              </w:rPr>
            </w:pPr>
          </w:p>
        </w:tc>
        <w:tc>
          <w:tcPr>
            <w:tcW w:w="160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68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Income before income taxes</w:t>
            </w:r>
          </w:p>
        </w:tc>
        <w:tc>
          <w:tcPr>
            <w:tcW w:w="420" w:type="dxa"/>
            <w:vAlign w:val="bottom"/>
            <w:shd w:val="clear" w:color="auto" w:fill="EAF9E8"/>
          </w:tcPr>
          <w:p>
            <w:pPr>
              <w:spacing w:after="0"/>
              <w:rPr>
                <w:sz w:val="18"/>
                <w:szCs w:val="18"/>
                <w:color w:val="auto"/>
              </w:rPr>
            </w:pPr>
          </w:p>
        </w:tc>
        <w:tc>
          <w:tcPr>
            <w:tcW w:w="1300" w:type="dxa"/>
            <w:vAlign w:val="bottom"/>
            <w:tcBorders>
              <w:top w:val="single" w:sz="8" w:color="auto"/>
            </w:tcBorders>
            <w:shd w:val="clear" w:color="auto" w:fill="EAF9E8"/>
          </w:tcPr>
          <w:p>
            <w:pPr>
              <w:jc w:val="right"/>
              <w:ind w:right="1143"/>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5,148</w:t>
            </w:r>
          </w:p>
        </w:tc>
        <w:tc>
          <w:tcPr>
            <w:tcW w:w="340" w:type="dxa"/>
            <w:vAlign w:val="bottom"/>
            <w:shd w:val="clear" w:color="auto" w:fill="EAF9E8"/>
          </w:tcPr>
          <w:p>
            <w:pPr>
              <w:spacing w:after="0"/>
              <w:rPr>
                <w:sz w:val="18"/>
                <w:szCs w:val="18"/>
                <w:color w:val="auto"/>
              </w:rPr>
            </w:pPr>
          </w:p>
        </w:tc>
        <w:tc>
          <w:tcPr>
            <w:tcW w:w="440" w:type="dxa"/>
            <w:vAlign w:val="bottom"/>
            <w:tcBorders>
              <w:top w:val="single" w:sz="8" w:color="auto"/>
            </w:tcBorders>
            <w:shd w:val="clear" w:color="auto" w:fill="EAF9E8"/>
          </w:tcPr>
          <w:p>
            <w:pPr>
              <w:jc w:val="right"/>
              <w:ind w:right="283"/>
              <w:spacing w:after="0"/>
              <w:rPr>
                <w:sz w:val="20"/>
                <w:szCs w:val="20"/>
                <w:color w:val="auto"/>
              </w:rPr>
            </w:pPr>
            <w:r>
              <w:rPr>
                <w:rFonts w:ascii="Arial" w:cs="Arial" w:eastAsia="Arial" w:hAnsi="Arial"/>
                <w:sz w:val="15"/>
                <w:szCs w:val="15"/>
                <w:color w:val="auto"/>
                <w:w w:val="71"/>
              </w:rPr>
              <w:t>$</w:t>
            </w:r>
          </w:p>
        </w:tc>
        <w:tc>
          <w:tcPr>
            <w:tcW w:w="150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3,153</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62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0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340" w:type="dxa"/>
            <w:vAlign w:val="bottom"/>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jc w:val="both"/>
        <w:ind w:firstLine="584"/>
        <w:spacing w:after="0" w:line="255" w:lineRule="auto"/>
        <w:rPr>
          <w:sz w:val="20"/>
          <w:szCs w:val="20"/>
          <w:color w:val="auto"/>
        </w:rPr>
      </w:pPr>
      <w:r>
        <w:rPr>
          <w:rFonts w:ascii="Arial" w:cs="Arial" w:eastAsia="Arial" w:hAnsi="Arial"/>
          <w:sz w:val="18"/>
          <w:szCs w:val="18"/>
          <w:i w:val="1"/>
          <w:iCs w:val="1"/>
          <w:color w:val="auto"/>
        </w:rPr>
        <w:t xml:space="preserve">Servicing and Subservicing Fees. </w:t>
      </w:r>
      <w:r>
        <w:rPr>
          <w:rFonts w:ascii="Arial" w:cs="Arial" w:eastAsia="Arial" w:hAnsi="Arial"/>
          <w:sz w:val="18"/>
          <w:szCs w:val="18"/>
          <w:color w:val="auto"/>
        </w:rPr>
        <w:t>Our GSS offices in Germany and Canada earn fees by providing loan servicing to owners of commercial loans. The</w:t>
      </w:r>
      <w:r>
        <w:rPr>
          <w:rFonts w:ascii="Arial" w:cs="Arial" w:eastAsia="Arial" w:hAnsi="Arial"/>
          <w:sz w:val="18"/>
          <w:szCs w:val="18"/>
          <w:i w:val="1"/>
          <w:iCs w:val="1"/>
          <w:color w:val="auto"/>
        </w:rPr>
        <w:t xml:space="preserve"> </w:t>
      </w:r>
      <w:r>
        <w:rPr>
          <w:rFonts w:ascii="Arial" w:cs="Arial" w:eastAsia="Arial" w:hAnsi="Arial"/>
          <w:sz w:val="18"/>
          <w:szCs w:val="18"/>
          <w:color w:val="auto"/>
        </w:rPr>
        <w:t>decline in fees earned in the first quarter of 2009 as compared to 2008 is principally the result of our sale of servicing rights owned by GSS Canada in the second quarter of 2008 and the runoff of the GSS Germany portfolio. At March 31, 2009, we serviced 323 international commercial loans and real estate assets totaling $1,139,095. This compares to 356 assets totaling $1,250,997 serviced at December 31, 2008. The decline in assets serviced in the first quarter of 2009 is the result of the runoff of the GSS Germany portfolio.</w:t>
      </w:r>
    </w:p>
    <w:p>
      <w:pPr>
        <w:sectPr>
          <w:pgSz w:w="11900" w:h="16838" w:orient="portrait"/>
          <w:cols w:equalWidth="0" w:num="1">
            <w:col w:w="11420"/>
          </w:cols>
          <w:pgMar w:left="240" w:top="131" w:right="239" w:bottom="562"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67575"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31" w:right="239" w:bottom="562" w:gutter="0" w:footer="0" w:header="0"/>
          <w:type w:val="continuous"/>
        </w:sectPr>
      </w:pPr>
    </w:p>
    <w:bookmarkStart w:id="48" w:name="page49"/>
    <w:bookmarkEnd w:id="48"/>
    <w:p>
      <w:pPr>
        <w:jc w:val="both"/>
        <w:ind w:firstLine="597"/>
        <w:spacing w:after="0" w:line="268" w:lineRule="auto"/>
        <w:rPr>
          <w:sz w:val="20"/>
          <w:szCs w:val="20"/>
          <w:color w:val="auto"/>
        </w:rPr>
      </w:pPr>
      <w:r>
        <w:rPr>
          <w:rFonts w:ascii="Arial" w:cs="Arial" w:eastAsia="Arial" w:hAnsi="Arial"/>
          <w:sz w:val="18"/>
          <w:szCs w:val="18"/>
          <w:i w:val="1"/>
          <w:iCs w:val="1"/>
          <w:color w:val="auto"/>
        </w:rPr>
        <w:t>Process Management Fees</w:t>
      </w:r>
      <w:r>
        <w:rPr>
          <w:rFonts w:ascii="Arial" w:cs="Arial" w:eastAsia="Arial" w:hAnsi="Arial"/>
          <w:sz w:val="18"/>
          <w:szCs w:val="18"/>
          <w:color w:val="auto"/>
        </w:rPr>
        <w:t>. The principal components of process management fees for the three months ended March 31, relate to our fee-based loan</w:t>
      </w:r>
      <w:r>
        <w:rPr>
          <w:rFonts w:ascii="Arial" w:cs="Arial" w:eastAsia="Arial" w:hAnsi="Arial"/>
          <w:sz w:val="18"/>
          <w:szCs w:val="18"/>
          <w:i w:val="1"/>
          <w:iCs w:val="1"/>
          <w:color w:val="auto"/>
        </w:rPr>
        <w:t xml:space="preserve"> </w:t>
      </w:r>
      <w:r>
        <w:rPr>
          <w:rFonts w:ascii="Arial" w:cs="Arial" w:eastAsia="Arial" w:hAnsi="Arial"/>
          <w:sz w:val="18"/>
          <w:szCs w:val="18"/>
          <w:color w:val="auto"/>
        </w:rPr>
        <w:t>processing services as follows: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140" w:type="dxa"/>
            <w:vAlign w:val="bottom"/>
          </w:tcPr>
          <w:p>
            <w:pPr>
              <w:spacing w:after="0"/>
              <w:rPr>
                <w:sz w:val="19"/>
                <w:szCs w:val="19"/>
                <w:color w:val="auto"/>
              </w:rPr>
            </w:pPr>
          </w:p>
        </w:tc>
        <w:tc>
          <w:tcPr>
            <w:tcW w:w="3260" w:type="dxa"/>
            <w:vAlign w:val="bottom"/>
            <w:gridSpan w:val="2"/>
          </w:tcPr>
          <w:p>
            <w:pPr>
              <w:jc w:val="right"/>
              <w:ind w:right="83"/>
              <w:spacing w:after="0"/>
              <w:rPr>
                <w:sz w:val="20"/>
                <w:szCs w:val="20"/>
                <w:color w:val="auto"/>
              </w:rPr>
            </w:pPr>
            <w:r>
              <w:rPr>
                <w:rFonts w:ascii="Arial" w:cs="Arial" w:eastAsia="Arial" w:hAnsi="Arial"/>
                <w:sz w:val="18"/>
                <w:szCs w:val="18"/>
                <w:color w:val="auto"/>
              </w:rPr>
              <w:t>2009</w:t>
            </w:r>
          </w:p>
        </w:tc>
        <w:tc>
          <w:tcPr>
            <w:tcW w:w="6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00" w:type="dxa"/>
            <w:vAlign w:val="bottom"/>
          </w:tcPr>
          <w:p>
            <w:pPr>
              <w:jc w:val="right"/>
              <w:ind w:right="712"/>
              <w:spacing w:after="0"/>
              <w:rPr>
                <w:sz w:val="20"/>
                <w:szCs w:val="20"/>
                <w:color w:val="auto"/>
              </w:rPr>
            </w:pPr>
            <w:r>
              <w:rPr>
                <w:rFonts w:ascii="Arial" w:cs="Arial" w:eastAsia="Arial" w:hAnsi="Arial"/>
                <w:sz w:val="18"/>
                <w:szCs w:val="18"/>
                <w:color w:val="auto"/>
              </w:rPr>
              <w:t>2008</w:t>
            </w:r>
          </w:p>
        </w:tc>
        <w:tc>
          <w:tcPr>
            <w:tcW w:w="100" w:type="dxa"/>
            <w:vAlign w:val="bottom"/>
          </w:tcPr>
          <w:p>
            <w:pPr>
              <w:spacing w:after="0"/>
              <w:rPr>
                <w:sz w:val="19"/>
                <w:szCs w:val="19"/>
                <w:color w:val="auto"/>
              </w:rPr>
            </w:pPr>
          </w:p>
        </w:tc>
      </w:tr>
      <w:tr>
        <w:trPr>
          <w:trHeight w:val="245"/>
        </w:trPr>
        <w:tc>
          <w:tcPr>
            <w:tcW w:w="5140" w:type="dxa"/>
            <w:vAlign w:val="bottom"/>
          </w:tcPr>
          <w:p>
            <w:pPr>
              <w:spacing w:after="0"/>
              <w:rPr>
                <w:sz w:val="21"/>
                <w:szCs w:val="21"/>
                <w:color w:val="auto"/>
              </w:rPr>
            </w:pPr>
          </w:p>
        </w:tc>
        <w:tc>
          <w:tcPr>
            <w:tcW w:w="3260" w:type="dxa"/>
            <w:vAlign w:val="bottom"/>
            <w:gridSpan w:val="2"/>
          </w:tcPr>
          <w:p>
            <w:pPr>
              <w:spacing w:after="0"/>
              <w:rPr>
                <w:sz w:val="21"/>
                <w:szCs w:val="21"/>
                <w:color w:val="auto"/>
              </w:rPr>
            </w:pPr>
          </w:p>
        </w:tc>
        <w:tc>
          <w:tcPr>
            <w:tcW w:w="6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10"/>
        </w:trPr>
        <w:tc>
          <w:tcPr>
            <w:tcW w:w="5140" w:type="dxa"/>
            <w:vAlign w:val="bottom"/>
            <w:shd w:val="clear" w:color="auto" w:fill="EAF9E8"/>
          </w:tcPr>
          <w:p>
            <w:pPr>
              <w:spacing w:after="0"/>
              <w:rPr>
                <w:sz w:val="20"/>
                <w:szCs w:val="20"/>
                <w:color w:val="auto"/>
              </w:rPr>
            </w:pPr>
            <w:r>
              <w:rPr>
                <w:rFonts w:ascii="Arial" w:cs="Arial" w:eastAsia="Arial" w:hAnsi="Arial"/>
                <w:sz w:val="18"/>
                <w:szCs w:val="18"/>
                <w:color w:val="auto"/>
              </w:rPr>
              <w:t>Residential property valuation</w:t>
            </w:r>
          </w:p>
        </w:tc>
        <w:tc>
          <w:tcPr>
            <w:tcW w:w="1960" w:type="dxa"/>
            <w:vAlign w:val="bottom"/>
            <w:shd w:val="clear" w:color="auto" w:fill="EAF9E8"/>
          </w:tcPr>
          <w:p>
            <w:pPr>
              <w:spacing w:after="0"/>
              <w:rPr>
                <w:sz w:val="18"/>
                <w:szCs w:val="18"/>
                <w:color w:val="auto"/>
              </w:rPr>
            </w:pPr>
          </w:p>
        </w:tc>
        <w:tc>
          <w:tcPr>
            <w:tcW w:w="1300" w:type="dxa"/>
            <w:vAlign w:val="bottom"/>
            <w:tcBorders>
              <w:top w:val="single" w:sz="8" w:color="auto"/>
            </w:tcBorders>
            <w:shd w:val="clear" w:color="auto" w:fill="EAF9E8"/>
          </w:tcPr>
          <w:p>
            <w:pPr>
              <w:jc w:val="right"/>
              <w:ind w:right="1143"/>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7,345</w:t>
            </w:r>
          </w:p>
        </w:tc>
        <w:tc>
          <w:tcPr>
            <w:tcW w:w="340" w:type="dxa"/>
            <w:vAlign w:val="bottom"/>
            <w:shd w:val="clear" w:color="auto" w:fill="EAF9E8"/>
          </w:tcPr>
          <w:p>
            <w:pPr>
              <w:spacing w:after="0"/>
              <w:rPr>
                <w:sz w:val="18"/>
                <w:szCs w:val="18"/>
                <w:color w:val="auto"/>
              </w:rPr>
            </w:pPr>
          </w:p>
        </w:tc>
        <w:tc>
          <w:tcPr>
            <w:tcW w:w="440" w:type="dxa"/>
            <w:vAlign w:val="bottom"/>
            <w:tcBorders>
              <w:top w:val="single" w:sz="8" w:color="auto"/>
            </w:tcBorders>
            <w:shd w:val="clear" w:color="auto" w:fill="EAF9E8"/>
          </w:tcPr>
          <w:p>
            <w:pPr>
              <w:jc w:val="right"/>
              <w:ind w:right="283"/>
              <w:spacing w:after="0"/>
              <w:rPr>
                <w:sz w:val="20"/>
                <w:szCs w:val="20"/>
                <w:color w:val="auto"/>
              </w:rPr>
            </w:pPr>
            <w:r>
              <w:rPr>
                <w:rFonts w:ascii="Arial" w:cs="Arial" w:eastAsia="Arial" w:hAnsi="Arial"/>
                <w:sz w:val="15"/>
                <w:szCs w:val="15"/>
                <w:color w:val="auto"/>
                <w:w w:val="71"/>
              </w:rPr>
              <w:t>$</w:t>
            </w:r>
          </w:p>
        </w:tc>
        <w:tc>
          <w:tcPr>
            <w:tcW w:w="150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8,321</w:t>
            </w:r>
          </w:p>
        </w:tc>
        <w:tc>
          <w:tcPr>
            <w:tcW w:w="100" w:type="dxa"/>
            <w:vAlign w:val="bottom"/>
            <w:shd w:val="clear" w:color="auto" w:fill="EAF9E8"/>
          </w:tcPr>
          <w:p>
            <w:pPr>
              <w:spacing w:after="0"/>
              <w:rPr>
                <w:sz w:val="18"/>
                <w:szCs w:val="18"/>
                <w:color w:val="auto"/>
              </w:rPr>
            </w:pP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Title services</w:t>
            </w:r>
          </w:p>
        </w:tc>
        <w:tc>
          <w:tcPr>
            <w:tcW w:w="19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4,376</w:t>
            </w: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3,999</w:t>
            </w:r>
          </w:p>
        </w:tc>
      </w:tr>
      <w:tr>
        <w:trPr>
          <w:trHeight w:val="216"/>
        </w:trPr>
        <w:tc>
          <w:tcPr>
            <w:tcW w:w="5140" w:type="dxa"/>
            <w:vAlign w:val="bottom"/>
            <w:shd w:val="clear" w:color="auto" w:fill="EAF9E8"/>
          </w:tcPr>
          <w:p>
            <w:pPr>
              <w:spacing w:after="0"/>
              <w:rPr>
                <w:sz w:val="20"/>
                <w:szCs w:val="20"/>
                <w:color w:val="auto"/>
              </w:rPr>
            </w:pPr>
            <w:r>
              <w:rPr>
                <w:rFonts w:ascii="Arial" w:cs="Arial" w:eastAsia="Arial" w:hAnsi="Arial"/>
                <w:sz w:val="18"/>
                <w:szCs w:val="18"/>
                <w:color w:val="auto"/>
              </w:rPr>
              <w:t>Outsourcing services</w:t>
            </w:r>
          </w:p>
        </w:tc>
        <w:tc>
          <w:tcPr>
            <w:tcW w:w="1960" w:type="dxa"/>
            <w:vAlign w:val="bottom"/>
            <w:shd w:val="clear" w:color="auto" w:fill="EAF9E8"/>
          </w:tcPr>
          <w:p>
            <w:pPr>
              <w:spacing w:after="0"/>
              <w:rPr>
                <w:sz w:val="18"/>
                <w:szCs w:val="18"/>
                <w:color w:val="auto"/>
              </w:rPr>
            </w:pPr>
          </w:p>
        </w:tc>
        <w:tc>
          <w:tcPr>
            <w:tcW w:w="1300" w:type="dxa"/>
            <w:vAlign w:val="bottom"/>
            <w:shd w:val="clear" w:color="auto" w:fill="EAF9E8"/>
          </w:tcPr>
          <w:p>
            <w:pPr>
              <w:spacing w:after="0"/>
              <w:rPr>
                <w:sz w:val="18"/>
                <w:szCs w:val="18"/>
                <w:color w:val="auto"/>
              </w:rPr>
            </w:pPr>
          </w:p>
        </w:tc>
        <w:tc>
          <w:tcPr>
            <w:tcW w:w="6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3,065</w:t>
            </w:r>
          </w:p>
        </w:tc>
        <w:tc>
          <w:tcPr>
            <w:tcW w:w="340" w:type="dxa"/>
            <w:vAlign w:val="bottom"/>
            <w:shd w:val="clear" w:color="auto" w:fill="EAF9E8"/>
          </w:tcPr>
          <w:p>
            <w:pPr>
              <w:spacing w:after="0"/>
              <w:rPr>
                <w:sz w:val="18"/>
                <w:szCs w:val="18"/>
                <w:color w:val="auto"/>
              </w:rPr>
            </w:pPr>
          </w:p>
        </w:tc>
        <w:tc>
          <w:tcPr>
            <w:tcW w:w="440" w:type="dxa"/>
            <w:vAlign w:val="bottom"/>
            <w:shd w:val="clear" w:color="auto" w:fill="EAF9E8"/>
          </w:tcPr>
          <w:p>
            <w:pPr>
              <w:spacing w:after="0"/>
              <w:rPr>
                <w:sz w:val="18"/>
                <w:szCs w:val="18"/>
                <w:color w:val="auto"/>
              </w:rPr>
            </w:pPr>
          </w:p>
        </w:tc>
        <w:tc>
          <w:tcPr>
            <w:tcW w:w="160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2,831</w:t>
            </w: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Property inspection and preservation services</w:t>
            </w:r>
          </w:p>
        </w:tc>
        <w:tc>
          <w:tcPr>
            <w:tcW w:w="19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1,941</w:t>
            </w: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140" w:type="dxa"/>
            <w:vAlign w:val="bottom"/>
            <w:shd w:val="clear" w:color="auto" w:fill="EAF9E8"/>
          </w:tcPr>
          <w:p>
            <w:pPr>
              <w:spacing w:after="0"/>
              <w:rPr>
                <w:sz w:val="20"/>
                <w:szCs w:val="20"/>
                <w:color w:val="auto"/>
              </w:rPr>
            </w:pPr>
            <w:r>
              <w:rPr>
                <w:rFonts w:ascii="Arial" w:cs="Arial" w:eastAsia="Arial" w:hAnsi="Arial"/>
                <w:sz w:val="18"/>
                <w:szCs w:val="18"/>
                <w:color w:val="auto"/>
              </w:rPr>
              <w:t>Other mortgage and default services</w:t>
            </w:r>
          </w:p>
        </w:tc>
        <w:tc>
          <w:tcPr>
            <w:tcW w:w="1960" w:type="dxa"/>
            <w:vAlign w:val="bottom"/>
            <w:shd w:val="clear" w:color="auto" w:fill="EAF9E8"/>
          </w:tcPr>
          <w:p>
            <w:pPr>
              <w:spacing w:after="0"/>
              <w:rPr>
                <w:sz w:val="18"/>
                <w:szCs w:val="18"/>
                <w:color w:val="auto"/>
              </w:rPr>
            </w:pPr>
          </w:p>
        </w:tc>
        <w:tc>
          <w:tcPr>
            <w:tcW w:w="1300" w:type="dxa"/>
            <w:vAlign w:val="bottom"/>
            <w:shd w:val="clear" w:color="auto" w:fill="EAF9E8"/>
          </w:tcPr>
          <w:p>
            <w:pPr>
              <w:spacing w:after="0"/>
              <w:rPr>
                <w:sz w:val="18"/>
                <w:szCs w:val="18"/>
                <w:color w:val="auto"/>
              </w:rPr>
            </w:pPr>
          </w:p>
        </w:tc>
        <w:tc>
          <w:tcPr>
            <w:tcW w:w="6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927</w:t>
            </w:r>
          </w:p>
        </w:tc>
        <w:tc>
          <w:tcPr>
            <w:tcW w:w="340" w:type="dxa"/>
            <w:vAlign w:val="bottom"/>
            <w:shd w:val="clear" w:color="auto" w:fill="EAF9E8"/>
          </w:tcPr>
          <w:p>
            <w:pPr>
              <w:spacing w:after="0"/>
              <w:rPr>
                <w:sz w:val="18"/>
                <w:szCs w:val="18"/>
                <w:color w:val="auto"/>
              </w:rPr>
            </w:pPr>
          </w:p>
        </w:tc>
        <w:tc>
          <w:tcPr>
            <w:tcW w:w="440" w:type="dxa"/>
            <w:vAlign w:val="bottom"/>
            <w:shd w:val="clear" w:color="auto" w:fill="EAF9E8"/>
          </w:tcPr>
          <w:p>
            <w:pPr>
              <w:spacing w:after="0"/>
              <w:rPr>
                <w:sz w:val="18"/>
                <w:szCs w:val="18"/>
                <w:color w:val="auto"/>
              </w:rPr>
            </w:pPr>
          </w:p>
        </w:tc>
        <w:tc>
          <w:tcPr>
            <w:tcW w:w="160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w:t>
            </w:r>
          </w:p>
        </w:tc>
      </w:tr>
      <w:tr>
        <w:trPr>
          <w:trHeight w:val="243"/>
        </w:trPr>
        <w:tc>
          <w:tcPr>
            <w:tcW w:w="5140" w:type="dxa"/>
            <w:vAlign w:val="bottom"/>
          </w:tcPr>
          <w:p>
            <w:pPr>
              <w:spacing w:after="0"/>
              <w:rPr>
                <w:sz w:val="21"/>
                <w:szCs w:val="21"/>
                <w:color w:val="auto"/>
              </w:rPr>
            </w:pPr>
          </w:p>
        </w:tc>
        <w:tc>
          <w:tcPr>
            <w:tcW w:w="3260" w:type="dxa"/>
            <w:vAlign w:val="bottom"/>
            <w:gridSpan w:val="2"/>
          </w:tcPr>
          <w:p>
            <w:pPr>
              <w:spacing w:after="0"/>
              <w:rPr>
                <w:sz w:val="21"/>
                <w:szCs w:val="21"/>
                <w:color w:val="auto"/>
              </w:rPr>
            </w:pPr>
          </w:p>
        </w:tc>
        <w:tc>
          <w:tcPr>
            <w:tcW w:w="640" w:type="dxa"/>
            <w:vAlign w:val="bottom"/>
          </w:tcPr>
          <w:p>
            <w:pPr>
              <w:spacing w:after="0"/>
              <w:rPr>
                <w:sz w:val="21"/>
                <w:szCs w:val="21"/>
                <w:color w:val="auto"/>
              </w:rPr>
            </w:pPr>
          </w:p>
        </w:tc>
        <w:tc>
          <w:tcPr>
            <w:tcW w:w="780" w:type="dxa"/>
            <w:vAlign w:val="bottom"/>
            <w:gridSpan w:val="2"/>
          </w:tcPr>
          <w:p>
            <w:pPr>
              <w:spacing w:after="0"/>
              <w:rPr>
                <w:sz w:val="21"/>
                <w:szCs w:val="21"/>
                <w:color w:val="auto"/>
              </w:rPr>
            </w:pPr>
          </w:p>
        </w:tc>
        <w:tc>
          <w:tcPr>
            <w:tcW w:w="1600" w:type="dxa"/>
            <w:vAlign w:val="bottom"/>
            <w:gridSpan w:val="2"/>
          </w:tcPr>
          <w:p>
            <w:pPr>
              <w:spacing w:after="0"/>
              <w:rPr>
                <w:sz w:val="21"/>
                <w:szCs w:val="21"/>
                <w:color w:val="auto"/>
              </w:rPr>
            </w:pPr>
          </w:p>
        </w:tc>
      </w:tr>
      <w:tr>
        <w:trPr>
          <w:trHeight w:val="216"/>
        </w:trPr>
        <w:tc>
          <w:tcPr>
            <w:tcW w:w="51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300" w:type="dxa"/>
            <w:vAlign w:val="bottom"/>
            <w:tcBorders>
              <w:top w:val="single" w:sz="8" w:color="auto"/>
            </w:tcBorders>
          </w:tcPr>
          <w:p>
            <w:pPr>
              <w:jc w:val="right"/>
              <w:ind w:right="1143"/>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17,654</w:t>
            </w:r>
          </w:p>
        </w:tc>
        <w:tc>
          <w:tcPr>
            <w:tcW w:w="340" w:type="dxa"/>
            <w:vAlign w:val="bottom"/>
          </w:tcPr>
          <w:p>
            <w:pPr>
              <w:spacing w:after="0"/>
              <w:rPr>
                <w:sz w:val="18"/>
                <w:szCs w:val="18"/>
                <w:color w:val="auto"/>
              </w:rPr>
            </w:pPr>
          </w:p>
        </w:tc>
        <w:tc>
          <w:tcPr>
            <w:tcW w:w="440" w:type="dxa"/>
            <w:vAlign w:val="bottom"/>
            <w:tcBorders>
              <w:top w:val="single" w:sz="8" w:color="auto"/>
            </w:tcBorders>
          </w:tcPr>
          <w:p>
            <w:pPr>
              <w:jc w:val="right"/>
              <w:ind w:right="283"/>
              <w:spacing w:after="0"/>
              <w:rPr>
                <w:sz w:val="20"/>
                <w:szCs w:val="20"/>
                <w:color w:val="auto"/>
              </w:rPr>
            </w:pPr>
            <w:r>
              <w:rPr>
                <w:rFonts w:ascii="Arial" w:cs="Arial" w:eastAsia="Arial" w:hAnsi="Arial"/>
                <w:sz w:val="15"/>
                <w:szCs w:val="15"/>
                <w:color w:val="auto"/>
                <w:w w:val="71"/>
              </w:rPr>
              <w:t>$</w:t>
            </w: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15,151</w:t>
            </w:r>
          </w:p>
        </w:tc>
        <w:tc>
          <w:tcPr>
            <w:tcW w:w="10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4507230</wp:posOffset>
            </wp:positionH>
            <wp:positionV relativeFrom="paragraph">
              <wp:posOffset>150495</wp:posOffset>
            </wp:positionV>
            <wp:extent cx="2675890"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675890" cy="26035"/>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jc w:val="both"/>
        <w:ind w:firstLine="636"/>
        <w:spacing w:after="0" w:line="268" w:lineRule="auto"/>
        <w:rPr>
          <w:sz w:val="20"/>
          <w:szCs w:val="20"/>
          <w:color w:val="auto"/>
        </w:rPr>
      </w:pPr>
      <w:r>
        <w:rPr>
          <w:rFonts w:ascii="Arial" w:cs="Arial" w:eastAsia="Arial" w:hAnsi="Arial"/>
          <w:sz w:val="18"/>
          <w:szCs w:val="18"/>
          <w:i w:val="1"/>
          <w:iCs w:val="1"/>
          <w:color w:val="auto"/>
        </w:rPr>
        <w:t xml:space="preserve">Servicing and Origination Expenses. </w:t>
      </w:r>
      <w:r>
        <w:rPr>
          <w:rFonts w:ascii="Arial" w:cs="Arial" w:eastAsia="Arial" w:hAnsi="Arial"/>
          <w:sz w:val="18"/>
          <w:szCs w:val="18"/>
          <w:color w:val="auto"/>
        </w:rPr>
        <w:t>Servicing and origination expenses for the three months ended March 31 consist primarily of costs incurred in</w:t>
      </w:r>
      <w:r>
        <w:rPr>
          <w:rFonts w:ascii="Arial" w:cs="Arial" w:eastAsia="Arial" w:hAnsi="Arial"/>
          <w:sz w:val="18"/>
          <w:szCs w:val="18"/>
          <w:i w:val="1"/>
          <w:iCs w:val="1"/>
          <w:color w:val="auto"/>
        </w:rPr>
        <w:t xml:space="preserve"> </w:t>
      </w:r>
      <w:r>
        <w:rPr>
          <w:rFonts w:ascii="Arial" w:cs="Arial" w:eastAsia="Arial" w:hAnsi="Arial"/>
          <w:sz w:val="18"/>
          <w:szCs w:val="18"/>
          <w:color w:val="auto"/>
        </w:rPr>
        <w:t>connection with providing fee-based loan processing services as follows: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140" w:type="dxa"/>
            <w:vAlign w:val="bottom"/>
          </w:tcPr>
          <w:p>
            <w:pPr>
              <w:spacing w:after="0"/>
              <w:rPr>
                <w:sz w:val="19"/>
                <w:szCs w:val="19"/>
                <w:color w:val="auto"/>
              </w:rPr>
            </w:pPr>
          </w:p>
        </w:tc>
        <w:tc>
          <w:tcPr>
            <w:tcW w:w="3300" w:type="dxa"/>
            <w:vAlign w:val="bottom"/>
            <w:gridSpan w:val="2"/>
          </w:tcPr>
          <w:p>
            <w:pPr>
              <w:jc w:val="right"/>
              <w:ind w:right="123"/>
              <w:spacing w:after="0"/>
              <w:rPr>
                <w:sz w:val="20"/>
                <w:szCs w:val="20"/>
                <w:color w:val="auto"/>
              </w:rPr>
            </w:pPr>
            <w:r>
              <w:rPr>
                <w:rFonts w:ascii="Arial" w:cs="Arial" w:eastAsia="Arial" w:hAnsi="Arial"/>
                <w:sz w:val="18"/>
                <w:szCs w:val="18"/>
                <w:color w:val="auto"/>
              </w:rPr>
              <w:t>2009</w:t>
            </w:r>
          </w:p>
        </w:tc>
        <w:tc>
          <w:tcPr>
            <w:tcW w:w="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00" w:type="dxa"/>
            <w:vAlign w:val="bottom"/>
          </w:tcPr>
          <w:p>
            <w:pPr>
              <w:jc w:val="right"/>
              <w:ind w:right="712"/>
              <w:spacing w:after="0"/>
              <w:rPr>
                <w:sz w:val="20"/>
                <w:szCs w:val="20"/>
                <w:color w:val="auto"/>
              </w:rPr>
            </w:pPr>
            <w:r>
              <w:rPr>
                <w:rFonts w:ascii="Arial" w:cs="Arial" w:eastAsia="Arial" w:hAnsi="Arial"/>
                <w:sz w:val="18"/>
                <w:szCs w:val="18"/>
                <w:color w:val="auto"/>
              </w:rPr>
              <w:t>2008</w:t>
            </w:r>
          </w:p>
        </w:tc>
        <w:tc>
          <w:tcPr>
            <w:tcW w:w="100" w:type="dxa"/>
            <w:vAlign w:val="bottom"/>
          </w:tcPr>
          <w:p>
            <w:pPr>
              <w:spacing w:after="0"/>
              <w:rPr>
                <w:sz w:val="19"/>
                <w:szCs w:val="19"/>
                <w:color w:val="auto"/>
              </w:rPr>
            </w:pPr>
          </w:p>
        </w:tc>
      </w:tr>
      <w:tr>
        <w:trPr>
          <w:trHeight w:val="245"/>
        </w:trPr>
        <w:tc>
          <w:tcPr>
            <w:tcW w:w="5140" w:type="dxa"/>
            <w:vAlign w:val="bottom"/>
          </w:tcPr>
          <w:p>
            <w:pPr>
              <w:spacing w:after="0"/>
              <w:rPr>
                <w:sz w:val="21"/>
                <w:szCs w:val="21"/>
                <w:color w:val="auto"/>
              </w:rPr>
            </w:pPr>
          </w:p>
        </w:tc>
        <w:tc>
          <w:tcPr>
            <w:tcW w:w="3300" w:type="dxa"/>
            <w:vAlign w:val="bottom"/>
            <w:gridSpan w:val="2"/>
          </w:tcPr>
          <w:p>
            <w:pPr>
              <w:spacing w:after="0"/>
              <w:rPr>
                <w:sz w:val="21"/>
                <w:szCs w:val="21"/>
                <w:color w:val="auto"/>
              </w:rPr>
            </w:pPr>
          </w:p>
        </w:tc>
        <w:tc>
          <w:tcPr>
            <w:tcW w:w="6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10"/>
        </w:trPr>
        <w:tc>
          <w:tcPr>
            <w:tcW w:w="5140" w:type="dxa"/>
            <w:vAlign w:val="bottom"/>
            <w:shd w:val="clear" w:color="auto" w:fill="EAF9E8"/>
          </w:tcPr>
          <w:p>
            <w:pPr>
              <w:spacing w:after="0"/>
              <w:rPr>
                <w:sz w:val="20"/>
                <w:szCs w:val="20"/>
                <w:color w:val="auto"/>
              </w:rPr>
            </w:pPr>
            <w:r>
              <w:rPr>
                <w:rFonts w:ascii="Arial" w:cs="Arial" w:eastAsia="Arial" w:hAnsi="Arial"/>
                <w:sz w:val="18"/>
                <w:szCs w:val="18"/>
                <w:color w:val="auto"/>
              </w:rPr>
              <w:t>Residential property valuation</w:t>
            </w:r>
          </w:p>
        </w:tc>
        <w:tc>
          <w:tcPr>
            <w:tcW w:w="1960" w:type="dxa"/>
            <w:vAlign w:val="bottom"/>
            <w:shd w:val="clear" w:color="auto" w:fill="EAF9E8"/>
          </w:tcPr>
          <w:p>
            <w:pPr>
              <w:spacing w:after="0"/>
              <w:rPr>
                <w:sz w:val="18"/>
                <w:szCs w:val="18"/>
                <w:color w:val="auto"/>
              </w:rPr>
            </w:pPr>
          </w:p>
        </w:tc>
        <w:tc>
          <w:tcPr>
            <w:tcW w:w="1340" w:type="dxa"/>
            <w:vAlign w:val="bottom"/>
            <w:tcBorders>
              <w:top w:val="single" w:sz="8" w:color="auto"/>
            </w:tcBorders>
            <w:shd w:val="clear" w:color="auto" w:fill="EAF9E8"/>
          </w:tcPr>
          <w:p>
            <w:pPr>
              <w:jc w:val="right"/>
              <w:ind w:right="1183"/>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3,295</w:t>
            </w:r>
          </w:p>
        </w:tc>
        <w:tc>
          <w:tcPr>
            <w:tcW w:w="340" w:type="dxa"/>
            <w:vAlign w:val="bottom"/>
            <w:shd w:val="clear" w:color="auto" w:fill="EAF9E8"/>
          </w:tcPr>
          <w:p>
            <w:pPr>
              <w:spacing w:after="0"/>
              <w:rPr>
                <w:sz w:val="18"/>
                <w:szCs w:val="18"/>
                <w:color w:val="auto"/>
              </w:rPr>
            </w:pPr>
          </w:p>
        </w:tc>
        <w:tc>
          <w:tcPr>
            <w:tcW w:w="440" w:type="dxa"/>
            <w:vAlign w:val="bottom"/>
            <w:tcBorders>
              <w:top w:val="single" w:sz="8" w:color="auto"/>
            </w:tcBorders>
            <w:shd w:val="clear" w:color="auto" w:fill="EAF9E8"/>
          </w:tcPr>
          <w:p>
            <w:pPr>
              <w:jc w:val="right"/>
              <w:ind w:right="283"/>
              <w:spacing w:after="0"/>
              <w:rPr>
                <w:sz w:val="20"/>
                <w:szCs w:val="20"/>
                <w:color w:val="auto"/>
              </w:rPr>
            </w:pPr>
            <w:r>
              <w:rPr>
                <w:rFonts w:ascii="Arial" w:cs="Arial" w:eastAsia="Arial" w:hAnsi="Arial"/>
                <w:sz w:val="15"/>
                <w:szCs w:val="15"/>
                <w:color w:val="auto"/>
                <w:w w:val="71"/>
              </w:rPr>
              <w:t>$</w:t>
            </w:r>
          </w:p>
        </w:tc>
        <w:tc>
          <w:tcPr>
            <w:tcW w:w="150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5,063</w:t>
            </w:r>
          </w:p>
        </w:tc>
        <w:tc>
          <w:tcPr>
            <w:tcW w:w="100" w:type="dxa"/>
            <w:vAlign w:val="bottom"/>
            <w:shd w:val="clear" w:color="auto" w:fill="EAF9E8"/>
          </w:tcPr>
          <w:p>
            <w:pPr>
              <w:spacing w:after="0"/>
              <w:rPr>
                <w:sz w:val="18"/>
                <w:szCs w:val="18"/>
                <w:color w:val="auto"/>
              </w:rPr>
            </w:pP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Title services</w:t>
            </w:r>
          </w:p>
        </w:tc>
        <w:tc>
          <w:tcPr>
            <w:tcW w:w="19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2,131</w:t>
            </w: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2,414</w:t>
            </w:r>
          </w:p>
        </w:tc>
      </w:tr>
      <w:tr>
        <w:trPr>
          <w:trHeight w:val="216"/>
        </w:trPr>
        <w:tc>
          <w:tcPr>
            <w:tcW w:w="5140" w:type="dxa"/>
            <w:vAlign w:val="bottom"/>
            <w:shd w:val="clear" w:color="auto" w:fill="EAF9E8"/>
          </w:tcPr>
          <w:p>
            <w:pPr>
              <w:spacing w:after="0"/>
              <w:rPr>
                <w:sz w:val="20"/>
                <w:szCs w:val="20"/>
                <w:color w:val="auto"/>
              </w:rPr>
            </w:pPr>
            <w:r>
              <w:rPr>
                <w:rFonts w:ascii="Arial" w:cs="Arial" w:eastAsia="Arial" w:hAnsi="Arial"/>
                <w:sz w:val="18"/>
                <w:szCs w:val="18"/>
                <w:color w:val="auto"/>
              </w:rPr>
              <w:t>Property inspection and preservation services</w:t>
            </w:r>
          </w:p>
        </w:tc>
        <w:tc>
          <w:tcPr>
            <w:tcW w:w="1960" w:type="dxa"/>
            <w:vAlign w:val="bottom"/>
            <w:shd w:val="clear" w:color="auto" w:fill="EAF9E8"/>
          </w:tcPr>
          <w:p>
            <w:pPr>
              <w:spacing w:after="0"/>
              <w:rPr>
                <w:sz w:val="18"/>
                <w:szCs w:val="18"/>
                <w:color w:val="auto"/>
              </w:rPr>
            </w:pPr>
          </w:p>
        </w:tc>
        <w:tc>
          <w:tcPr>
            <w:tcW w:w="1340" w:type="dxa"/>
            <w:vAlign w:val="bottom"/>
            <w:shd w:val="clear" w:color="auto" w:fill="EAF9E8"/>
          </w:tcPr>
          <w:p>
            <w:pPr>
              <w:spacing w:after="0"/>
              <w:rPr>
                <w:sz w:val="18"/>
                <w:szCs w:val="18"/>
                <w:color w:val="auto"/>
              </w:rPr>
            </w:pPr>
          </w:p>
        </w:tc>
        <w:tc>
          <w:tcPr>
            <w:tcW w:w="6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1,578</w:t>
            </w:r>
          </w:p>
        </w:tc>
        <w:tc>
          <w:tcPr>
            <w:tcW w:w="340" w:type="dxa"/>
            <w:vAlign w:val="bottom"/>
            <w:shd w:val="clear" w:color="auto" w:fill="EAF9E8"/>
          </w:tcPr>
          <w:p>
            <w:pPr>
              <w:spacing w:after="0"/>
              <w:rPr>
                <w:sz w:val="18"/>
                <w:szCs w:val="18"/>
                <w:color w:val="auto"/>
              </w:rPr>
            </w:pPr>
          </w:p>
        </w:tc>
        <w:tc>
          <w:tcPr>
            <w:tcW w:w="440" w:type="dxa"/>
            <w:vAlign w:val="bottom"/>
            <w:shd w:val="clear" w:color="auto" w:fill="EAF9E8"/>
          </w:tcPr>
          <w:p>
            <w:pPr>
              <w:spacing w:after="0"/>
              <w:rPr>
                <w:sz w:val="18"/>
                <w:szCs w:val="18"/>
                <w:color w:val="auto"/>
              </w:rPr>
            </w:pPr>
          </w:p>
        </w:tc>
        <w:tc>
          <w:tcPr>
            <w:tcW w:w="160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w:t>
            </w:r>
          </w:p>
        </w:tc>
      </w:tr>
      <w:tr>
        <w:trPr>
          <w:trHeight w:val="222"/>
        </w:trPr>
        <w:tc>
          <w:tcPr>
            <w:tcW w:w="5140" w:type="dxa"/>
            <w:vAlign w:val="bottom"/>
          </w:tcPr>
          <w:p>
            <w:pPr>
              <w:spacing w:after="0"/>
              <w:rPr>
                <w:sz w:val="20"/>
                <w:szCs w:val="20"/>
                <w:color w:val="auto"/>
              </w:rPr>
            </w:pPr>
            <w:r>
              <w:rPr>
                <w:rFonts w:ascii="Arial" w:cs="Arial" w:eastAsia="Arial" w:hAnsi="Arial"/>
                <w:sz w:val="18"/>
                <w:szCs w:val="18"/>
                <w:color w:val="auto"/>
              </w:rPr>
              <w:t>Other mortgage and default services</w:t>
            </w:r>
          </w:p>
        </w:tc>
        <w:tc>
          <w:tcPr>
            <w:tcW w:w="19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248</w:t>
            </w:r>
          </w:p>
        </w:tc>
        <w:tc>
          <w:tcPr>
            <w:tcW w:w="3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8</w:t>
            </w:r>
          </w:p>
        </w:tc>
      </w:tr>
      <w:tr>
        <w:trPr>
          <w:trHeight w:val="237"/>
        </w:trPr>
        <w:tc>
          <w:tcPr>
            <w:tcW w:w="5140" w:type="dxa"/>
            <w:vAlign w:val="bottom"/>
          </w:tcPr>
          <w:p>
            <w:pPr>
              <w:spacing w:after="0"/>
              <w:rPr>
                <w:sz w:val="20"/>
                <w:szCs w:val="20"/>
                <w:color w:val="auto"/>
              </w:rPr>
            </w:pPr>
          </w:p>
        </w:tc>
        <w:tc>
          <w:tcPr>
            <w:tcW w:w="3300" w:type="dxa"/>
            <w:vAlign w:val="bottom"/>
            <w:gridSpan w:val="2"/>
          </w:tcPr>
          <w:p>
            <w:pPr>
              <w:spacing w:after="0"/>
              <w:rPr>
                <w:sz w:val="20"/>
                <w:szCs w:val="20"/>
                <w:color w:val="auto"/>
              </w:rPr>
            </w:pPr>
          </w:p>
        </w:tc>
        <w:tc>
          <w:tcPr>
            <w:tcW w:w="600" w:type="dxa"/>
            <w:vAlign w:val="bottom"/>
          </w:tcPr>
          <w:p>
            <w:pPr>
              <w:spacing w:after="0"/>
              <w:rPr>
                <w:sz w:val="20"/>
                <w:szCs w:val="20"/>
                <w:color w:val="auto"/>
              </w:rPr>
            </w:pPr>
          </w:p>
        </w:tc>
        <w:tc>
          <w:tcPr>
            <w:tcW w:w="780" w:type="dxa"/>
            <w:vAlign w:val="bottom"/>
            <w:gridSpan w:val="2"/>
          </w:tcPr>
          <w:p>
            <w:pPr>
              <w:spacing w:after="0"/>
              <w:rPr>
                <w:sz w:val="20"/>
                <w:szCs w:val="20"/>
                <w:color w:val="auto"/>
              </w:rPr>
            </w:pPr>
          </w:p>
        </w:tc>
        <w:tc>
          <w:tcPr>
            <w:tcW w:w="1600" w:type="dxa"/>
            <w:vAlign w:val="bottom"/>
            <w:gridSpan w:val="2"/>
          </w:tcPr>
          <w:p>
            <w:pPr>
              <w:spacing w:after="0"/>
              <w:rPr>
                <w:sz w:val="20"/>
                <w:szCs w:val="20"/>
                <w:color w:val="auto"/>
              </w:rPr>
            </w:pPr>
          </w:p>
        </w:tc>
      </w:tr>
      <w:tr>
        <w:trPr>
          <w:trHeight w:val="210"/>
        </w:trPr>
        <w:tc>
          <w:tcPr>
            <w:tcW w:w="5140" w:type="dxa"/>
            <w:vAlign w:val="bottom"/>
            <w:shd w:val="clear" w:color="auto" w:fill="EAF9E8"/>
          </w:tcPr>
          <w:p>
            <w:pPr>
              <w:spacing w:after="0"/>
              <w:rPr>
                <w:sz w:val="18"/>
                <w:szCs w:val="18"/>
                <w:color w:val="auto"/>
              </w:rPr>
            </w:pPr>
          </w:p>
        </w:tc>
        <w:tc>
          <w:tcPr>
            <w:tcW w:w="1960" w:type="dxa"/>
            <w:vAlign w:val="bottom"/>
            <w:shd w:val="clear" w:color="auto" w:fill="EAF9E8"/>
          </w:tcPr>
          <w:p>
            <w:pPr>
              <w:spacing w:after="0"/>
              <w:rPr>
                <w:sz w:val="18"/>
                <w:szCs w:val="18"/>
                <w:color w:val="auto"/>
              </w:rPr>
            </w:pPr>
          </w:p>
        </w:tc>
        <w:tc>
          <w:tcPr>
            <w:tcW w:w="1340" w:type="dxa"/>
            <w:vAlign w:val="bottom"/>
            <w:tcBorders>
              <w:top w:val="single" w:sz="8" w:color="auto"/>
            </w:tcBorders>
            <w:shd w:val="clear" w:color="auto" w:fill="EAF9E8"/>
          </w:tcPr>
          <w:p>
            <w:pPr>
              <w:jc w:val="right"/>
              <w:ind w:right="1183"/>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7,252</w:t>
            </w:r>
          </w:p>
        </w:tc>
        <w:tc>
          <w:tcPr>
            <w:tcW w:w="340" w:type="dxa"/>
            <w:vAlign w:val="bottom"/>
            <w:shd w:val="clear" w:color="auto" w:fill="EAF9E8"/>
          </w:tcPr>
          <w:p>
            <w:pPr>
              <w:spacing w:after="0"/>
              <w:rPr>
                <w:sz w:val="18"/>
                <w:szCs w:val="18"/>
                <w:color w:val="auto"/>
              </w:rPr>
            </w:pPr>
          </w:p>
        </w:tc>
        <w:tc>
          <w:tcPr>
            <w:tcW w:w="440" w:type="dxa"/>
            <w:vAlign w:val="bottom"/>
            <w:tcBorders>
              <w:top w:val="single" w:sz="8" w:color="auto"/>
            </w:tcBorders>
            <w:shd w:val="clear" w:color="auto" w:fill="EAF9E8"/>
          </w:tcPr>
          <w:p>
            <w:pPr>
              <w:jc w:val="right"/>
              <w:ind w:right="283"/>
              <w:spacing w:after="0"/>
              <w:rPr>
                <w:sz w:val="20"/>
                <w:szCs w:val="20"/>
                <w:color w:val="auto"/>
              </w:rPr>
            </w:pPr>
            <w:r>
              <w:rPr>
                <w:rFonts w:ascii="Arial" w:cs="Arial" w:eastAsia="Arial" w:hAnsi="Arial"/>
                <w:sz w:val="15"/>
                <w:szCs w:val="15"/>
                <w:color w:val="auto"/>
                <w:w w:val="71"/>
              </w:rPr>
              <w:t>$</w:t>
            </w:r>
          </w:p>
        </w:tc>
        <w:tc>
          <w:tcPr>
            <w:tcW w:w="150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7,485</w:t>
            </w:r>
          </w:p>
        </w:tc>
        <w:tc>
          <w:tcPr>
            <w:tcW w:w="100" w:type="dxa"/>
            <w:vAlign w:val="bottom"/>
            <w:shd w:val="clear" w:color="auto" w:fill="EAF9E8"/>
          </w:tcPr>
          <w:p>
            <w:pPr>
              <w:spacing w:after="0"/>
              <w:rPr>
                <w:sz w:val="18"/>
                <w:szCs w:val="18"/>
                <w:color w:val="auto"/>
              </w:rPr>
            </w:pPr>
          </w:p>
        </w:tc>
      </w:tr>
      <w:tr>
        <w:trPr>
          <w:trHeight w:val="243"/>
        </w:trPr>
        <w:tc>
          <w:tcPr>
            <w:tcW w:w="514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134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340" w:type="dxa"/>
            <w:vAlign w:val="bottom"/>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0"/>
        </w:trPr>
        <w:tc>
          <w:tcPr>
            <w:tcW w:w="51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8" w:lineRule="exact"/>
        <w:rPr>
          <w:sz w:val="20"/>
          <w:szCs w:val="20"/>
          <w:color w:val="auto"/>
        </w:rPr>
      </w:pPr>
    </w:p>
    <w:p>
      <w:pPr>
        <w:jc w:val="both"/>
        <w:ind w:firstLine="633"/>
        <w:spacing w:after="0" w:line="259" w:lineRule="auto"/>
        <w:rPr>
          <w:sz w:val="20"/>
          <w:szCs w:val="20"/>
          <w:color w:val="auto"/>
        </w:rPr>
      </w:pPr>
      <w:r>
        <w:rPr>
          <w:rFonts w:ascii="Arial" w:cs="Arial" w:eastAsia="Arial" w:hAnsi="Arial"/>
          <w:sz w:val="18"/>
          <w:szCs w:val="18"/>
          <w:color w:val="auto"/>
        </w:rPr>
        <w:t>The decline in residential property valuation and title services expenses in the first quarter of 2009 is due to the decline in the related revenues and improvements in our processes relating to order placements with subcontractors that enabled us to deliver our services more timely while also lowering the fees we pay to subcontractors</w:t>
      </w:r>
      <w:r>
        <w:rPr>
          <w:rFonts w:ascii="Arial" w:cs="Arial" w:eastAsia="Arial" w:hAnsi="Arial"/>
          <w:sz w:val="18"/>
          <w:szCs w:val="18"/>
          <w:b w:val="1"/>
          <w:bCs w:val="1"/>
          <w:color w:val="auto"/>
        </w:rPr>
        <w: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Services</w:t>
      </w:r>
    </w:p>
    <w:p>
      <w:pPr>
        <w:spacing w:after="0" w:line="231" w:lineRule="exact"/>
        <w:rPr>
          <w:sz w:val="20"/>
          <w:szCs w:val="20"/>
          <w:color w:val="auto"/>
        </w:rPr>
      </w:pPr>
    </w:p>
    <w:p>
      <w:pPr>
        <w:jc w:val="both"/>
        <w:ind w:firstLine="465"/>
        <w:spacing w:after="0" w:line="259" w:lineRule="auto"/>
        <w:rPr>
          <w:sz w:val="20"/>
          <w:szCs w:val="20"/>
          <w:color w:val="auto"/>
        </w:rPr>
      </w:pPr>
      <w:r>
        <w:rPr>
          <w:rFonts w:ascii="Arial" w:cs="Arial" w:eastAsia="Arial" w:hAnsi="Arial"/>
          <w:sz w:val="18"/>
          <w:szCs w:val="18"/>
          <w:color w:val="auto"/>
        </w:rPr>
        <w:t>The $1,301 loss before income taxes for the first quarter of 2009 primarily reflects a $2,182, or 11% decline in revenues as compared to the first quarter of 2008 primarily due to lower collection rates that we experienced and which we believe are due to the current economic climate and are consistent with the collections industry in general. Income from operations was $1,324 lower in the first quarter of 2009.</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100" w:type="dxa"/>
            <w:vAlign w:val="bottom"/>
            <w:gridSpan w:val="3"/>
          </w:tcPr>
          <w:p>
            <w:pPr>
              <w:spacing w:after="0"/>
              <w:rPr>
                <w:sz w:val="20"/>
                <w:szCs w:val="20"/>
                <w:color w:val="auto"/>
              </w:rPr>
            </w:pPr>
            <w:r>
              <w:rPr>
                <w:rFonts w:ascii="Arial" w:cs="Arial" w:eastAsia="Arial" w:hAnsi="Arial"/>
                <w:sz w:val="18"/>
                <w:szCs w:val="18"/>
                <w:color w:val="auto"/>
              </w:rPr>
              <w:t>Comparative selected balance sheet data:</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4"/>
        </w:trPr>
        <w:tc>
          <w:tcPr>
            <w:tcW w:w="20" w:type="dxa"/>
            <w:vAlign w:val="bottom"/>
          </w:tcPr>
          <w:p>
            <w:pPr>
              <w:spacing w:after="0"/>
              <w:rPr>
                <w:sz w:val="24"/>
                <w:szCs w:val="24"/>
                <w:color w:val="auto"/>
              </w:rPr>
            </w:pPr>
          </w:p>
        </w:tc>
        <w:tc>
          <w:tcPr>
            <w:tcW w:w="2880" w:type="dxa"/>
            <w:vAlign w:val="bottom"/>
            <w:tcBorders>
              <w:top w:val="single" w:sz="8" w:color="auto"/>
            </w:tcBorders>
          </w:tcPr>
          <w:p>
            <w:pPr>
              <w:spacing w:after="0"/>
              <w:rPr>
                <w:sz w:val="24"/>
                <w:szCs w:val="24"/>
                <w:color w:val="auto"/>
              </w:rPr>
            </w:pPr>
          </w:p>
        </w:tc>
        <w:tc>
          <w:tcPr>
            <w:tcW w:w="4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tcPr>
          <w:p>
            <w:pPr>
              <w:jc w:val="right"/>
              <w:ind w:right="332"/>
              <w:spacing w:after="0"/>
              <w:rPr>
                <w:sz w:val="20"/>
                <w:szCs w:val="20"/>
                <w:color w:val="auto"/>
              </w:rPr>
            </w:pPr>
            <w:r>
              <w:rPr>
                <w:rFonts w:ascii="Arial" w:cs="Arial" w:eastAsia="Arial" w:hAnsi="Arial"/>
                <w:sz w:val="18"/>
                <w:szCs w:val="18"/>
                <w:color w:val="auto"/>
              </w:rPr>
              <w:t>March 31, 2009</w:t>
            </w: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60" w:type="dxa"/>
            <w:vAlign w:val="bottom"/>
            <w:gridSpan w:val="2"/>
          </w:tcPr>
          <w:p>
            <w:pPr>
              <w:ind w:left="100"/>
              <w:spacing w:after="0"/>
              <w:rPr>
                <w:sz w:val="20"/>
                <w:szCs w:val="20"/>
                <w:color w:val="auto"/>
              </w:rPr>
            </w:pPr>
            <w:r>
              <w:rPr>
                <w:rFonts w:ascii="Arial" w:cs="Arial" w:eastAsia="Arial" w:hAnsi="Arial"/>
                <w:sz w:val="18"/>
                <w:szCs w:val="18"/>
                <w:color w:val="auto"/>
              </w:rPr>
              <w:t>December 31, 2008</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880" w:type="dxa"/>
            <w:vAlign w:val="bottom"/>
          </w:tcPr>
          <w:p>
            <w:pPr>
              <w:spacing w:after="0"/>
              <w:rPr>
                <w:sz w:val="21"/>
                <w:szCs w:val="21"/>
                <w:color w:val="auto"/>
              </w:rPr>
            </w:pPr>
          </w:p>
        </w:tc>
        <w:tc>
          <w:tcPr>
            <w:tcW w:w="4200" w:type="dxa"/>
            <w:vAlign w:val="bottom"/>
          </w:tcPr>
          <w:p>
            <w:pPr>
              <w:spacing w:after="0"/>
              <w:rPr>
                <w:sz w:val="21"/>
                <w:szCs w:val="21"/>
                <w:color w:val="auto"/>
              </w:rPr>
            </w:pPr>
          </w:p>
        </w:tc>
        <w:tc>
          <w:tcPr>
            <w:tcW w:w="240" w:type="dxa"/>
            <w:vAlign w:val="bottom"/>
            <w:gridSpan w:val="2"/>
          </w:tcPr>
          <w:p>
            <w:pPr>
              <w:spacing w:after="0"/>
              <w:rPr>
                <w:sz w:val="21"/>
                <w:szCs w:val="21"/>
                <w:color w:val="auto"/>
              </w:rPr>
            </w:pPr>
          </w:p>
        </w:tc>
        <w:tc>
          <w:tcPr>
            <w:tcW w:w="17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8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Cash</w:t>
            </w:r>
          </w:p>
        </w:tc>
        <w:tc>
          <w:tcPr>
            <w:tcW w:w="20" w:type="dxa"/>
            <w:vAlign w:val="bottom"/>
            <w:shd w:val="clear" w:color="auto" w:fill="EAF9E8"/>
          </w:tcPr>
          <w:p>
            <w:pPr>
              <w:spacing w:after="0"/>
              <w:rPr>
                <w:sz w:val="18"/>
                <w:szCs w:val="18"/>
                <w:color w:val="auto"/>
              </w:rPr>
            </w:pPr>
          </w:p>
        </w:tc>
        <w:tc>
          <w:tcPr>
            <w:tcW w:w="220" w:type="dxa"/>
            <w:vAlign w:val="bottom"/>
            <w:tcBorders>
              <w:top w:val="single" w:sz="8" w:color="auto"/>
            </w:tcBorders>
            <w:shd w:val="clear" w:color="auto" w:fill="EAF9E8"/>
          </w:tcPr>
          <w:p>
            <w:pPr>
              <w:jc w:val="right"/>
              <w:ind w:right="111"/>
              <w:spacing w:after="0"/>
              <w:rPr>
                <w:sz w:val="20"/>
                <w:szCs w:val="20"/>
                <w:color w:val="auto"/>
              </w:rPr>
            </w:pPr>
            <w:r>
              <w:rPr>
                <w:rFonts w:ascii="Arial" w:cs="Arial" w:eastAsia="Arial" w:hAnsi="Arial"/>
                <w:sz w:val="10"/>
                <w:szCs w:val="10"/>
                <w:color w:val="auto"/>
                <w:w w:val="71"/>
              </w:rPr>
              <w:t>$</w:t>
            </w:r>
          </w:p>
        </w:tc>
        <w:tc>
          <w:tcPr>
            <w:tcW w:w="170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5,189</w:t>
            </w:r>
          </w:p>
        </w:tc>
        <w:tc>
          <w:tcPr>
            <w:tcW w:w="340" w:type="dxa"/>
            <w:vAlign w:val="bottom"/>
            <w:shd w:val="clear" w:color="auto" w:fill="EAF9E8"/>
          </w:tcPr>
          <w:p>
            <w:pPr>
              <w:spacing w:after="0"/>
              <w:rPr>
                <w:sz w:val="18"/>
                <w:szCs w:val="18"/>
                <w:color w:val="auto"/>
              </w:rPr>
            </w:pPr>
          </w:p>
        </w:tc>
        <w:tc>
          <w:tcPr>
            <w:tcW w:w="180" w:type="dxa"/>
            <w:vAlign w:val="bottom"/>
            <w:tcBorders>
              <w:top w:val="single" w:sz="8" w:color="auto"/>
            </w:tcBorders>
            <w:shd w:val="clear" w:color="auto" w:fill="EAF9E8"/>
          </w:tcPr>
          <w:p>
            <w:pPr>
              <w:jc w:val="right"/>
              <w:ind w:right="23"/>
              <w:spacing w:after="0"/>
              <w:rPr>
                <w:sz w:val="20"/>
                <w:szCs w:val="20"/>
                <w:color w:val="auto"/>
              </w:rPr>
            </w:pPr>
            <w:r>
              <w:rPr>
                <w:rFonts w:ascii="Arial" w:cs="Arial" w:eastAsia="Arial" w:hAnsi="Arial"/>
                <w:sz w:val="15"/>
                <w:szCs w:val="15"/>
                <w:color w:val="auto"/>
                <w:w w:val="71"/>
              </w:rPr>
              <w:t>$</w:t>
            </w:r>
          </w:p>
        </w:tc>
        <w:tc>
          <w:tcPr>
            <w:tcW w:w="176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2,256</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gridSpan w:val="2"/>
          </w:tcPr>
          <w:p>
            <w:pPr>
              <w:spacing w:after="0"/>
              <w:rPr>
                <w:sz w:val="20"/>
                <w:szCs w:val="20"/>
                <w:color w:val="auto"/>
              </w:rPr>
            </w:pPr>
            <w:r>
              <w:rPr>
                <w:rFonts w:ascii="Arial" w:cs="Arial" w:eastAsia="Arial" w:hAnsi="Arial"/>
                <w:sz w:val="18"/>
                <w:szCs w:val="18"/>
                <w:color w:val="auto"/>
              </w:rPr>
              <w:t>Receivables</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5,703</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60" w:type="dxa"/>
            <w:vAlign w:val="bottom"/>
            <w:gridSpan w:val="2"/>
          </w:tcPr>
          <w:p>
            <w:pPr>
              <w:jc w:val="right"/>
              <w:ind w:right="100"/>
              <w:spacing w:after="0"/>
              <w:rPr>
                <w:sz w:val="20"/>
                <w:szCs w:val="20"/>
                <w:color w:val="auto"/>
              </w:rPr>
            </w:pPr>
            <w:r>
              <w:rPr>
                <w:rFonts w:ascii="Arial" w:cs="Arial" w:eastAsia="Arial" w:hAnsi="Arial"/>
                <w:sz w:val="18"/>
                <w:szCs w:val="18"/>
                <w:color w:val="auto"/>
              </w:rPr>
              <w:t>5,848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Goodwill and intangibles</w:t>
            </w:r>
          </w:p>
        </w:tc>
        <w:tc>
          <w:tcPr>
            <w:tcW w:w="2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7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43,971</w:t>
            </w:r>
          </w:p>
        </w:tc>
        <w:tc>
          <w:tcPr>
            <w:tcW w:w="34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86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44,609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gridSpan w:val="2"/>
          </w:tcPr>
          <w:p>
            <w:pPr>
              <w:spacing w:after="0"/>
              <w:rPr>
                <w:sz w:val="20"/>
                <w:szCs w:val="20"/>
                <w:color w:val="auto"/>
              </w:rPr>
            </w:pPr>
            <w:r>
              <w:rPr>
                <w:rFonts w:ascii="Arial" w:cs="Arial" w:eastAsia="Arial" w:hAnsi="Arial"/>
                <w:sz w:val="18"/>
                <w:szCs w:val="18"/>
                <w:color w:val="auto"/>
              </w:rPr>
              <w:t>Premises and equipment</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3,802</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60" w:type="dxa"/>
            <w:vAlign w:val="bottom"/>
            <w:gridSpan w:val="2"/>
          </w:tcPr>
          <w:p>
            <w:pPr>
              <w:jc w:val="right"/>
              <w:ind w:right="100"/>
              <w:spacing w:after="0"/>
              <w:rPr>
                <w:sz w:val="20"/>
                <w:szCs w:val="20"/>
                <w:color w:val="auto"/>
              </w:rPr>
            </w:pPr>
            <w:r>
              <w:rPr>
                <w:rFonts w:ascii="Arial" w:cs="Arial" w:eastAsia="Arial" w:hAnsi="Arial"/>
                <w:sz w:val="18"/>
                <w:szCs w:val="18"/>
                <w:color w:val="auto"/>
              </w:rPr>
              <w:t>3,967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7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1,221</w:t>
            </w:r>
          </w:p>
        </w:tc>
        <w:tc>
          <w:tcPr>
            <w:tcW w:w="34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86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2,027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080" w:type="dxa"/>
            <w:vAlign w:val="bottom"/>
            <w:gridSpan w:val="2"/>
            <w:vMerge w:val="restart"/>
          </w:tcPr>
          <w:p>
            <w:pPr>
              <w:ind w:left="140"/>
              <w:spacing w:after="0"/>
              <w:rPr>
                <w:sz w:val="20"/>
                <w:szCs w:val="20"/>
                <w:color w:val="auto"/>
              </w:rPr>
            </w:pPr>
            <w:r>
              <w:rPr>
                <w:rFonts w:ascii="Arial" w:cs="Arial" w:eastAsia="Arial" w:hAnsi="Arial"/>
                <w:sz w:val="18"/>
                <w:szCs w:val="18"/>
                <w:color w:val="auto"/>
              </w:rPr>
              <w:t>Total assets</w:t>
            </w:r>
          </w:p>
        </w:tc>
        <w:tc>
          <w:tcPr>
            <w:tcW w:w="240" w:type="dxa"/>
            <w:vAlign w:val="bottom"/>
            <w:gridSpan w:val="2"/>
          </w:tcPr>
          <w:p>
            <w:pPr>
              <w:spacing w:after="0"/>
              <w:rPr>
                <w:sz w:val="21"/>
                <w:szCs w:val="21"/>
                <w:color w:val="auto"/>
              </w:rPr>
            </w:pPr>
          </w:p>
        </w:tc>
        <w:tc>
          <w:tcPr>
            <w:tcW w:w="1700" w:type="dxa"/>
            <w:vAlign w:val="bottom"/>
          </w:tcPr>
          <w:p>
            <w:pPr>
              <w:spacing w:after="0"/>
              <w:rPr>
                <w:sz w:val="21"/>
                <w:szCs w:val="21"/>
                <w:color w:val="auto"/>
              </w:rPr>
            </w:pPr>
          </w:p>
        </w:tc>
        <w:tc>
          <w:tcPr>
            <w:tcW w:w="520" w:type="dxa"/>
            <w:vAlign w:val="bottom"/>
            <w:gridSpan w:val="2"/>
          </w:tcPr>
          <w:p>
            <w:pPr>
              <w:spacing w:after="0"/>
              <w:rPr>
                <w:sz w:val="21"/>
                <w:szCs w:val="21"/>
                <w:color w:val="auto"/>
              </w:rPr>
            </w:pPr>
          </w:p>
        </w:tc>
        <w:tc>
          <w:tcPr>
            <w:tcW w:w="1860" w:type="dxa"/>
            <w:vAlign w:val="bottom"/>
            <w:gridSpan w:val="2"/>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Borders>
              <w:top w:val="single" w:sz="8" w:color="auto"/>
            </w:tcBorders>
          </w:tcPr>
          <w:p>
            <w:pPr>
              <w:jc w:val="right"/>
              <w:ind w:right="111"/>
              <w:spacing w:after="0"/>
              <w:rPr>
                <w:sz w:val="20"/>
                <w:szCs w:val="20"/>
                <w:color w:val="auto"/>
              </w:rPr>
            </w:pPr>
            <w:r>
              <w:rPr>
                <w:rFonts w:ascii="Arial" w:cs="Arial" w:eastAsia="Arial" w:hAnsi="Arial"/>
                <w:sz w:val="10"/>
                <w:szCs w:val="10"/>
                <w:color w:val="auto"/>
                <w:w w:val="71"/>
              </w:rPr>
              <w:t>$</w:t>
            </w:r>
          </w:p>
        </w:tc>
        <w:tc>
          <w:tcPr>
            <w:tcW w:w="1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59,886</w:t>
            </w:r>
          </w:p>
        </w:tc>
        <w:tc>
          <w:tcPr>
            <w:tcW w:w="340" w:type="dxa"/>
            <w:vAlign w:val="bottom"/>
          </w:tcPr>
          <w:p>
            <w:pPr>
              <w:spacing w:after="0"/>
              <w:rPr>
                <w:sz w:val="18"/>
                <w:szCs w:val="18"/>
                <w:color w:val="auto"/>
              </w:rPr>
            </w:pPr>
          </w:p>
        </w:tc>
        <w:tc>
          <w:tcPr>
            <w:tcW w:w="180" w:type="dxa"/>
            <w:vAlign w:val="bottom"/>
            <w:tcBorders>
              <w:top w:val="single" w:sz="8" w:color="auto"/>
            </w:tcBorders>
          </w:tcPr>
          <w:p>
            <w:pPr>
              <w:jc w:val="right"/>
              <w:ind w:right="23"/>
              <w:spacing w:after="0"/>
              <w:rPr>
                <w:sz w:val="20"/>
                <w:szCs w:val="20"/>
                <w:color w:val="auto"/>
              </w:rPr>
            </w:pPr>
            <w:r>
              <w:rPr>
                <w:rFonts w:ascii="Arial" w:cs="Arial" w:eastAsia="Arial" w:hAnsi="Arial"/>
                <w:sz w:val="15"/>
                <w:szCs w:val="15"/>
                <w:color w:val="auto"/>
                <w:w w:val="71"/>
              </w:rPr>
              <w:t>$</w:t>
            </w:r>
          </w:p>
        </w:tc>
        <w:tc>
          <w:tcPr>
            <w:tcW w:w="1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58,707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900" w:type="dxa"/>
            <w:vAlign w:val="bottom"/>
            <w:gridSpan w:val="2"/>
          </w:tcPr>
          <w:p>
            <w:pPr>
              <w:spacing w:after="0"/>
              <w:rPr>
                <w:sz w:val="20"/>
                <w:szCs w:val="20"/>
                <w:color w:val="auto"/>
              </w:rPr>
            </w:pPr>
          </w:p>
        </w:tc>
        <w:tc>
          <w:tcPr>
            <w:tcW w:w="4200" w:type="dxa"/>
            <w:vAlign w:val="bottom"/>
          </w:tcPr>
          <w:p>
            <w:pPr>
              <w:spacing w:after="0"/>
              <w:rPr>
                <w:sz w:val="20"/>
                <w:szCs w:val="20"/>
                <w:color w:val="auto"/>
              </w:rPr>
            </w:pPr>
          </w:p>
        </w:tc>
        <w:tc>
          <w:tcPr>
            <w:tcW w:w="240" w:type="dxa"/>
            <w:vAlign w:val="bottom"/>
            <w:tcBorders>
              <w:bottom w:val="single" w:sz="8" w:color="auto"/>
            </w:tcBorders>
            <w:gridSpan w:val="2"/>
          </w:tcPr>
          <w:p>
            <w:pPr>
              <w:spacing w:after="0"/>
              <w:rPr>
                <w:sz w:val="20"/>
                <w:szCs w:val="20"/>
                <w:color w:val="auto"/>
              </w:rPr>
            </w:pPr>
          </w:p>
        </w:tc>
        <w:tc>
          <w:tcPr>
            <w:tcW w:w="170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900" w:type="dxa"/>
            <w:vAlign w:val="bottom"/>
            <w:gridSpan w:val="2"/>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restart"/>
          </w:tcPr>
          <w:p>
            <w:pPr>
              <w:spacing w:after="0"/>
              <w:rPr>
                <w:sz w:val="11"/>
                <w:szCs w:val="11"/>
                <w:color w:val="auto"/>
              </w:rPr>
            </w:pPr>
          </w:p>
        </w:tc>
        <w:tc>
          <w:tcPr>
            <w:tcW w:w="2880" w:type="dxa"/>
            <w:vAlign w:val="bottom"/>
          </w:tcPr>
          <w:p>
            <w:pPr>
              <w:spacing w:after="0"/>
              <w:rPr>
                <w:sz w:val="11"/>
                <w:szCs w:val="11"/>
                <w:color w:val="auto"/>
              </w:rPr>
            </w:pPr>
          </w:p>
        </w:tc>
        <w:tc>
          <w:tcPr>
            <w:tcW w:w="4200" w:type="dxa"/>
            <w:vAlign w:val="bottom"/>
          </w:tcPr>
          <w:p>
            <w:pPr>
              <w:spacing w:after="0"/>
              <w:rPr>
                <w:sz w:val="11"/>
                <w:szCs w:val="11"/>
                <w:color w:val="auto"/>
              </w:rPr>
            </w:pPr>
          </w:p>
        </w:tc>
        <w:tc>
          <w:tcPr>
            <w:tcW w:w="240" w:type="dxa"/>
            <w:vAlign w:val="bottom"/>
            <w:gridSpan w:val="2"/>
          </w:tcPr>
          <w:p>
            <w:pPr>
              <w:spacing w:after="0"/>
              <w:rPr>
                <w:sz w:val="11"/>
                <w:szCs w:val="11"/>
                <w:color w:val="auto"/>
              </w:rPr>
            </w:pPr>
          </w:p>
        </w:tc>
        <w:tc>
          <w:tcPr>
            <w:tcW w:w="1700" w:type="dxa"/>
            <w:vAlign w:val="bottom"/>
          </w:tcPr>
          <w:p>
            <w:pPr>
              <w:spacing w:after="0"/>
              <w:rPr>
                <w:sz w:val="11"/>
                <w:szCs w:val="11"/>
                <w:color w:val="auto"/>
              </w:rPr>
            </w:pPr>
          </w:p>
        </w:tc>
        <w:tc>
          <w:tcPr>
            <w:tcW w:w="520" w:type="dxa"/>
            <w:vAlign w:val="bottom"/>
            <w:gridSpan w:val="2"/>
          </w:tcPr>
          <w:p>
            <w:pPr>
              <w:spacing w:after="0"/>
              <w:rPr>
                <w:sz w:val="11"/>
                <w:szCs w:val="11"/>
                <w:color w:val="auto"/>
              </w:rPr>
            </w:pPr>
          </w:p>
        </w:tc>
        <w:tc>
          <w:tcPr>
            <w:tcW w:w="186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8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Lines of credit and other secured borrowings</w:t>
            </w:r>
          </w:p>
        </w:tc>
        <w:tc>
          <w:tcPr>
            <w:tcW w:w="240" w:type="dxa"/>
            <w:vAlign w:val="bottom"/>
            <w:gridSpan w:val="2"/>
            <w:shd w:val="clear" w:color="auto" w:fill="EAF9E8"/>
          </w:tcPr>
          <w:p>
            <w:pPr>
              <w:jc w:val="right"/>
              <w:ind w:right="111"/>
              <w:spacing w:after="0"/>
              <w:rPr>
                <w:sz w:val="20"/>
                <w:szCs w:val="20"/>
                <w:color w:val="auto"/>
              </w:rPr>
            </w:pPr>
            <w:r>
              <w:rPr>
                <w:rFonts w:ascii="Arial" w:cs="Arial" w:eastAsia="Arial" w:hAnsi="Arial"/>
                <w:sz w:val="15"/>
                <w:szCs w:val="15"/>
                <w:color w:val="auto"/>
                <w:w w:val="71"/>
              </w:rPr>
              <w:t>$</w:t>
            </w:r>
          </w:p>
        </w:tc>
        <w:tc>
          <w:tcPr>
            <w:tcW w:w="17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EAF9E8"/>
          </w:tcPr>
          <w:p>
            <w:pPr>
              <w:jc w:val="right"/>
              <w:ind w:right="23"/>
              <w:spacing w:after="0"/>
              <w:rPr>
                <w:sz w:val="20"/>
                <w:szCs w:val="20"/>
                <w:color w:val="auto"/>
              </w:rPr>
            </w:pPr>
            <w:r>
              <w:rPr>
                <w:rFonts w:ascii="Arial" w:cs="Arial" w:eastAsia="Arial" w:hAnsi="Arial"/>
                <w:sz w:val="18"/>
                <w:szCs w:val="18"/>
                <w:color w:val="auto"/>
              </w:rPr>
              <w:t>$</w:t>
            </w:r>
          </w:p>
        </w:tc>
        <w:tc>
          <w:tcPr>
            <w:tcW w:w="186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1,123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080" w:type="dxa"/>
            <w:vAlign w:val="bottom"/>
            <w:gridSpan w:val="2"/>
          </w:tcPr>
          <w:p>
            <w:pPr>
              <w:spacing w:after="0"/>
              <w:rPr>
                <w:sz w:val="20"/>
                <w:szCs w:val="20"/>
                <w:color w:val="auto"/>
              </w:rPr>
            </w:pPr>
            <w:r>
              <w:rPr>
                <w:rFonts w:ascii="Arial" w:cs="Arial" w:eastAsia="Arial" w:hAnsi="Arial"/>
                <w:sz w:val="18"/>
                <w:szCs w:val="18"/>
                <w:color w:val="auto"/>
              </w:rPr>
              <w:t>Accrued expenses and other</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7,386</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60" w:type="dxa"/>
            <w:vAlign w:val="bottom"/>
            <w:gridSpan w:val="2"/>
          </w:tcPr>
          <w:p>
            <w:pPr>
              <w:jc w:val="right"/>
              <w:ind w:right="100"/>
              <w:spacing w:after="0"/>
              <w:rPr>
                <w:sz w:val="20"/>
                <w:szCs w:val="20"/>
                <w:color w:val="auto"/>
              </w:rPr>
            </w:pPr>
            <w:r>
              <w:rPr>
                <w:rFonts w:ascii="Arial" w:cs="Arial" w:eastAsia="Arial" w:hAnsi="Arial"/>
                <w:sz w:val="18"/>
                <w:szCs w:val="18"/>
                <w:color w:val="auto"/>
              </w:rPr>
              <w:t>7,081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4200" w:type="dxa"/>
            <w:vAlign w:val="bottom"/>
          </w:tcPr>
          <w:p>
            <w:pPr>
              <w:spacing w:after="0"/>
              <w:rPr>
                <w:sz w:val="20"/>
                <w:szCs w:val="20"/>
                <w:color w:val="auto"/>
              </w:rPr>
            </w:pPr>
          </w:p>
        </w:tc>
        <w:tc>
          <w:tcPr>
            <w:tcW w:w="240" w:type="dxa"/>
            <w:vAlign w:val="bottom"/>
            <w:gridSpan w:val="2"/>
          </w:tcPr>
          <w:p>
            <w:pPr>
              <w:spacing w:after="0"/>
              <w:rPr>
                <w:sz w:val="20"/>
                <w:szCs w:val="20"/>
                <w:color w:val="auto"/>
              </w:rPr>
            </w:pPr>
          </w:p>
        </w:tc>
        <w:tc>
          <w:tcPr>
            <w:tcW w:w="1700" w:type="dxa"/>
            <w:vAlign w:val="bottom"/>
          </w:tcPr>
          <w:p>
            <w:pPr>
              <w:spacing w:after="0"/>
              <w:rPr>
                <w:sz w:val="20"/>
                <w:szCs w:val="20"/>
                <w:color w:val="auto"/>
              </w:rPr>
            </w:pPr>
          </w:p>
        </w:tc>
        <w:tc>
          <w:tcPr>
            <w:tcW w:w="520" w:type="dxa"/>
            <w:vAlign w:val="bottom"/>
            <w:gridSpan w:val="2"/>
          </w:tcPr>
          <w:p>
            <w:pPr>
              <w:spacing w:after="0"/>
              <w:rPr>
                <w:sz w:val="20"/>
                <w:szCs w:val="20"/>
                <w:color w:val="auto"/>
              </w:rPr>
            </w:pPr>
          </w:p>
        </w:tc>
        <w:tc>
          <w:tcPr>
            <w:tcW w:w="186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80" w:type="dxa"/>
            <w:vAlign w:val="bottom"/>
            <w:gridSpan w:val="2"/>
            <w:shd w:val="clear" w:color="auto" w:fill="EAF9E8"/>
          </w:tcPr>
          <w:p>
            <w:pPr>
              <w:ind w:left="140"/>
              <w:spacing w:after="0"/>
              <w:rPr>
                <w:sz w:val="20"/>
                <w:szCs w:val="20"/>
                <w:color w:val="auto"/>
              </w:rPr>
            </w:pPr>
            <w:r>
              <w:rPr>
                <w:rFonts w:ascii="Arial" w:cs="Arial" w:eastAsia="Arial" w:hAnsi="Arial"/>
                <w:sz w:val="18"/>
                <w:szCs w:val="18"/>
                <w:color w:val="auto"/>
              </w:rPr>
              <w:t>Total liabilities</w:t>
            </w:r>
          </w:p>
        </w:tc>
        <w:tc>
          <w:tcPr>
            <w:tcW w:w="20" w:type="dxa"/>
            <w:vAlign w:val="bottom"/>
            <w:shd w:val="clear" w:color="auto" w:fill="EAF9E8"/>
          </w:tcPr>
          <w:p>
            <w:pPr>
              <w:spacing w:after="0"/>
              <w:rPr>
                <w:sz w:val="18"/>
                <w:szCs w:val="18"/>
                <w:color w:val="auto"/>
              </w:rPr>
            </w:pPr>
          </w:p>
        </w:tc>
        <w:tc>
          <w:tcPr>
            <w:tcW w:w="220" w:type="dxa"/>
            <w:vAlign w:val="bottom"/>
            <w:tcBorders>
              <w:top w:val="single" w:sz="8" w:color="auto"/>
            </w:tcBorders>
            <w:shd w:val="clear" w:color="auto" w:fill="EAF9E8"/>
          </w:tcPr>
          <w:p>
            <w:pPr>
              <w:jc w:val="right"/>
              <w:ind w:right="111"/>
              <w:spacing w:after="0"/>
              <w:rPr>
                <w:sz w:val="20"/>
                <w:szCs w:val="20"/>
                <w:color w:val="auto"/>
              </w:rPr>
            </w:pPr>
            <w:r>
              <w:rPr>
                <w:rFonts w:ascii="Arial" w:cs="Arial" w:eastAsia="Arial" w:hAnsi="Arial"/>
                <w:sz w:val="10"/>
                <w:szCs w:val="10"/>
                <w:color w:val="auto"/>
                <w:w w:val="71"/>
              </w:rPr>
              <w:t>$</w:t>
            </w:r>
          </w:p>
        </w:tc>
        <w:tc>
          <w:tcPr>
            <w:tcW w:w="170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7,386</w:t>
            </w:r>
          </w:p>
        </w:tc>
        <w:tc>
          <w:tcPr>
            <w:tcW w:w="340" w:type="dxa"/>
            <w:vAlign w:val="bottom"/>
            <w:shd w:val="clear" w:color="auto" w:fill="EAF9E8"/>
          </w:tcPr>
          <w:p>
            <w:pPr>
              <w:spacing w:after="0"/>
              <w:rPr>
                <w:sz w:val="18"/>
                <w:szCs w:val="18"/>
                <w:color w:val="auto"/>
              </w:rPr>
            </w:pPr>
          </w:p>
        </w:tc>
        <w:tc>
          <w:tcPr>
            <w:tcW w:w="180" w:type="dxa"/>
            <w:vAlign w:val="bottom"/>
            <w:tcBorders>
              <w:top w:val="single" w:sz="8" w:color="auto"/>
            </w:tcBorders>
            <w:shd w:val="clear" w:color="auto" w:fill="EAF9E8"/>
          </w:tcPr>
          <w:p>
            <w:pPr>
              <w:jc w:val="right"/>
              <w:ind w:right="23"/>
              <w:spacing w:after="0"/>
              <w:rPr>
                <w:sz w:val="20"/>
                <w:szCs w:val="20"/>
                <w:color w:val="auto"/>
              </w:rPr>
            </w:pPr>
            <w:r>
              <w:rPr>
                <w:rFonts w:ascii="Arial" w:cs="Arial" w:eastAsia="Arial" w:hAnsi="Arial"/>
                <w:sz w:val="15"/>
                <w:szCs w:val="15"/>
                <w:color w:val="auto"/>
                <w:w w:val="71"/>
              </w:rPr>
              <w:t>$</w:t>
            </w:r>
          </w:p>
        </w:tc>
        <w:tc>
          <w:tcPr>
            <w:tcW w:w="176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8,204</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880" w:type="dxa"/>
            <w:vAlign w:val="bottom"/>
          </w:tcPr>
          <w:p>
            <w:pPr>
              <w:spacing w:after="0"/>
              <w:rPr>
                <w:sz w:val="21"/>
                <w:szCs w:val="21"/>
                <w:color w:val="auto"/>
              </w:rPr>
            </w:pPr>
          </w:p>
        </w:tc>
        <w:tc>
          <w:tcPr>
            <w:tcW w:w="4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700" w:type="dxa"/>
            <w:vAlign w:val="bottom"/>
            <w:tcBorders>
              <w:bottom w:val="single" w:sz="8" w:color="auto"/>
            </w:tcBorders>
          </w:tcPr>
          <w:p>
            <w:pPr>
              <w:spacing w:after="0"/>
              <w:rPr>
                <w:sz w:val="21"/>
                <w:szCs w:val="21"/>
                <w:color w:val="auto"/>
              </w:rPr>
            </w:pPr>
          </w:p>
        </w:tc>
        <w:tc>
          <w:tcPr>
            <w:tcW w:w="34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7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 xml:space="preserve">Goodwill and Intangibles. </w:t>
      </w:r>
      <w:r>
        <w:rPr>
          <w:rFonts w:ascii="Arial" w:cs="Arial" w:eastAsia="Arial" w:hAnsi="Arial"/>
          <w:sz w:val="18"/>
          <w:szCs w:val="18"/>
          <w:color w:val="auto"/>
        </w:rPr>
        <w:t>Goodwill and intangibles arising from the acquisition of NCI are as follows: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48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40" w:type="dxa"/>
            <w:vAlign w:val="bottom"/>
            <w:gridSpan w:val="2"/>
          </w:tcPr>
          <w:p>
            <w:pPr>
              <w:jc w:val="right"/>
              <w:ind w:right="760"/>
              <w:spacing w:after="0"/>
              <w:rPr>
                <w:sz w:val="20"/>
                <w:szCs w:val="20"/>
                <w:color w:val="auto"/>
              </w:rPr>
            </w:pPr>
            <w:r>
              <w:rPr>
                <w:rFonts w:ascii="Arial" w:cs="Arial" w:eastAsia="Arial" w:hAnsi="Arial"/>
                <w:sz w:val="18"/>
                <w:szCs w:val="18"/>
                <w:color w:val="auto"/>
              </w:rPr>
              <w:t>March 31, 2009</w:t>
            </w:r>
          </w:p>
        </w:tc>
        <w:tc>
          <w:tcPr>
            <w:tcW w:w="180" w:type="dxa"/>
            <w:vAlign w:val="bottom"/>
          </w:tcPr>
          <w:p>
            <w:pPr>
              <w:spacing w:after="0"/>
              <w:rPr>
                <w:sz w:val="19"/>
                <w:szCs w:val="19"/>
                <w:color w:val="auto"/>
              </w:rPr>
            </w:pPr>
          </w:p>
        </w:tc>
        <w:tc>
          <w:tcPr>
            <w:tcW w:w="1860" w:type="dxa"/>
            <w:vAlign w:val="bottom"/>
            <w:gridSpan w:val="2"/>
          </w:tcPr>
          <w:p>
            <w:pPr>
              <w:jc w:val="right"/>
              <w:ind w:right="380"/>
              <w:spacing w:after="0"/>
              <w:rPr>
                <w:sz w:val="20"/>
                <w:szCs w:val="20"/>
                <w:color w:val="auto"/>
              </w:rPr>
            </w:pPr>
            <w:r>
              <w:rPr>
                <w:rFonts w:ascii="Arial" w:cs="Arial" w:eastAsia="Arial" w:hAnsi="Arial"/>
                <w:sz w:val="18"/>
                <w:szCs w:val="18"/>
                <w:color w:val="auto"/>
                <w:w w:val="92"/>
              </w:rPr>
              <w:t>December 31, 2008</w:t>
            </w:r>
          </w:p>
        </w:tc>
        <w:tc>
          <w:tcPr>
            <w:tcW w:w="0" w:type="dxa"/>
            <w:vAlign w:val="bottom"/>
          </w:tcPr>
          <w:p>
            <w:pPr>
              <w:spacing w:after="0"/>
              <w:rPr>
                <w:sz w:val="1"/>
                <w:szCs w:val="1"/>
                <w:color w:val="auto"/>
              </w:rPr>
            </w:pPr>
          </w:p>
        </w:tc>
      </w:tr>
      <w:tr>
        <w:trPr>
          <w:trHeight w:val="245"/>
        </w:trPr>
        <w:tc>
          <w:tcPr>
            <w:tcW w:w="4480" w:type="dxa"/>
            <w:vAlign w:val="bottom"/>
          </w:tcPr>
          <w:p>
            <w:pPr>
              <w:spacing w:after="0"/>
              <w:rPr>
                <w:sz w:val="21"/>
                <w:szCs w:val="21"/>
                <w:color w:val="auto"/>
              </w:rPr>
            </w:pPr>
          </w:p>
        </w:tc>
        <w:tc>
          <w:tcPr>
            <w:tcW w:w="2860" w:type="dxa"/>
            <w:vAlign w:val="bottom"/>
            <w:gridSpan w:val="2"/>
          </w:tcPr>
          <w:p>
            <w:pPr>
              <w:spacing w:after="0"/>
              <w:rPr>
                <w:sz w:val="21"/>
                <w:szCs w:val="21"/>
                <w:color w:val="auto"/>
              </w:rPr>
            </w:pPr>
          </w:p>
        </w:tc>
        <w:tc>
          <w:tcPr>
            <w:tcW w:w="17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4480" w:type="dxa"/>
            <w:vAlign w:val="bottom"/>
            <w:shd w:val="clear" w:color="auto" w:fill="EAF9E8"/>
          </w:tcPr>
          <w:p>
            <w:pPr>
              <w:spacing w:after="0"/>
              <w:rPr>
                <w:sz w:val="20"/>
                <w:szCs w:val="20"/>
                <w:color w:val="auto"/>
              </w:rPr>
            </w:pPr>
            <w:r>
              <w:rPr>
                <w:rFonts w:ascii="Arial" w:cs="Arial" w:eastAsia="Arial" w:hAnsi="Arial"/>
                <w:sz w:val="18"/>
                <w:szCs w:val="18"/>
                <w:color w:val="auto"/>
              </w:rPr>
              <w:t>Goodwill</w:t>
            </w:r>
          </w:p>
        </w:tc>
        <w:tc>
          <w:tcPr>
            <w:tcW w:w="2620" w:type="dxa"/>
            <w:vAlign w:val="bottom"/>
            <w:shd w:val="clear" w:color="auto" w:fill="EAF9E8"/>
          </w:tcPr>
          <w:p>
            <w:pPr>
              <w:spacing w:after="0"/>
              <w:rPr>
                <w:sz w:val="18"/>
                <w:szCs w:val="18"/>
                <w:color w:val="auto"/>
              </w:rPr>
            </w:pPr>
          </w:p>
        </w:tc>
        <w:tc>
          <w:tcPr>
            <w:tcW w:w="240" w:type="dxa"/>
            <w:vAlign w:val="bottom"/>
            <w:tcBorders>
              <w:top w:val="single" w:sz="8" w:color="auto"/>
            </w:tcBorders>
            <w:shd w:val="clear" w:color="auto" w:fill="EAF9E8"/>
          </w:tcPr>
          <w:p>
            <w:pPr>
              <w:jc w:val="right"/>
              <w:ind w:right="83"/>
              <w:spacing w:after="0"/>
              <w:rPr>
                <w:sz w:val="20"/>
                <w:szCs w:val="20"/>
                <w:color w:val="auto"/>
              </w:rPr>
            </w:pPr>
            <w:r>
              <w:rPr>
                <w:rFonts w:ascii="Arial" w:cs="Arial" w:eastAsia="Arial" w:hAnsi="Arial"/>
                <w:sz w:val="15"/>
                <w:szCs w:val="15"/>
                <w:color w:val="auto"/>
                <w:w w:val="71"/>
              </w:rPr>
              <w:t>$</w:t>
            </w:r>
          </w:p>
        </w:tc>
        <w:tc>
          <w:tcPr>
            <w:tcW w:w="170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8,218</w:t>
            </w:r>
          </w:p>
        </w:tc>
        <w:tc>
          <w:tcPr>
            <w:tcW w:w="340" w:type="dxa"/>
            <w:vAlign w:val="bottom"/>
            <w:shd w:val="clear" w:color="auto" w:fill="EAF9E8"/>
          </w:tcPr>
          <w:p>
            <w:pPr>
              <w:spacing w:after="0"/>
              <w:rPr>
                <w:sz w:val="18"/>
                <w:szCs w:val="18"/>
                <w:color w:val="auto"/>
              </w:rPr>
            </w:pPr>
          </w:p>
        </w:tc>
        <w:tc>
          <w:tcPr>
            <w:tcW w:w="180" w:type="dxa"/>
            <w:vAlign w:val="bottom"/>
            <w:tcBorders>
              <w:top w:val="single" w:sz="8" w:color="auto"/>
            </w:tcBorders>
            <w:shd w:val="clear" w:color="auto" w:fill="EAF9E8"/>
          </w:tcPr>
          <w:p>
            <w:pPr>
              <w:jc w:val="right"/>
              <w:ind w:right="23"/>
              <w:spacing w:after="0"/>
              <w:rPr>
                <w:sz w:val="20"/>
                <w:szCs w:val="20"/>
                <w:color w:val="auto"/>
              </w:rPr>
            </w:pPr>
            <w:r>
              <w:rPr>
                <w:rFonts w:ascii="Arial" w:cs="Arial" w:eastAsia="Arial" w:hAnsi="Arial"/>
                <w:sz w:val="15"/>
                <w:szCs w:val="15"/>
                <w:color w:val="auto"/>
                <w:w w:val="71"/>
              </w:rPr>
              <w:t>$</w:t>
            </w:r>
          </w:p>
        </w:tc>
        <w:tc>
          <w:tcPr>
            <w:tcW w:w="176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8,218</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480" w:type="dxa"/>
            <w:vAlign w:val="bottom"/>
          </w:tcPr>
          <w:p>
            <w:pPr>
              <w:spacing w:after="0"/>
              <w:rPr>
                <w:sz w:val="21"/>
                <w:szCs w:val="21"/>
                <w:color w:val="auto"/>
              </w:rPr>
            </w:pPr>
          </w:p>
        </w:tc>
        <w:tc>
          <w:tcPr>
            <w:tcW w:w="26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700" w:type="dxa"/>
            <w:vAlign w:val="bottom"/>
            <w:tcBorders>
              <w:bottom w:val="single" w:sz="8" w:color="auto"/>
            </w:tcBorders>
          </w:tcPr>
          <w:p>
            <w:pPr>
              <w:spacing w:after="0"/>
              <w:rPr>
                <w:sz w:val="21"/>
                <w:szCs w:val="21"/>
                <w:color w:val="auto"/>
              </w:rPr>
            </w:pPr>
          </w:p>
        </w:tc>
        <w:tc>
          <w:tcPr>
            <w:tcW w:w="34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7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56"/>
        </w:trPr>
        <w:tc>
          <w:tcPr>
            <w:tcW w:w="4480" w:type="dxa"/>
            <w:vAlign w:val="bottom"/>
          </w:tcPr>
          <w:p>
            <w:pPr>
              <w:spacing w:after="0"/>
              <w:rPr>
                <w:sz w:val="20"/>
                <w:szCs w:val="20"/>
                <w:color w:val="auto"/>
              </w:rPr>
            </w:pPr>
            <w:r>
              <w:rPr>
                <w:rFonts w:ascii="Arial" w:cs="Arial" w:eastAsia="Arial" w:hAnsi="Arial"/>
                <w:sz w:val="18"/>
                <w:szCs w:val="18"/>
                <w:color w:val="auto"/>
              </w:rPr>
              <w:t>Intangibles</w:t>
            </w:r>
          </w:p>
        </w:tc>
        <w:tc>
          <w:tcPr>
            <w:tcW w:w="2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40,500</w:t>
            </w: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60" w:type="dxa"/>
            <w:vAlign w:val="bottom"/>
            <w:gridSpan w:val="2"/>
          </w:tcPr>
          <w:p>
            <w:pPr>
              <w:jc w:val="right"/>
              <w:ind w:right="100"/>
              <w:spacing w:after="0"/>
              <w:rPr>
                <w:sz w:val="20"/>
                <w:szCs w:val="20"/>
                <w:color w:val="auto"/>
              </w:rPr>
            </w:pPr>
            <w:r>
              <w:rPr>
                <w:rFonts w:ascii="Arial" w:cs="Arial" w:eastAsia="Arial" w:hAnsi="Arial"/>
                <w:sz w:val="18"/>
                <w:szCs w:val="18"/>
                <w:color w:val="auto"/>
              </w:rPr>
              <w:t>40,500</w:t>
            </w:r>
          </w:p>
        </w:tc>
        <w:tc>
          <w:tcPr>
            <w:tcW w:w="0" w:type="dxa"/>
            <w:vAlign w:val="bottom"/>
          </w:tcPr>
          <w:p>
            <w:pPr>
              <w:spacing w:after="0"/>
              <w:rPr>
                <w:sz w:val="1"/>
                <w:szCs w:val="1"/>
                <w:color w:val="auto"/>
              </w:rPr>
            </w:pPr>
          </w:p>
        </w:tc>
      </w:tr>
      <w:tr>
        <w:trPr>
          <w:trHeight w:val="218"/>
        </w:trPr>
        <w:tc>
          <w:tcPr>
            <w:tcW w:w="4480" w:type="dxa"/>
            <w:vAlign w:val="bottom"/>
            <w:shd w:val="clear" w:color="auto" w:fill="EAF9E8"/>
          </w:tcPr>
          <w:p>
            <w:pPr>
              <w:spacing w:after="0"/>
              <w:rPr>
                <w:sz w:val="20"/>
                <w:szCs w:val="20"/>
                <w:color w:val="auto"/>
              </w:rPr>
            </w:pPr>
            <w:r>
              <w:rPr>
                <w:rFonts w:ascii="Arial" w:cs="Arial" w:eastAsia="Arial" w:hAnsi="Arial"/>
                <w:sz w:val="18"/>
                <w:szCs w:val="18"/>
                <w:color w:val="auto"/>
              </w:rPr>
              <w:t>Accumulated amortization</w:t>
            </w:r>
          </w:p>
        </w:tc>
        <w:tc>
          <w:tcPr>
            <w:tcW w:w="262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204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rPr>
              <w:t>(4,747)</w:t>
            </w:r>
          </w:p>
        </w:tc>
        <w:tc>
          <w:tcPr>
            <w:tcW w:w="180" w:type="dxa"/>
            <w:vAlign w:val="bottom"/>
            <w:shd w:val="clear" w:color="auto" w:fill="EAF9E8"/>
          </w:tcPr>
          <w:p>
            <w:pPr>
              <w:spacing w:after="0"/>
              <w:rPr>
                <w:sz w:val="18"/>
                <w:szCs w:val="18"/>
                <w:color w:val="auto"/>
              </w:rPr>
            </w:pPr>
          </w:p>
        </w:tc>
        <w:tc>
          <w:tcPr>
            <w:tcW w:w="186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(4,109)</w:t>
            </w:r>
          </w:p>
        </w:tc>
        <w:tc>
          <w:tcPr>
            <w:tcW w:w="0" w:type="dxa"/>
            <w:vAlign w:val="bottom"/>
          </w:tcPr>
          <w:p>
            <w:pPr>
              <w:spacing w:after="0"/>
              <w:rPr>
                <w:sz w:val="1"/>
                <w:szCs w:val="1"/>
                <w:color w:val="auto"/>
              </w:rPr>
            </w:pPr>
          </w:p>
        </w:tc>
      </w:tr>
      <w:tr>
        <w:trPr>
          <w:trHeight w:val="243"/>
        </w:trPr>
        <w:tc>
          <w:tcPr>
            <w:tcW w:w="4480" w:type="dxa"/>
            <w:vAlign w:val="bottom"/>
            <w:vMerge w:val="restart"/>
          </w:tcPr>
          <w:p>
            <w:pPr>
              <w:ind w:left="160"/>
              <w:spacing w:after="0"/>
              <w:rPr>
                <w:sz w:val="20"/>
                <w:szCs w:val="20"/>
                <w:color w:val="auto"/>
              </w:rPr>
            </w:pPr>
            <w:r>
              <w:rPr>
                <w:rFonts w:ascii="Arial" w:cs="Arial" w:eastAsia="Arial" w:hAnsi="Arial"/>
                <w:sz w:val="18"/>
                <w:szCs w:val="18"/>
                <w:color w:val="auto"/>
              </w:rPr>
              <w:t>Intangibles, net</w:t>
            </w:r>
          </w:p>
        </w:tc>
        <w:tc>
          <w:tcPr>
            <w:tcW w:w="26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60" w:type="dxa"/>
            <w:vAlign w:val="bottom"/>
            <w:gridSpan w:val="2"/>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480" w:type="dxa"/>
            <w:vAlign w:val="bottom"/>
            <w:vMerge w:val="continue"/>
          </w:tcPr>
          <w:p>
            <w:pPr>
              <w:spacing w:after="0"/>
              <w:rPr>
                <w:sz w:val="18"/>
                <w:szCs w:val="18"/>
                <w:color w:val="auto"/>
              </w:rPr>
            </w:pPr>
          </w:p>
        </w:tc>
        <w:tc>
          <w:tcPr>
            <w:tcW w:w="26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35,753</w:t>
            </w:r>
          </w:p>
        </w:tc>
        <w:tc>
          <w:tcPr>
            <w:tcW w:w="3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36,391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480" w:type="dxa"/>
            <w:vAlign w:val="bottom"/>
          </w:tcPr>
          <w:p>
            <w:pPr>
              <w:spacing w:after="0"/>
              <w:rPr>
                <w:sz w:val="20"/>
                <w:szCs w:val="20"/>
                <w:color w:val="auto"/>
              </w:rPr>
            </w:pPr>
          </w:p>
        </w:tc>
        <w:tc>
          <w:tcPr>
            <w:tcW w:w="2860" w:type="dxa"/>
            <w:vAlign w:val="bottom"/>
            <w:gridSpan w:val="2"/>
          </w:tcPr>
          <w:p>
            <w:pPr>
              <w:spacing w:after="0"/>
              <w:rPr>
                <w:sz w:val="20"/>
                <w:szCs w:val="20"/>
                <w:color w:val="auto"/>
              </w:rPr>
            </w:pPr>
          </w:p>
        </w:tc>
        <w:tc>
          <w:tcPr>
            <w:tcW w:w="17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6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480" w:type="dxa"/>
            <w:vAlign w:val="bottom"/>
            <w:shd w:val="clear" w:color="auto" w:fill="EAF9E8"/>
          </w:tcPr>
          <w:p>
            <w:pPr>
              <w:spacing w:after="0"/>
              <w:rPr>
                <w:sz w:val="18"/>
                <w:szCs w:val="18"/>
                <w:color w:val="auto"/>
              </w:rPr>
            </w:pPr>
          </w:p>
        </w:tc>
        <w:tc>
          <w:tcPr>
            <w:tcW w:w="2620" w:type="dxa"/>
            <w:vAlign w:val="bottom"/>
            <w:shd w:val="clear" w:color="auto" w:fill="EAF9E8"/>
          </w:tcPr>
          <w:p>
            <w:pPr>
              <w:spacing w:after="0"/>
              <w:rPr>
                <w:sz w:val="18"/>
                <w:szCs w:val="18"/>
                <w:color w:val="auto"/>
              </w:rPr>
            </w:pPr>
          </w:p>
        </w:tc>
        <w:tc>
          <w:tcPr>
            <w:tcW w:w="240" w:type="dxa"/>
            <w:vAlign w:val="bottom"/>
            <w:tcBorders>
              <w:top w:val="single" w:sz="8" w:color="auto"/>
            </w:tcBorders>
            <w:shd w:val="clear" w:color="auto" w:fill="EAF9E8"/>
          </w:tcPr>
          <w:p>
            <w:pPr>
              <w:jc w:val="right"/>
              <w:ind w:right="83"/>
              <w:spacing w:after="0"/>
              <w:rPr>
                <w:sz w:val="20"/>
                <w:szCs w:val="20"/>
                <w:color w:val="auto"/>
              </w:rPr>
            </w:pPr>
            <w:r>
              <w:rPr>
                <w:rFonts w:ascii="Arial" w:cs="Arial" w:eastAsia="Arial" w:hAnsi="Arial"/>
                <w:sz w:val="15"/>
                <w:szCs w:val="15"/>
                <w:color w:val="auto"/>
                <w:w w:val="71"/>
              </w:rPr>
              <w:t>$</w:t>
            </w:r>
          </w:p>
        </w:tc>
        <w:tc>
          <w:tcPr>
            <w:tcW w:w="170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43,971</w:t>
            </w:r>
          </w:p>
        </w:tc>
        <w:tc>
          <w:tcPr>
            <w:tcW w:w="340" w:type="dxa"/>
            <w:vAlign w:val="bottom"/>
            <w:shd w:val="clear" w:color="auto" w:fill="EAF9E8"/>
          </w:tcPr>
          <w:p>
            <w:pPr>
              <w:spacing w:after="0"/>
              <w:rPr>
                <w:sz w:val="18"/>
                <w:szCs w:val="18"/>
                <w:color w:val="auto"/>
              </w:rPr>
            </w:pPr>
          </w:p>
        </w:tc>
        <w:tc>
          <w:tcPr>
            <w:tcW w:w="180" w:type="dxa"/>
            <w:vAlign w:val="bottom"/>
            <w:tcBorders>
              <w:top w:val="single" w:sz="8" w:color="auto"/>
            </w:tcBorders>
            <w:shd w:val="clear" w:color="auto" w:fill="EAF9E8"/>
          </w:tcPr>
          <w:p>
            <w:pPr>
              <w:jc w:val="right"/>
              <w:ind w:right="23"/>
              <w:spacing w:after="0"/>
              <w:rPr>
                <w:sz w:val="20"/>
                <w:szCs w:val="20"/>
                <w:color w:val="auto"/>
              </w:rPr>
            </w:pPr>
            <w:r>
              <w:rPr>
                <w:rFonts w:ascii="Arial" w:cs="Arial" w:eastAsia="Arial" w:hAnsi="Arial"/>
                <w:sz w:val="15"/>
                <w:szCs w:val="15"/>
                <w:color w:val="auto"/>
                <w:w w:val="71"/>
              </w:rPr>
              <w:t>$</w:t>
            </w:r>
          </w:p>
        </w:tc>
        <w:tc>
          <w:tcPr>
            <w:tcW w:w="176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44,609</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480" w:type="dxa"/>
            <w:vAlign w:val="bottom"/>
          </w:tcPr>
          <w:p>
            <w:pPr>
              <w:spacing w:after="0"/>
              <w:rPr>
                <w:sz w:val="21"/>
                <w:szCs w:val="21"/>
                <w:color w:val="auto"/>
              </w:rPr>
            </w:pPr>
          </w:p>
        </w:tc>
        <w:tc>
          <w:tcPr>
            <w:tcW w:w="26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700" w:type="dxa"/>
            <w:vAlign w:val="bottom"/>
            <w:tcBorders>
              <w:bottom w:val="single" w:sz="8" w:color="auto"/>
            </w:tcBorders>
          </w:tcPr>
          <w:p>
            <w:pPr>
              <w:spacing w:after="0"/>
              <w:rPr>
                <w:sz w:val="21"/>
                <w:szCs w:val="21"/>
                <w:color w:val="auto"/>
              </w:rPr>
            </w:pPr>
          </w:p>
        </w:tc>
        <w:tc>
          <w:tcPr>
            <w:tcW w:w="34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7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31" w:right="239" w:bottom="0" w:gutter="0" w:footer="0" w:header="0"/>
        </w:sectPr>
      </w:pPr>
    </w:p>
    <w:p>
      <w:pPr>
        <w:spacing w:after="0" w:line="8" w:lineRule="exact"/>
        <w:rPr>
          <w:sz w:val="20"/>
          <w:szCs w:val="20"/>
          <w:color w:val="auto"/>
        </w:rPr>
      </w:pPr>
    </w:p>
    <w:p>
      <w:pPr>
        <w:ind w:left="440"/>
        <w:spacing w:after="0"/>
        <w:rPr>
          <w:sz w:val="20"/>
          <w:szCs w:val="20"/>
          <w:color w:val="auto"/>
        </w:rPr>
      </w:pPr>
      <w:r>
        <w:rPr>
          <w:rFonts w:ascii="Arial" w:cs="Arial" w:eastAsia="Arial" w:hAnsi="Arial"/>
          <w:sz w:val="16"/>
          <w:szCs w:val="16"/>
          <w:color w:val="auto"/>
        </w:rPr>
        <w:t>Intangibles consist primarily of customer lists that we are amortizing over their estimated useful lives which range from 10 to 20 years.</w:t>
      </w:r>
    </w:p>
    <w:p>
      <w:pPr>
        <w:sectPr>
          <w:pgSz w:w="11900" w:h="16838" w:orient="portrait"/>
          <w:cols w:equalWidth="0" w:num="1">
            <w:col w:w="11420"/>
          </w:cols>
          <w:pgMar w:left="240" w:top="131" w:right="239" w:bottom="0" w:gutter="0" w:footer="0" w:header="0"/>
          <w:type w:val="continuous"/>
        </w:sectPr>
      </w:pPr>
    </w:p>
    <w:bookmarkStart w:id="49" w:name="page50"/>
    <w:bookmarkEnd w:id="49"/>
    <w:p>
      <w:pPr>
        <w:jc w:val="both"/>
        <w:ind w:firstLine="463"/>
        <w:spacing w:after="0" w:line="289" w:lineRule="auto"/>
        <w:rPr>
          <w:sz w:val="20"/>
          <w:szCs w:val="20"/>
          <w:color w:val="auto"/>
        </w:rPr>
      </w:pPr>
      <w:r>
        <w:rPr>
          <w:rFonts w:ascii="Arial" w:cs="Arial" w:eastAsia="Arial" w:hAnsi="Arial"/>
          <w:sz w:val="16"/>
          <w:szCs w:val="16"/>
          <w:i w:val="1"/>
          <w:iCs w:val="1"/>
          <w:color w:val="auto"/>
        </w:rPr>
        <w:t xml:space="preserve">Lines of credit and other secured borrowings. </w:t>
      </w:r>
      <w:r>
        <w:rPr>
          <w:rFonts w:ascii="Arial" w:cs="Arial" w:eastAsia="Arial" w:hAnsi="Arial"/>
          <w:sz w:val="16"/>
          <w:szCs w:val="16"/>
          <w:color w:val="auto"/>
        </w:rPr>
        <w:t>In July 2008, NCI entered into a revolving secured credit agreement with a financial institution that provides</w:t>
      </w:r>
      <w:r>
        <w:rPr>
          <w:rFonts w:ascii="Arial" w:cs="Arial" w:eastAsia="Arial" w:hAnsi="Arial"/>
          <w:sz w:val="16"/>
          <w:szCs w:val="16"/>
          <w:i w:val="1"/>
          <w:iCs w:val="1"/>
          <w:color w:val="auto"/>
        </w:rPr>
        <w:t xml:space="preserve"> </w:t>
      </w:r>
      <w:r>
        <w:rPr>
          <w:rFonts w:ascii="Arial" w:cs="Arial" w:eastAsia="Arial" w:hAnsi="Arial"/>
          <w:sz w:val="16"/>
          <w:szCs w:val="16"/>
          <w:color w:val="auto"/>
        </w:rPr>
        <w:t>for borrowings of up to $10,000 through July 2011. Interest on the borrowings is based on either a rate of LIBOR plus two percent that is fixed for a period of 1, 3, 6 or 12 months, or a floating rated based on the prime rate less one percent as elected by NCI when the borrowing is made. Substantially all of NCI’s assets, which comprise substantially all of the assets in our Financial Services segment, are pledged as collateral for this credit agreement. These borrowings are limited to 85% of eligible accounts receivable as defined in the agreement. The agreement contains financial covenants that reset annually and that require minimum adjusted pre-tax income levels for NCI as defined in the agreement. During the first quarter of 2009, the outstanding balance was repaid in full; however, the agreement is still in effect and available to meet the liquidity needs of the Financial Services segment. See Note 13 to the Interim Consolidated Financial Statements for additional information.</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0" w:name="page51"/>
    <w:bookmarkEnd w:id="50"/>
    <w:p>
      <w:pPr>
        <w:jc w:val="both"/>
        <w:ind w:right="20" w:firstLine="522"/>
        <w:spacing w:after="0" w:line="268" w:lineRule="auto"/>
        <w:rPr>
          <w:sz w:val="20"/>
          <w:szCs w:val="20"/>
          <w:color w:val="auto"/>
        </w:rPr>
      </w:pPr>
      <w:r>
        <w:rPr>
          <w:rFonts w:ascii="Arial" w:cs="Arial" w:eastAsia="Arial" w:hAnsi="Arial"/>
          <w:sz w:val="18"/>
          <w:szCs w:val="18"/>
          <w:color w:val="auto"/>
        </w:rPr>
        <w:t>In February 2009, we negotiated favorable modifications to the financial covenants for 2009 and agreed to an increase in the interest rate on the floating rate advances to prime plus 1.25%.</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80" w:type="dxa"/>
            <w:vAlign w:val="bottom"/>
            <w:gridSpan w:val="2"/>
          </w:tcPr>
          <w:p>
            <w:pPr>
              <w:spacing w:after="0"/>
              <w:rPr>
                <w:sz w:val="20"/>
                <w:szCs w:val="20"/>
                <w:color w:val="auto"/>
              </w:rPr>
            </w:pPr>
            <w:r>
              <w:rPr>
                <w:rFonts w:ascii="Arial" w:cs="Arial" w:eastAsia="Arial" w:hAnsi="Arial"/>
                <w:sz w:val="18"/>
                <w:szCs w:val="18"/>
                <w:color w:val="auto"/>
                <w:w w:val="93"/>
              </w:rPr>
              <w:t>Comparative selected operations data for the three months ended March 31 is as follows:</w:t>
            </w:r>
          </w:p>
        </w:tc>
        <w:tc>
          <w:tcPr>
            <w:tcW w:w="4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64"/>
        </w:trPr>
        <w:tc>
          <w:tcPr>
            <w:tcW w:w="6200" w:type="dxa"/>
            <w:vAlign w:val="bottom"/>
            <w:tcBorders>
              <w:top w:val="single" w:sz="8" w:color="auto"/>
            </w:tcBorders>
          </w:tcPr>
          <w:p>
            <w:pPr>
              <w:spacing w:after="0"/>
              <w:rPr>
                <w:sz w:val="24"/>
                <w:szCs w:val="24"/>
                <w:color w:val="auto"/>
              </w:rPr>
            </w:pPr>
          </w:p>
        </w:tc>
        <w:tc>
          <w:tcPr>
            <w:tcW w:w="480" w:type="dxa"/>
            <w:vAlign w:val="bottom"/>
          </w:tcPr>
          <w:p>
            <w:pPr>
              <w:spacing w:after="0"/>
              <w:rPr>
                <w:sz w:val="24"/>
                <w:szCs w:val="24"/>
                <w:color w:val="auto"/>
              </w:rPr>
            </w:pPr>
          </w:p>
        </w:tc>
        <w:tc>
          <w:tcPr>
            <w:tcW w:w="1720" w:type="dxa"/>
            <w:vAlign w:val="bottom"/>
            <w:gridSpan w:val="2"/>
          </w:tcPr>
          <w:p>
            <w:pPr>
              <w:jc w:val="right"/>
              <w:ind w:right="83"/>
              <w:spacing w:after="0"/>
              <w:rPr>
                <w:sz w:val="20"/>
                <w:szCs w:val="20"/>
                <w:color w:val="auto"/>
              </w:rPr>
            </w:pPr>
            <w:r>
              <w:rPr>
                <w:rFonts w:ascii="Arial" w:cs="Arial" w:eastAsia="Arial" w:hAnsi="Arial"/>
                <w:sz w:val="18"/>
                <w:szCs w:val="18"/>
                <w:color w:val="auto"/>
              </w:rPr>
              <w:t>2009</w:t>
            </w: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500" w:type="dxa"/>
            <w:vAlign w:val="bottom"/>
          </w:tcPr>
          <w:p>
            <w:pPr>
              <w:jc w:val="right"/>
              <w:ind w:right="712"/>
              <w:spacing w:after="0"/>
              <w:rPr>
                <w:sz w:val="20"/>
                <w:szCs w:val="20"/>
                <w:color w:val="auto"/>
              </w:rPr>
            </w:pPr>
            <w:r>
              <w:rPr>
                <w:rFonts w:ascii="Arial" w:cs="Arial" w:eastAsia="Arial" w:hAnsi="Arial"/>
                <w:sz w:val="18"/>
                <w:szCs w:val="18"/>
                <w:color w:val="auto"/>
              </w:rPr>
              <w:t>2008</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62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720" w:type="dxa"/>
            <w:vAlign w:val="bottom"/>
            <w:gridSpan w:val="2"/>
          </w:tcPr>
          <w:p>
            <w:pPr>
              <w:spacing w:after="0"/>
              <w:rPr>
                <w:sz w:val="21"/>
                <w:szCs w:val="21"/>
                <w:color w:val="auto"/>
              </w:rPr>
            </w:pPr>
          </w:p>
        </w:tc>
        <w:tc>
          <w:tcPr>
            <w:tcW w:w="6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668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Revenue</w:t>
            </w:r>
          </w:p>
        </w:tc>
        <w:tc>
          <w:tcPr>
            <w:tcW w:w="420" w:type="dxa"/>
            <w:vAlign w:val="bottom"/>
            <w:shd w:val="clear" w:color="auto" w:fill="EAF9E8"/>
          </w:tcPr>
          <w:p>
            <w:pPr>
              <w:spacing w:after="0"/>
              <w:rPr>
                <w:sz w:val="18"/>
                <w:szCs w:val="18"/>
                <w:color w:val="auto"/>
              </w:rPr>
            </w:pPr>
          </w:p>
        </w:tc>
        <w:tc>
          <w:tcPr>
            <w:tcW w:w="1300" w:type="dxa"/>
            <w:vAlign w:val="bottom"/>
            <w:tcBorders>
              <w:top w:val="single" w:sz="8" w:color="auto"/>
            </w:tcBorders>
            <w:shd w:val="clear" w:color="auto" w:fill="EAF9E8"/>
          </w:tcPr>
          <w:p>
            <w:pPr>
              <w:jc w:val="right"/>
              <w:ind w:right="1143"/>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17,318</w:t>
            </w:r>
          </w:p>
        </w:tc>
        <w:tc>
          <w:tcPr>
            <w:tcW w:w="2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440" w:type="dxa"/>
            <w:vAlign w:val="bottom"/>
            <w:tcBorders>
              <w:top w:val="single" w:sz="8" w:color="auto"/>
            </w:tcBorders>
            <w:shd w:val="clear" w:color="auto" w:fill="EAF9E8"/>
          </w:tcPr>
          <w:p>
            <w:pPr>
              <w:jc w:val="right"/>
              <w:ind w:right="283"/>
              <w:spacing w:after="0"/>
              <w:rPr>
                <w:sz w:val="20"/>
                <w:szCs w:val="20"/>
                <w:color w:val="auto"/>
              </w:rPr>
            </w:pPr>
            <w:r>
              <w:rPr>
                <w:rFonts w:ascii="Arial" w:cs="Arial" w:eastAsia="Arial" w:hAnsi="Arial"/>
                <w:sz w:val="15"/>
                <w:szCs w:val="15"/>
                <w:color w:val="auto"/>
                <w:w w:val="71"/>
              </w:rPr>
              <w:t>$</w:t>
            </w:r>
          </w:p>
        </w:tc>
        <w:tc>
          <w:tcPr>
            <w:tcW w:w="150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19,499</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6680" w:type="dxa"/>
            <w:vAlign w:val="bottom"/>
            <w:gridSpan w:val="2"/>
            <w:vMerge w:val="restart"/>
          </w:tcPr>
          <w:p>
            <w:pPr>
              <w:spacing w:after="0"/>
              <w:rPr>
                <w:sz w:val="20"/>
                <w:szCs w:val="20"/>
                <w:color w:val="auto"/>
              </w:rPr>
            </w:pPr>
            <w:r>
              <w:rPr>
                <w:rFonts w:ascii="Arial" w:cs="Arial" w:eastAsia="Arial" w:hAnsi="Arial"/>
                <w:sz w:val="18"/>
                <w:szCs w:val="18"/>
                <w:color w:val="auto"/>
              </w:rPr>
              <w:t>Operating expenses:</w:t>
            </w:r>
          </w:p>
        </w:tc>
        <w:tc>
          <w:tcPr>
            <w:tcW w:w="420" w:type="dxa"/>
            <w:vAlign w:val="bottom"/>
          </w:tcPr>
          <w:p>
            <w:pPr>
              <w:spacing w:after="0"/>
              <w:rPr>
                <w:sz w:val="21"/>
                <w:szCs w:val="21"/>
                <w:color w:val="auto"/>
              </w:rPr>
            </w:pPr>
          </w:p>
        </w:tc>
        <w:tc>
          <w:tcPr>
            <w:tcW w:w="130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6680" w:type="dxa"/>
            <w:vAlign w:val="bottom"/>
            <w:gridSpan w:val="2"/>
            <w:vMerge w:val="continue"/>
          </w:tcPr>
          <w:p>
            <w:pPr>
              <w:spacing w:after="0"/>
              <w:rPr>
                <w:sz w:val="18"/>
                <w:szCs w:val="18"/>
                <w:color w:val="auto"/>
              </w:rPr>
            </w:pPr>
          </w:p>
        </w:tc>
        <w:tc>
          <w:tcPr>
            <w:tcW w:w="4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680" w:type="dxa"/>
            <w:vAlign w:val="bottom"/>
            <w:gridSpan w:val="2"/>
            <w:shd w:val="clear" w:color="auto" w:fill="EAF9E8"/>
          </w:tcPr>
          <w:p>
            <w:pPr>
              <w:ind w:left="160"/>
              <w:spacing w:after="0"/>
              <w:rPr>
                <w:sz w:val="20"/>
                <w:szCs w:val="20"/>
                <w:color w:val="auto"/>
              </w:rPr>
            </w:pPr>
            <w:r>
              <w:rPr>
                <w:rFonts w:ascii="Arial" w:cs="Arial" w:eastAsia="Arial" w:hAnsi="Arial"/>
                <w:sz w:val="18"/>
                <w:szCs w:val="18"/>
                <w:color w:val="auto"/>
              </w:rPr>
              <w:t>Compensation and benefits</w:t>
            </w:r>
          </w:p>
        </w:tc>
        <w:tc>
          <w:tcPr>
            <w:tcW w:w="420" w:type="dxa"/>
            <w:vAlign w:val="bottom"/>
            <w:shd w:val="clear" w:color="auto" w:fill="EAF9E8"/>
          </w:tcPr>
          <w:p>
            <w:pPr>
              <w:spacing w:after="0"/>
              <w:rPr>
                <w:sz w:val="18"/>
                <w:szCs w:val="18"/>
                <w:color w:val="auto"/>
              </w:rPr>
            </w:pPr>
          </w:p>
        </w:tc>
        <w:tc>
          <w:tcPr>
            <w:tcW w:w="1300" w:type="dxa"/>
            <w:vAlign w:val="bottom"/>
            <w:shd w:val="clear" w:color="auto" w:fill="EAF9E8"/>
          </w:tcPr>
          <w:p>
            <w:pPr>
              <w:spacing w:after="0"/>
              <w:rPr>
                <w:sz w:val="18"/>
                <w:szCs w:val="18"/>
                <w:color w:val="auto"/>
              </w:rPr>
            </w:pPr>
          </w:p>
        </w:tc>
        <w:tc>
          <w:tcPr>
            <w:tcW w:w="6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8,555</w:t>
            </w:r>
          </w:p>
        </w:tc>
        <w:tc>
          <w:tcPr>
            <w:tcW w:w="2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440" w:type="dxa"/>
            <w:vAlign w:val="bottom"/>
            <w:shd w:val="clear" w:color="auto" w:fill="EAF9E8"/>
          </w:tcPr>
          <w:p>
            <w:pPr>
              <w:spacing w:after="0"/>
              <w:rPr>
                <w:sz w:val="18"/>
                <w:szCs w:val="18"/>
                <w:color w:val="auto"/>
              </w:rPr>
            </w:pPr>
          </w:p>
        </w:tc>
        <w:tc>
          <w:tcPr>
            <w:tcW w:w="160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9,702</w:t>
            </w:r>
          </w:p>
        </w:tc>
        <w:tc>
          <w:tcPr>
            <w:tcW w:w="0" w:type="dxa"/>
            <w:vAlign w:val="bottom"/>
          </w:tcPr>
          <w:p>
            <w:pPr>
              <w:spacing w:after="0"/>
              <w:rPr>
                <w:sz w:val="1"/>
                <w:szCs w:val="1"/>
                <w:color w:val="auto"/>
              </w:rPr>
            </w:pPr>
          </w:p>
        </w:tc>
      </w:tr>
      <w:tr>
        <w:trPr>
          <w:trHeight w:val="216"/>
        </w:trPr>
        <w:tc>
          <w:tcPr>
            <w:tcW w:w="6680" w:type="dxa"/>
            <w:vAlign w:val="bottom"/>
            <w:gridSpan w:val="2"/>
          </w:tcPr>
          <w:p>
            <w:pPr>
              <w:ind w:left="160"/>
              <w:spacing w:after="0"/>
              <w:rPr>
                <w:sz w:val="20"/>
                <w:szCs w:val="20"/>
                <w:color w:val="auto"/>
              </w:rPr>
            </w:pPr>
            <w:r>
              <w:rPr>
                <w:rFonts w:ascii="Arial" w:cs="Arial" w:eastAsia="Arial" w:hAnsi="Arial"/>
                <w:sz w:val="18"/>
                <w:szCs w:val="18"/>
                <w:color w:val="auto"/>
              </w:rPr>
              <w:t>Servicing and origination</w:t>
            </w:r>
          </w:p>
        </w:tc>
        <w:tc>
          <w:tcPr>
            <w:tcW w:w="4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3,354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3,085</w:t>
            </w:r>
          </w:p>
        </w:tc>
        <w:tc>
          <w:tcPr>
            <w:tcW w:w="0" w:type="dxa"/>
            <w:vAlign w:val="bottom"/>
          </w:tcPr>
          <w:p>
            <w:pPr>
              <w:spacing w:after="0"/>
              <w:rPr>
                <w:sz w:val="1"/>
                <w:szCs w:val="1"/>
                <w:color w:val="auto"/>
              </w:rPr>
            </w:pPr>
          </w:p>
        </w:tc>
      </w:tr>
      <w:tr>
        <w:trPr>
          <w:trHeight w:val="216"/>
        </w:trPr>
        <w:tc>
          <w:tcPr>
            <w:tcW w:w="6680" w:type="dxa"/>
            <w:vAlign w:val="bottom"/>
            <w:gridSpan w:val="2"/>
            <w:shd w:val="clear" w:color="auto" w:fill="EAF9E8"/>
          </w:tcPr>
          <w:p>
            <w:pPr>
              <w:ind w:left="160"/>
              <w:spacing w:after="0"/>
              <w:rPr>
                <w:sz w:val="20"/>
                <w:szCs w:val="20"/>
                <w:color w:val="auto"/>
              </w:rPr>
            </w:pPr>
            <w:r>
              <w:rPr>
                <w:rFonts w:ascii="Arial" w:cs="Arial" w:eastAsia="Arial" w:hAnsi="Arial"/>
                <w:sz w:val="18"/>
                <w:szCs w:val="18"/>
                <w:color w:val="auto"/>
              </w:rPr>
              <w:t>Technology and communication</w:t>
            </w:r>
          </w:p>
        </w:tc>
        <w:tc>
          <w:tcPr>
            <w:tcW w:w="420" w:type="dxa"/>
            <w:vAlign w:val="bottom"/>
            <w:shd w:val="clear" w:color="auto" w:fill="EAF9E8"/>
          </w:tcPr>
          <w:p>
            <w:pPr>
              <w:spacing w:after="0"/>
              <w:rPr>
                <w:sz w:val="18"/>
                <w:szCs w:val="18"/>
                <w:color w:val="auto"/>
              </w:rPr>
            </w:pPr>
          </w:p>
        </w:tc>
        <w:tc>
          <w:tcPr>
            <w:tcW w:w="1300" w:type="dxa"/>
            <w:vAlign w:val="bottom"/>
            <w:shd w:val="clear" w:color="auto" w:fill="EAF9E8"/>
          </w:tcPr>
          <w:p>
            <w:pPr>
              <w:spacing w:after="0"/>
              <w:rPr>
                <w:sz w:val="18"/>
                <w:szCs w:val="18"/>
                <w:color w:val="auto"/>
              </w:rPr>
            </w:pPr>
          </w:p>
        </w:tc>
        <w:tc>
          <w:tcPr>
            <w:tcW w:w="6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2,160</w:t>
            </w:r>
          </w:p>
        </w:tc>
        <w:tc>
          <w:tcPr>
            <w:tcW w:w="2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440" w:type="dxa"/>
            <w:vAlign w:val="bottom"/>
            <w:shd w:val="clear" w:color="auto" w:fill="EAF9E8"/>
          </w:tcPr>
          <w:p>
            <w:pPr>
              <w:spacing w:after="0"/>
              <w:rPr>
                <w:sz w:val="18"/>
                <w:szCs w:val="18"/>
                <w:color w:val="auto"/>
              </w:rPr>
            </w:pPr>
          </w:p>
        </w:tc>
        <w:tc>
          <w:tcPr>
            <w:tcW w:w="160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1,978</w:t>
            </w:r>
          </w:p>
        </w:tc>
        <w:tc>
          <w:tcPr>
            <w:tcW w:w="0" w:type="dxa"/>
            <w:vAlign w:val="bottom"/>
          </w:tcPr>
          <w:p>
            <w:pPr>
              <w:spacing w:after="0"/>
              <w:rPr>
                <w:sz w:val="1"/>
                <w:szCs w:val="1"/>
                <w:color w:val="auto"/>
              </w:rPr>
            </w:pPr>
          </w:p>
        </w:tc>
      </w:tr>
      <w:tr>
        <w:trPr>
          <w:trHeight w:val="216"/>
        </w:trPr>
        <w:tc>
          <w:tcPr>
            <w:tcW w:w="6680" w:type="dxa"/>
            <w:vAlign w:val="bottom"/>
            <w:gridSpan w:val="2"/>
          </w:tcPr>
          <w:p>
            <w:pPr>
              <w:ind w:left="160"/>
              <w:spacing w:after="0"/>
              <w:rPr>
                <w:sz w:val="20"/>
                <w:szCs w:val="20"/>
                <w:color w:val="auto"/>
              </w:rPr>
            </w:pPr>
            <w:r>
              <w:rPr>
                <w:rFonts w:ascii="Arial" w:cs="Arial" w:eastAsia="Arial" w:hAnsi="Arial"/>
                <w:sz w:val="18"/>
                <w:szCs w:val="18"/>
                <w:color w:val="auto"/>
              </w:rPr>
              <w:t>Professional services</w:t>
            </w:r>
          </w:p>
        </w:tc>
        <w:tc>
          <w:tcPr>
            <w:tcW w:w="4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718</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707</w:t>
            </w:r>
          </w:p>
        </w:tc>
        <w:tc>
          <w:tcPr>
            <w:tcW w:w="0" w:type="dxa"/>
            <w:vAlign w:val="bottom"/>
          </w:tcPr>
          <w:p>
            <w:pPr>
              <w:spacing w:after="0"/>
              <w:rPr>
                <w:sz w:val="1"/>
                <w:szCs w:val="1"/>
                <w:color w:val="auto"/>
              </w:rPr>
            </w:pPr>
          </w:p>
        </w:tc>
      </w:tr>
      <w:tr>
        <w:trPr>
          <w:trHeight w:val="216"/>
        </w:trPr>
        <w:tc>
          <w:tcPr>
            <w:tcW w:w="6680" w:type="dxa"/>
            <w:vAlign w:val="bottom"/>
            <w:gridSpan w:val="2"/>
            <w:shd w:val="clear" w:color="auto" w:fill="EAF9E8"/>
          </w:tcPr>
          <w:p>
            <w:pPr>
              <w:ind w:left="160"/>
              <w:spacing w:after="0"/>
              <w:rPr>
                <w:sz w:val="20"/>
                <w:szCs w:val="20"/>
                <w:color w:val="auto"/>
              </w:rPr>
            </w:pPr>
            <w:r>
              <w:rPr>
                <w:rFonts w:ascii="Arial" w:cs="Arial" w:eastAsia="Arial" w:hAnsi="Arial"/>
                <w:sz w:val="18"/>
                <w:szCs w:val="18"/>
                <w:color w:val="auto"/>
              </w:rPr>
              <w:t>Occupancy and equipment</w:t>
            </w:r>
          </w:p>
        </w:tc>
        <w:tc>
          <w:tcPr>
            <w:tcW w:w="420" w:type="dxa"/>
            <w:vAlign w:val="bottom"/>
            <w:shd w:val="clear" w:color="auto" w:fill="EAF9E8"/>
          </w:tcPr>
          <w:p>
            <w:pPr>
              <w:spacing w:after="0"/>
              <w:rPr>
                <w:sz w:val="18"/>
                <w:szCs w:val="18"/>
                <w:color w:val="auto"/>
              </w:rPr>
            </w:pPr>
          </w:p>
        </w:tc>
        <w:tc>
          <w:tcPr>
            <w:tcW w:w="1300" w:type="dxa"/>
            <w:vAlign w:val="bottom"/>
            <w:shd w:val="clear" w:color="auto" w:fill="EAF9E8"/>
          </w:tcPr>
          <w:p>
            <w:pPr>
              <w:spacing w:after="0"/>
              <w:rPr>
                <w:sz w:val="18"/>
                <w:szCs w:val="18"/>
                <w:color w:val="auto"/>
              </w:rPr>
            </w:pPr>
          </w:p>
        </w:tc>
        <w:tc>
          <w:tcPr>
            <w:tcW w:w="6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1,239</w:t>
            </w:r>
          </w:p>
        </w:tc>
        <w:tc>
          <w:tcPr>
            <w:tcW w:w="2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440" w:type="dxa"/>
            <w:vAlign w:val="bottom"/>
            <w:shd w:val="clear" w:color="auto" w:fill="EAF9E8"/>
          </w:tcPr>
          <w:p>
            <w:pPr>
              <w:spacing w:after="0"/>
              <w:rPr>
                <w:sz w:val="18"/>
                <w:szCs w:val="18"/>
                <w:color w:val="auto"/>
              </w:rPr>
            </w:pPr>
          </w:p>
        </w:tc>
        <w:tc>
          <w:tcPr>
            <w:tcW w:w="160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1,081</w:t>
            </w:r>
          </w:p>
        </w:tc>
        <w:tc>
          <w:tcPr>
            <w:tcW w:w="0" w:type="dxa"/>
            <w:vAlign w:val="bottom"/>
          </w:tcPr>
          <w:p>
            <w:pPr>
              <w:spacing w:after="0"/>
              <w:rPr>
                <w:sz w:val="1"/>
                <w:szCs w:val="1"/>
                <w:color w:val="auto"/>
              </w:rPr>
            </w:pPr>
          </w:p>
        </w:tc>
      </w:tr>
      <w:tr>
        <w:trPr>
          <w:trHeight w:val="222"/>
        </w:trPr>
        <w:tc>
          <w:tcPr>
            <w:tcW w:w="6680" w:type="dxa"/>
            <w:vAlign w:val="bottom"/>
            <w:gridSpan w:val="2"/>
          </w:tcPr>
          <w:p>
            <w:pPr>
              <w:ind w:left="160"/>
              <w:spacing w:after="0"/>
              <w:rPr>
                <w:sz w:val="20"/>
                <w:szCs w:val="20"/>
                <w:color w:val="auto"/>
              </w:rPr>
            </w:pPr>
            <w:r>
              <w:rPr>
                <w:rFonts w:ascii="Arial" w:cs="Arial" w:eastAsia="Arial" w:hAnsi="Arial"/>
                <w:sz w:val="18"/>
                <w:szCs w:val="18"/>
                <w:color w:val="auto"/>
              </w:rPr>
              <w:t>Other</w:t>
            </w:r>
          </w:p>
        </w:tc>
        <w:tc>
          <w:tcPr>
            <w:tcW w:w="4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2,125</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2,455</w:t>
            </w:r>
          </w:p>
        </w:tc>
        <w:tc>
          <w:tcPr>
            <w:tcW w:w="0" w:type="dxa"/>
            <w:vAlign w:val="bottom"/>
          </w:tcPr>
          <w:p>
            <w:pPr>
              <w:spacing w:after="0"/>
              <w:rPr>
                <w:sz w:val="1"/>
                <w:szCs w:val="1"/>
                <w:color w:val="auto"/>
              </w:rPr>
            </w:pPr>
          </w:p>
        </w:tc>
      </w:tr>
      <w:tr>
        <w:trPr>
          <w:trHeight w:val="237"/>
        </w:trPr>
        <w:tc>
          <w:tcPr>
            <w:tcW w:w="62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680" w:type="dxa"/>
            <w:vAlign w:val="bottom"/>
            <w:gridSpan w:val="2"/>
            <w:shd w:val="clear" w:color="auto" w:fill="EAF9E8"/>
          </w:tcPr>
          <w:p>
            <w:pPr>
              <w:ind w:left="320"/>
              <w:spacing w:after="0"/>
              <w:rPr>
                <w:sz w:val="20"/>
                <w:szCs w:val="20"/>
                <w:color w:val="auto"/>
              </w:rPr>
            </w:pPr>
            <w:r>
              <w:rPr>
                <w:rFonts w:ascii="Arial" w:cs="Arial" w:eastAsia="Arial" w:hAnsi="Arial"/>
                <w:sz w:val="18"/>
                <w:szCs w:val="18"/>
                <w:color w:val="auto"/>
              </w:rPr>
              <w:t>Total operating expenses</w:t>
            </w:r>
          </w:p>
        </w:tc>
        <w:tc>
          <w:tcPr>
            <w:tcW w:w="420" w:type="dxa"/>
            <w:vAlign w:val="bottom"/>
            <w:shd w:val="clear" w:color="auto" w:fill="EAF9E8"/>
          </w:tcPr>
          <w:p>
            <w:pPr>
              <w:spacing w:after="0"/>
              <w:rPr>
                <w:sz w:val="18"/>
                <w:szCs w:val="18"/>
                <w:color w:val="auto"/>
              </w:rPr>
            </w:pPr>
          </w:p>
        </w:tc>
        <w:tc>
          <w:tcPr>
            <w:tcW w:w="1300" w:type="dxa"/>
            <w:vAlign w:val="bottom"/>
            <w:tcBorders>
              <w:top w:val="single" w:sz="8" w:color="auto"/>
            </w:tcBorders>
            <w:shd w:val="clear" w:color="auto" w:fill="EAF9E8"/>
          </w:tcPr>
          <w:p>
            <w:pPr>
              <w:spacing w:after="0"/>
              <w:rPr>
                <w:sz w:val="18"/>
                <w:szCs w:val="18"/>
                <w:color w:val="auto"/>
              </w:rPr>
            </w:pPr>
          </w:p>
        </w:tc>
        <w:tc>
          <w:tcPr>
            <w:tcW w:w="64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18,151</w:t>
            </w:r>
          </w:p>
        </w:tc>
        <w:tc>
          <w:tcPr>
            <w:tcW w:w="2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440" w:type="dxa"/>
            <w:vAlign w:val="bottom"/>
            <w:tcBorders>
              <w:top w:val="single" w:sz="8" w:color="auto"/>
            </w:tcBorders>
            <w:shd w:val="clear" w:color="auto" w:fill="EAF9E8"/>
          </w:tcPr>
          <w:p>
            <w:pPr>
              <w:spacing w:after="0"/>
              <w:rPr>
                <w:sz w:val="18"/>
                <w:szCs w:val="18"/>
                <w:color w:val="auto"/>
              </w:rPr>
            </w:pPr>
          </w:p>
        </w:tc>
        <w:tc>
          <w:tcPr>
            <w:tcW w:w="150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19,008</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6680" w:type="dxa"/>
            <w:vAlign w:val="bottom"/>
            <w:gridSpan w:val="2"/>
            <w:vMerge w:val="restart"/>
          </w:tcPr>
          <w:p>
            <w:pPr>
              <w:spacing w:after="0"/>
              <w:rPr>
                <w:sz w:val="20"/>
                <w:szCs w:val="20"/>
                <w:color w:val="auto"/>
              </w:rPr>
            </w:pPr>
            <w:r>
              <w:rPr>
                <w:rFonts w:ascii="Arial" w:cs="Arial" w:eastAsia="Arial" w:hAnsi="Arial"/>
                <w:sz w:val="18"/>
                <w:szCs w:val="18"/>
                <w:color w:val="auto"/>
              </w:rPr>
              <w:t>Income (loss) from operations</w:t>
            </w:r>
          </w:p>
        </w:tc>
        <w:tc>
          <w:tcPr>
            <w:tcW w:w="4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840" w:type="dxa"/>
            <w:vAlign w:val="bottom"/>
            <w:gridSpan w:val="2"/>
          </w:tcPr>
          <w:p>
            <w:pPr>
              <w:spacing w:after="0"/>
              <w:rPr>
                <w:sz w:val="21"/>
                <w:szCs w:val="21"/>
                <w:color w:val="auto"/>
              </w:rPr>
            </w:pPr>
          </w:p>
        </w:tc>
        <w:tc>
          <w:tcPr>
            <w:tcW w:w="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600" w:type="dxa"/>
            <w:vAlign w:val="bottom"/>
            <w:gridSpan w:val="2"/>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6680" w:type="dxa"/>
            <w:vAlign w:val="bottom"/>
            <w:gridSpan w:val="2"/>
            <w:vMerge w:val="continue"/>
          </w:tcPr>
          <w:p>
            <w:pPr>
              <w:spacing w:after="0"/>
              <w:rPr>
                <w:sz w:val="18"/>
                <w:szCs w:val="18"/>
                <w:color w:val="auto"/>
              </w:rPr>
            </w:pPr>
          </w:p>
        </w:tc>
        <w:tc>
          <w:tcPr>
            <w:tcW w:w="420" w:type="dxa"/>
            <w:vAlign w:val="bottom"/>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(833)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Other expense, net</w:t>
            </w:r>
          </w:p>
        </w:tc>
        <w:tc>
          <w:tcPr>
            <w:tcW w:w="420" w:type="dxa"/>
            <w:vAlign w:val="bottom"/>
            <w:shd w:val="clear" w:color="auto" w:fill="EAF9E8"/>
          </w:tcPr>
          <w:p>
            <w:pPr>
              <w:spacing w:after="0"/>
              <w:rPr>
                <w:sz w:val="18"/>
                <w:szCs w:val="18"/>
                <w:color w:val="auto"/>
              </w:rPr>
            </w:pPr>
          </w:p>
        </w:tc>
        <w:tc>
          <w:tcPr>
            <w:tcW w:w="1300" w:type="dxa"/>
            <w:vAlign w:val="bottom"/>
            <w:shd w:val="clear" w:color="auto" w:fill="EAF9E8"/>
          </w:tcPr>
          <w:p>
            <w:pPr>
              <w:spacing w:after="0"/>
              <w:rPr>
                <w:sz w:val="18"/>
                <w:szCs w:val="18"/>
                <w:color w:val="auto"/>
              </w:rPr>
            </w:pPr>
          </w:p>
        </w:tc>
        <w:tc>
          <w:tcPr>
            <w:tcW w:w="84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(468)</w:t>
            </w:r>
          </w:p>
        </w:tc>
        <w:tc>
          <w:tcPr>
            <w:tcW w:w="140" w:type="dxa"/>
            <w:vAlign w:val="bottom"/>
            <w:shd w:val="clear" w:color="auto" w:fill="EAF9E8"/>
          </w:tcPr>
          <w:p>
            <w:pPr>
              <w:spacing w:after="0"/>
              <w:rPr>
                <w:sz w:val="18"/>
                <w:szCs w:val="18"/>
                <w:color w:val="auto"/>
              </w:rPr>
            </w:pPr>
          </w:p>
        </w:tc>
        <w:tc>
          <w:tcPr>
            <w:tcW w:w="440" w:type="dxa"/>
            <w:vAlign w:val="bottom"/>
            <w:shd w:val="clear" w:color="auto" w:fill="EAF9E8"/>
          </w:tcPr>
          <w:p>
            <w:pPr>
              <w:spacing w:after="0"/>
              <w:rPr>
                <w:sz w:val="18"/>
                <w:szCs w:val="18"/>
                <w:color w:val="auto"/>
              </w:rPr>
            </w:pPr>
          </w:p>
        </w:tc>
        <w:tc>
          <w:tcPr>
            <w:tcW w:w="160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(468)</w:t>
            </w:r>
          </w:p>
        </w:tc>
        <w:tc>
          <w:tcPr>
            <w:tcW w:w="0" w:type="dxa"/>
            <w:vAlign w:val="bottom"/>
          </w:tcPr>
          <w:p>
            <w:pPr>
              <w:spacing w:after="0"/>
              <w:rPr>
                <w:sz w:val="1"/>
                <w:szCs w:val="1"/>
                <w:color w:val="auto"/>
              </w:rPr>
            </w:pPr>
          </w:p>
        </w:tc>
      </w:tr>
      <w:tr>
        <w:trPr>
          <w:trHeight w:val="243"/>
        </w:trPr>
        <w:tc>
          <w:tcPr>
            <w:tcW w:w="6680" w:type="dxa"/>
            <w:vAlign w:val="bottom"/>
            <w:gridSpan w:val="2"/>
            <w:vMerge w:val="restart"/>
          </w:tcPr>
          <w:p>
            <w:pPr>
              <w:spacing w:after="0"/>
              <w:rPr>
                <w:sz w:val="20"/>
                <w:szCs w:val="20"/>
                <w:color w:val="auto"/>
              </w:rPr>
            </w:pPr>
            <w:r>
              <w:rPr>
                <w:rFonts w:ascii="Arial" w:cs="Arial" w:eastAsia="Arial" w:hAnsi="Arial"/>
                <w:sz w:val="18"/>
                <w:szCs w:val="18"/>
                <w:color w:val="auto"/>
              </w:rPr>
              <w:t>Income (loss) before income taxes</w:t>
            </w:r>
          </w:p>
        </w:tc>
        <w:tc>
          <w:tcPr>
            <w:tcW w:w="1720" w:type="dxa"/>
            <w:vAlign w:val="bottom"/>
            <w:gridSpan w:val="2"/>
          </w:tcPr>
          <w:p>
            <w:pPr>
              <w:spacing w:after="0"/>
              <w:rPr>
                <w:sz w:val="21"/>
                <w:szCs w:val="21"/>
                <w:color w:val="auto"/>
              </w:rPr>
            </w:pPr>
          </w:p>
        </w:tc>
        <w:tc>
          <w:tcPr>
            <w:tcW w:w="840" w:type="dxa"/>
            <w:vAlign w:val="bottom"/>
            <w:gridSpan w:val="2"/>
          </w:tcPr>
          <w:p>
            <w:pPr>
              <w:spacing w:after="0"/>
              <w:rPr>
                <w:sz w:val="21"/>
                <w:szCs w:val="21"/>
                <w:color w:val="auto"/>
              </w:rPr>
            </w:pPr>
          </w:p>
        </w:tc>
        <w:tc>
          <w:tcPr>
            <w:tcW w:w="580" w:type="dxa"/>
            <w:vAlign w:val="bottom"/>
            <w:gridSpan w:val="2"/>
          </w:tcPr>
          <w:p>
            <w:pPr>
              <w:spacing w:after="0"/>
              <w:rPr>
                <w:sz w:val="21"/>
                <w:szCs w:val="21"/>
                <w:color w:val="auto"/>
              </w:rPr>
            </w:pPr>
          </w:p>
        </w:tc>
        <w:tc>
          <w:tcPr>
            <w:tcW w:w="1600" w:type="dxa"/>
            <w:vAlign w:val="bottom"/>
            <w:gridSpan w:val="2"/>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6680" w:type="dxa"/>
            <w:vAlign w:val="bottom"/>
            <w:gridSpan w:val="2"/>
            <w:vMerge w:val="continue"/>
          </w:tcPr>
          <w:p>
            <w:pPr>
              <w:spacing w:after="0"/>
              <w:rPr>
                <w:sz w:val="18"/>
                <w:szCs w:val="18"/>
                <w:color w:val="auto"/>
              </w:rPr>
            </w:pPr>
          </w:p>
        </w:tc>
        <w:tc>
          <w:tcPr>
            <w:tcW w:w="420" w:type="dxa"/>
            <w:vAlign w:val="bottom"/>
          </w:tcPr>
          <w:p>
            <w:pPr>
              <w:spacing w:after="0"/>
              <w:rPr>
                <w:sz w:val="18"/>
                <w:szCs w:val="18"/>
                <w:color w:val="auto"/>
              </w:rPr>
            </w:pPr>
          </w:p>
        </w:tc>
        <w:tc>
          <w:tcPr>
            <w:tcW w:w="1300" w:type="dxa"/>
            <w:vAlign w:val="bottom"/>
            <w:tcBorders>
              <w:top w:val="single" w:sz="8" w:color="auto"/>
            </w:tcBorders>
          </w:tcPr>
          <w:p>
            <w:pPr>
              <w:jc w:val="right"/>
              <w:ind w:right="1143"/>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(1,301)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Borders>
              <w:top w:val="single" w:sz="8" w:color="auto"/>
            </w:tcBorders>
          </w:tcPr>
          <w:p>
            <w:pPr>
              <w:jc w:val="right"/>
              <w:ind w:right="283"/>
              <w:spacing w:after="0"/>
              <w:rPr>
                <w:sz w:val="20"/>
                <w:szCs w:val="20"/>
                <w:color w:val="auto"/>
              </w:rPr>
            </w:pPr>
            <w:r>
              <w:rPr>
                <w:rFonts w:ascii="Arial" w:cs="Arial" w:eastAsia="Arial" w:hAnsi="Arial"/>
                <w:sz w:val="15"/>
                <w:szCs w:val="15"/>
                <w:color w:val="auto"/>
                <w:w w:val="71"/>
              </w:rPr>
              <w:t>$</w:t>
            </w: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4507230</wp:posOffset>
            </wp:positionH>
            <wp:positionV relativeFrom="paragraph">
              <wp:posOffset>150495</wp:posOffset>
            </wp:positionV>
            <wp:extent cx="2675890"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675890" cy="26035"/>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jc w:val="both"/>
        <w:ind w:right="40" w:firstLine="494"/>
        <w:spacing w:after="0" w:line="268" w:lineRule="auto"/>
        <w:rPr>
          <w:sz w:val="20"/>
          <w:szCs w:val="20"/>
          <w:color w:val="auto"/>
        </w:rPr>
      </w:pPr>
      <w:r>
        <w:rPr>
          <w:rFonts w:ascii="Arial" w:cs="Arial" w:eastAsia="Arial" w:hAnsi="Arial"/>
          <w:sz w:val="18"/>
          <w:szCs w:val="18"/>
          <w:color w:val="auto"/>
        </w:rPr>
        <w:t>The decrease in revenue in the first quarter of 2009 as compared to the first quarter of 2008 is primarily due to lower collection rates that we experienced and which we believe are due to the current economic climate and are consistent with the collections industry in general.</w:t>
      </w:r>
    </w:p>
    <w:p>
      <w:pPr>
        <w:spacing w:after="0" w:line="186" w:lineRule="exact"/>
        <w:rPr>
          <w:sz w:val="20"/>
          <w:szCs w:val="20"/>
          <w:color w:val="auto"/>
        </w:rPr>
      </w:pPr>
    </w:p>
    <w:p>
      <w:pPr>
        <w:jc w:val="both"/>
        <w:ind w:right="20" w:firstLine="461"/>
        <w:spacing w:after="0" w:line="259" w:lineRule="auto"/>
        <w:rPr>
          <w:sz w:val="20"/>
          <w:szCs w:val="20"/>
          <w:color w:val="auto"/>
        </w:rPr>
      </w:pPr>
      <w:r>
        <w:rPr>
          <w:rFonts w:ascii="Arial" w:cs="Arial" w:eastAsia="Arial" w:hAnsi="Arial"/>
          <w:sz w:val="18"/>
          <w:szCs w:val="18"/>
          <w:color w:val="auto"/>
        </w:rPr>
        <w:t>The decrease in compensation and benefits in the first quarter of 2009 as compared to the first quarter of 2008 is largely the result of our continuing efforts to increase our revenue per collector and to focus on improving our service to our largest customers while also renegotiating rates or terminating our relationship with unprofitable customers.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Technology Products</w:t>
      </w:r>
    </w:p>
    <w:p>
      <w:pPr>
        <w:spacing w:after="0" w:line="231" w:lineRule="exact"/>
        <w:rPr>
          <w:sz w:val="20"/>
          <w:szCs w:val="20"/>
          <w:color w:val="auto"/>
        </w:rPr>
      </w:pPr>
    </w:p>
    <w:p>
      <w:pPr>
        <w:jc w:val="both"/>
        <w:ind w:right="20" w:firstLine="429"/>
        <w:spacing w:after="0" w:line="259" w:lineRule="auto"/>
        <w:rPr>
          <w:sz w:val="20"/>
          <w:szCs w:val="20"/>
          <w:color w:val="auto"/>
        </w:rPr>
      </w:pPr>
      <w:r>
        <w:rPr>
          <w:rFonts w:ascii="Arial" w:cs="Arial" w:eastAsia="Arial" w:hAnsi="Arial"/>
          <w:sz w:val="18"/>
          <w:szCs w:val="18"/>
          <w:color w:val="auto"/>
        </w:rPr>
        <w:t>Although income from operations improved by $798 in the first quarter of 2009 as compared to 2008, pre-tax income declined by $7,287 due to a decline in our equity in the earnings of BMS Holdings, which was $7,886 in the first quarter of 2008. Because of an accumulated deficit at BMS Holdings, we have not resumed applying the equity method of accounting since the second quarter of 2008.</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260" w:type="dxa"/>
            <w:vAlign w:val="bottom"/>
            <w:gridSpan w:val="2"/>
          </w:tcPr>
          <w:p>
            <w:pPr>
              <w:spacing w:after="0"/>
              <w:rPr>
                <w:sz w:val="20"/>
                <w:szCs w:val="20"/>
                <w:color w:val="auto"/>
              </w:rPr>
            </w:pPr>
            <w:r>
              <w:rPr>
                <w:rFonts w:ascii="Arial" w:cs="Arial" w:eastAsia="Arial" w:hAnsi="Arial"/>
                <w:sz w:val="18"/>
                <w:szCs w:val="18"/>
                <w:color w:val="auto"/>
              </w:rPr>
              <w:t>Comparative selected balance sheet data:</w:t>
            </w:r>
          </w:p>
        </w:tc>
        <w:tc>
          <w:tcPr>
            <w:tcW w:w="28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4"/>
        </w:trPr>
        <w:tc>
          <w:tcPr>
            <w:tcW w:w="2900" w:type="dxa"/>
            <w:vAlign w:val="bottom"/>
            <w:tcBorders>
              <w:top w:val="single" w:sz="8" w:color="auto"/>
            </w:tcBorders>
          </w:tcPr>
          <w:p>
            <w:pPr>
              <w:spacing w:after="0"/>
              <w:rPr>
                <w:sz w:val="24"/>
                <w:szCs w:val="24"/>
                <w:color w:val="auto"/>
              </w:rPr>
            </w:pPr>
          </w:p>
        </w:tc>
        <w:tc>
          <w:tcPr>
            <w:tcW w:w="136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March 31, 2009</w:t>
            </w: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60" w:type="dxa"/>
            <w:vAlign w:val="bottom"/>
            <w:gridSpan w:val="2"/>
          </w:tcPr>
          <w:p>
            <w:pPr>
              <w:ind w:left="100"/>
              <w:spacing w:after="0"/>
              <w:rPr>
                <w:sz w:val="20"/>
                <w:szCs w:val="20"/>
                <w:color w:val="auto"/>
              </w:rPr>
            </w:pPr>
            <w:r>
              <w:rPr>
                <w:rFonts w:ascii="Arial" w:cs="Arial" w:eastAsia="Arial" w:hAnsi="Arial"/>
                <w:sz w:val="18"/>
                <w:szCs w:val="18"/>
                <w:color w:val="auto"/>
              </w:rPr>
              <w:t>December 31, 2008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29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4380" w:type="dxa"/>
            <w:vAlign w:val="bottom"/>
            <w:gridSpan w:val="2"/>
          </w:tcPr>
          <w:p>
            <w:pPr>
              <w:spacing w:after="0"/>
              <w:rPr>
                <w:sz w:val="21"/>
                <w:szCs w:val="21"/>
                <w:color w:val="auto"/>
              </w:rPr>
            </w:pPr>
          </w:p>
        </w:tc>
        <w:tc>
          <w:tcPr>
            <w:tcW w:w="4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426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Receivables</w:t>
            </w:r>
          </w:p>
        </w:tc>
        <w:tc>
          <w:tcPr>
            <w:tcW w:w="2840" w:type="dxa"/>
            <w:vAlign w:val="bottom"/>
            <w:shd w:val="clear" w:color="auto" w:fill="EAF9E8"/>
          </w:tcPr>
          <w:p>
            <w:pPr>
              <w:spacing w:after="0"/>
              <w:rPr>
                <w:sz w:val="18"/>
                <w:szCs w:val="18"/>
                <w:color w:val="auto"/>
              </w:rPr>
            </w:pPr>
          </w:p>
        </w:tc>
        <w:tc>
          <w:tcPr>
            <w:tcW w:w="1540" w:type="dxa"/>
            <w:vAlign w:val="bottom"/>
            <w:tcBorders>
              <w:top w:val="single" w:sz="8" w:color="auto"/>
            </w:tcBorders>
            <w:shd w:val="clear" w:color="auto" w:fill="EAF9E8"/>
          </w:tcPr>
          <w:p>
            <w:pPr>
              <w:jc w:val="right"/>
              <w:ind w:right="1380"/>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776</w:t>
            </w:r>
          </w:p>
        </w:tc>
        <w:tc>
          <w:tcPr>
            <w:tcW w:w="340" w:type="dxa"/>
            <w:vAlign w:val="bottom"/>
            <w:shd w:val="clear" w:color="auto" w:fill="EAF9E8"/>
          </w:tcPr>
          <w:p>
            <w:pPr>
              <w:spacing w:after="0"/>
              <w:rPr>
                <w:sz w:val="18"/>
                <w:szCs w:val="18"/>
                <w:color w:val="auto"/>
              </w:rPr>
            </w:pPr>
          </w:p>
        </w:tc>
        <w:tc>
          <w:tcPr>
            <w:tcW w:w="180" w:type="dxa"/>
            <w:vAlign w:val="bottom"/>
            <w:tcBorders>
              <w:top w:val="single" w:sz="8" w:color="auto"/>
            </w:tcBorders>
            <w:shd w:val="clear" w:color="auto" w:fill="EAF9E8"/>
          </w:tcPr>
          <w:p>
            <w:pPr>
              <w:jc w:val="right"/>
              <w:ind w:right="23"/>
              <w:spacing w:after="0"/>
              <w:rPr>
                <w:sz w:val="20"/>
                <w:szCs w:val="20"/>
                <w:color w:val="auto"/>
              </w:rPr>
            </w:pPr>
            <w:r>
              <w:rPr>
                <w:rFonts w:ascii="Arial" w:cs="Arial" w:eastAsia="Arial" w:hAnsi="Arial"/>
                <w:sz w:val="15"/>
                <w:szCs w:val="15"/>
                <w:color w:val="auto"/>
                <w:w w:val="71"/>
              </w:rPr>
              <w:t>$</w:t>
            </w:r>
          </w:p>
        </w:tc>
        <w:tc>
          <w:tcPr>
            <w:tcW w:w="176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974</w:t>
            </w:r>
          </w:p>
        </w:tc>
        <w:tc>
          <w:tcPr>
            <w:tcW w:w="100" w:type="dxa"/>
            <w:vAlign w:val="bottom"/>
            <w:shd w:val="clear" w:color="auto" w:fill="EAF9E8"/>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gridSpan w:val="2"/>
          </w:tcPr>
          <w:p>
            <w:pPr>
              <w:spacing w:after="0"/>
              <w:rPr>
                <w:sz w:val="20"/>
                <w:szCs w:val="20"/>
                <w:color w:val="auto"/>
              </w:rPr>
            </w:pPr>
            <w:r>
              <w:rPr>
                <w:rFonts w:ascii="Arial" w:cs="Arial" w:eastAsia="Arial" w:hAnsi="Arial"/>
                <w:sz w:val="18"/>
                <w:szCs w:val="18"/>
                <w:color w:val="auto"/>
              </w:rPr>
              <w:t>Goodwill</w:t>
            </w:r>
          </w:p>
        </w:tc>
        <w:tc>
          <w:tcPr>
            <w:tcW w:w="28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1,618</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60" w:type="dxa"/>
            <w:vAlign w:val="bottom"/>
            <w:gridSpan w:val="2"/>
          </w:tcPr>
          <w:p>
            <w:pPr>
              <w:jc w:val="right"/>
              <w:ind w:right="100"/>
              <w:spacing w:after="0"/>
              <w:rPr>
                <w:sz w:val="20"/>
                <w:szCs w:val="20"/>
                <w:color w:val="auto"/>
              </w:rPr>
            </w:pPr>
            <w:r>
              <w:rPr>
                <w:rFonts w:ascii="Arial" w:cs="Arial" w:eastAsia="Arial" w:hAnsi="Arial"/>
                <w:sz w:val="18"/>
                <w:szCs w:val="18"/>
                <w:color w:val="auto"/>
              </w:rPr>
              <w:t>1,618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Premises and equipment</w:t>
            </w:r>
          </w:p>
        </w:tc>
        <w:tc>
          <w:tcPr>
            <w:tcW w:w="2840" w:type="dxa"/>
            <w:vAlign w:val="bottom"/>
            <w:shd w:val="clear" w:color="auto" w:fill="EAF9E8"/>
          </w:tcPr>
          <w:p>
            <w:pPr>
              <w:spacing w:after="0"/>
              <w:rPr>
                <w:sz w:val="18"/>
                <w:szCs w:val="18"/>
                <w:color w:val="auto"/>
              </w:rPr>
            </w:pPr>
          </w:p>
        </w:tc>
        <w:tc>
          <w:tcPr>
            <w:tcW w:w="1540" w:type="dxa"/>
            <w:vAlign w:val="bottom"/>
            <w:shd w:val="clear" w:color="auto" w:fill="EAF9E8"/>
          </w:tcPr>
          <w:p>
            <w:pPr>
              <w:spacing w:after="0"/>
              <w:rPr>
                <w:sz w:val="18"/>
                <w:szCs w:val="18"/>
                <w:color w:val="auto"/>
              </w:rPr>
            </w:pPr>
          </w:p>
        </w:tc>
        <w:tc>
          <w:tcPr>
            <w:tcW w:w="400" w:type="dxa"/>
            <w:vAlign w:val="bottom"/>
            <w:shd w:val="clear" w:color="auto" w:fill="EAF9E8"/>
          </w:tcPr>
          <w:p>
            <w:pPr>
              <w:jc w:val="right"/>
              <w:spacing w:after="0"/>
              <w:rPr>
                <w:sz w:val="20"/>
                <w:szCs w:val="20"/>
                <w:color w:val="auto"/>
              </w:rPr>
            </w:pPr>
            <w:r>
              <w:rPr>
                <w:rFonts w:ascii="Arial" w:cs="Arial" w:eastAsia="Arial" w:hAnsi="Arial"/>
                <w:sz w:val="18"/>
                <w:szCs w:val="18"/>
                <w:color w:val="auto"/>
                <w:w w:val="84"/>
              </w:rPr>
              <w:t>4,950</w:t>
            </w:r>
          </w:p>
        </w:tc>
        <w:tc>
          <w:tcPr>
            <w:tcW w:w="34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86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5,452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260" w:type="dxa"/>
            <w:vAlign w:val="bottom"/>
            <w:gridSpan w:val="2"/>
          </w:tcPr>
          <w:p>
            <w:pPr>
              <w:spacing w:after="0"/>
              <w:rPr>
                <w:sz w:val="20"/>
                <w:szCs w:val="20"/>
                <w:color w:val="auto"/>
              </w:rPr>
            </w:pPr>
            <w:r>
              <w:rPr>
                <w:rFonts w:ascii="Arial" w:cs="Arial" w:eastAsia="Arial" w:hAnsi="Arial"/>
                <w:sz w:val="18"/>
                <w:szCs w:val="18"/>
                <w:color w:val="auto"/>
              </w:rPr>
              <w:t>Other</w:t>
            </w:r>
          </w:p>
        </w:tc>
        <w:tc>
          <w:tcPr>
            <w:tcW w:w="28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1,145</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60" w:type="dxa"/>
            <w:vAlign w:val="bottom"/>
            <w:gridSpan w:val="2"/>
          </w:tcPr>
          <w:p>
            <w:pPr>
              <w:jc w:val="right"/>
              <w:ind w:right="100"/>
              <w:spacing w:after="0"/>
              <w:rPr>
                <w:sz w:val="20"/>
                <w:szCs w:val="20"/>
                <w:color w:val="auto"/>
              </w:rPr>
            </w:pPr>
            <w:r>
              <w:rPr>
                <w:rFonts w:ascii="Arial" w:cs="Arial" w:eastAsia="Arial" w:hAnsi="Arial"/>
                <w:sz w:val="18"/>
                <w:szCs w:val="18"/>
                <w:color w:val="auto"/>
              </w:rPr>
              <w:t>862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9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4380" w:type="dxa"/>
            <w:vAlign w:val="bottom"/>
            <w:gridSpan w:val="2"/>
          </w:tcPr>
          <w:p>
            <w:pPr>
              <w:spacing w:after="0"/>
              <w:rPr>
                <w:sz w:val="20"/>
                <w:szCs w:val="20"/>
                <w:color w:val="auto"/>
              </w:rPr>
            </w:pPr>
          </w:p>
        </w:tc>
        <w:tc>
          <w:tcPr>
            <w:tcW w:w="400" w:type="dxa"/>
            <w:vAlign w:val="bottom"/>
          </w:tcPr>
          <w:p>
            <w:pPr>
              <w:spacing w:after="0"/>
              <w:rPr>
                <w:sz w:val="20"/>
                <w:szCs w:val="20"/>
                <w:color w:val="auto"/>
              </w:rPr>
            </w:pPr>
          </w:p>
        </w:tc>
        <w:tc>
          <w:tcPr>
            <w:tcW w:w="520" w:type="dxa"/>
            <w:vAlign w:val="bottom"/>
            <w:gridSpan w:val="2"/>
          </w:tcPr>
          <w:p>
            <w:pPr>
              <w:spacing w:after="0"/>
              <w:rPr>
                <w:sz w:val="20"/>
                <w:szCs w:val="20"/>
                <w:color w:val="auto"/>
              </w:rPr>
            </w:pPr>
          </w:p>
        </w:tc>
        <w:tc>
          <w:tcPr>
            <w:tcW w:w="1860" w:type="dxa"/>
            <w:vAlign w:val="bottom"/>
            <w:gridSpan w:val="2"/>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260" w:type="dxa"/>
            <w:vAlign w:val="bottom"/>
            <w:gridSpan w:val="2"/>
            <w:shd w:val="clear" w:color="auto" w:fill="EAF9E8"/>
          </w:tcPr>
          <w:p>
            <w:pPr>
              <w:ind w:left="160"/>
              <w:spacing w:after="0"/>
              <w:rPr>
                <w:sz w:val="20"/>
                <w:szCs w:val="20"/>
                <w:color w:val="auto"/>
              </w:rPr>
            </w:pPr>
            <w:r>
              <w:rPr>
                <w:rFonts w:ascii="Arial" w:cs="Arial" w:eastAsia="Arial" w:hAnsi="Arial"/>
                <w:sz w:val="18"/>
                <w:szCs w:val="18"/>
                <w:color w:val="auto"/>
              </w:rPr>
              <w:t>Total assets</w:t>
            </w:r>
          </w:p>
        </w:tc>
        <w:tc>
          <w:tcPr>
            <w:tcW w:w="2840" w:type="dxa"/>
            <w:vAlign w:val="bottom"/>
            <w:shd w:val="clear" w:color="auto" w:fill="EAF9E8"/>
          </w:tcPr>
          <w:p>
            <w:pPr>
              <w:spacing w:after="0"/>
              <w:rPr>
                <w:sz w:val="18"/>
                <w:szCs w:val="18"/>
                <w:color w:val="auto"/>
              </w:rPr>
            </w:pPr>
          </w:p>
        </w:tc>
        <w:tc>
          <w:tcPr>
            <w:tcW w:w="1540" w:type="dxa"/>
            <w:vAlign w:val="bottom"/>
            <w:tcBorders>
              <w:top w:val="single" w:sz="8" w:color="auto"/>
            </w:tcBorders>
            <w:shd w:val="clear" w:color="auto" w:fill="EAF9E8"/>
          </w:tcPr>
          <w:p>
            <w:pPr>
              <w:jc w:val="right"/>
              <w:ind w:right="1380"/>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84"/>
              </w:rPr>
              <w:t>8,489</w:t>
            </w:r>
          </w:p>
        </w:tc>
        <w:tc>
          <w:tcPr>
            <w:tcW w:w="340" w:type="dxa"/>
            <w:vAlign w:val="bottom"/>
            <w:shd w:val="clear" w:color="auto" w:fill="EAF9E8"/>
          </w:tcPr>
          <w:p>
            <w:pPr>
              <w:spacing w:after="0"/>
              <w:rPr>
                <w:sz w:val="18"/>
                <w:szCs w:val="18"/>
                <w:color w:val="auto"/>
              </w:rPr>
            </w:pPr>
          </w:p>
        </w:tc>
        <w:tc>
          <w:tcPr>
            <w:tcW w:w="180" w:type="dxa"/>
            <w:vAlign w:val="bottom"/>
            <w:tcBorders>
              <w:top w:val="single" w:sz="8" w:color="auto"/>
            </w:tcBorders>
            <w:shd w:val="clear" w:color="auto" w:fill="EAF9E8"/>
          </w:tcPr>
          <w:p>
            <w:pPr>
              <w:jc w:val="right"/>
              <w:ind w:right="23"/>
              <w:spacing w:after="0"/>
              <w:rPr>
                <w:sz w:val="20"/>
                <w:szCs w:val="20"/>
                <w:color w:val="auto"/>
              </w:rPr>
            </w:pPr>
            <w:r>
              <w:rPr>
                <w:rFonts w:ascii="Arial" w:cs="Arial" w:eastAsia="Arial" w:hAnsi="Arial"/>
                <w:sz w:val="15"/>
                <w:szCs w:val="15"/>
                <w:color w:val="auto"/>
                <w:w w:val="71"/>
              </w:rPr>
              <w:t>$</w:t>
            </w:r>
          </w:p>
        </w:tc>
        <w:tc>
          <w:tcPr>
            <w:tcW w:w="176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8,906</w:t>
            </w:r>
          </w:p>
        </w:tc>
        <w:tc>
          <w:tcPr>
            <w:tcW w:w="100" w:type="dxa"/>
            <w:vAlign w:val="bottom"/>
            <w:shd w:val="clear" w:color="auto" w:fill="EAF9E8"/>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9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840" w:type="dxa"/>
            <w:vAlign w:val="bottom"/>
          </w:tcPr>
          <w:p>
            <w:pPr>
              <w:spacing w:after="0"/>
              <w:rPr>
                <w:sz w:val="21"/>
                <w:szCs w:val="21"/>
                <w:color w:val="auto"/>
              </w:rPr>
            </w:pPr>
          </w:p>
        </w:tc>
        <w:tc>
          <w:tcPr>
            <w:tcW w:w="154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34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7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9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3"/>
        </w:trPr>
        <w:tc>
          <w:tcPr>
            <w:tcW w:w="4260" w:type="dxa"/>
            <w:vAlign w:val="bottom"/>
            <w:gridSpan w:val="2"/>
          </w:tcPr>
          <w:p>
            <w:pPr>
              <w:spacing w:after="0"/>
              <w:rPr>
                <w:sz w:val="20"/>
                <w:szCs w:val="20"/>
                <w:color w:val="auto"/>
              </w:rPr>
            </w:pPr>
            <w:r>
              <w:rPr>
                <w:rFonts w:ascii="Arial" w:cs="Arial" w:eastAsia="Arial" w:hAnsi="Arial"/>
                <w:sz w:val="18"/>
                <w:szCs w:val="18"/>
                <w:color w:val="auto"/>
              </w:rPr>
              <w:t>Total liabilities</w:t>
            </w:r>
          </w:p>
        </w:tc>
        <w:tc>
          <w:tcPr>
            <w:tcW w:w="4380" w:type="dxa"/>
            <w:vAlign w:val="bottom"/>
            <w:gridSpan w:val="2"/>
          </w:tcPr>
          <w:p>
            <w:pPr>
              <w:jc w:val="right"/>
              <w:ind w:right="138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2,500</w:t>
            </w:r>
          </w:p>
        </w:tc>
        <w:tc>
          <w:tcPr>
            <w:tcW w:w="520" w:type="dxa"/>
            <w:vAlign w:val="bottom"/>
            <w:gridSpan w:val="2"/>
          </w:tcPr>
          <w:p>
            <w:pPr>
              <w:jc w:val="right"/>
              <w:ind w:right="23"/>
              <w:spacing w:after="0"/>
              <w:rPr>
                <w:sz w:val="20"/>
                <w:szCs w:val="20"/>
                <w:color w:val="auto"/>
              </w:rPr>
            </w:pPr>
            <w:r>
              <w:rPr>
                <w:rFonts w:ascii="Arial" w:cs="Arial" w:eastAsia="Arial" w:hAnsi="Arial"/>
                <w:sz w:val="18"/>
                <w:szCs w:val="18"/>
                <w:color w:val="auto"/>
              </w:rPr>
              <w:t>$</w:t>
            </w:r>
          </w:p>
        </w:tc>
        <w:tc>
          <w:tcPr>
            <w:tcW w:w="1860" w:type="dxa"/>
            <w:vAlign w:val="bottom"/>
            <w:gridSpan w:val="2"/>
          </w:tcPr>
          <w:p>
            <w:pPr>
              <w:jc w:val="right"/>
              <w:ind w:right="100"/>
              <w:spacing w:after="0"/>
              <w:rPr>
                <w:sz w:val="20"/>
                <w:szCs w:val="20"/>
                <w:color w:val="auto"/>
              </w:rPr>
            </w:pPr>
            <w:r>
              <w:rPr>
                <w:rFonts w:ascii="Arial" w:cs="Arial" w:eastAsia="Arial" w:hAnsi="Arial"/>
                <w:sz w:val="18"/>
                <w:szCs w:val="18"/>
                <w:color w:val="auto"/>
              </w:rPr>
              <w:t>3,361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29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840" w:type="dxa"/>
            <w:vAlign w:val="bottom"/>
            <w:vMerge w:val="restart"/>
          </w:tcPr>
          <w:p>
            <w:pPr>
              <w:jc w:val="right"/>
              <w:ind w:right="1212"/>
              <w:spacing w:after="0"/>
              <w:rPr>
                <w:sz w:val="20"/>
                <w:szCs w:val="20"/>
                <w:color w:val="auto"/>
              </w:rPr>
            </w:pPr>
            <w:r>
              <w:rPr>
                <w:rFonts w:ascii="Arial" w:cs="Arial" w:eastAsia="Arial" w:hAnsi="Arial"/>
                <w:sz w:val="18"/>
                <w:szCs w:val="18"/>
                <w:color w:val="auto"/>
              </w:rPr>
              <w:t>45</w:t>
            </w:r>
          </w:p>
        </w:tc>
        <w:tc>
          <w:tcPr>
            <w:tcW w:w="154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34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7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9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840" w:type="dxa"/>
            <w:vAlign w:val="bottom"/>
            <w:vMerge w:val="continue"/>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29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840" w:type="dxa"/>
            <w:vAlign w:val="bottom"/>
            <w:vMerge w:val="continue"/>
          </w:tcPr>
          <w:p>
            <w:pPr>
              <w:spacing w:after="0"/>
              <w:rPr>
                <w:sz w:val="24"/>
                <w:szCs w:val="24"/>
                <w:color w:val="auto"/>
              </w:rPr>
            </w:pPr>
          </w:p>
        </w:tc>
        <w:tc>
          <w:tcPr>
            <w:tcW w:w="1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900" w:type="dxa"/>
            <w:vAlign w:val="bottom"/>
            <w:tcBorders>
              <w:bottom w:val="single" w:sz="8" w:color="808080"/>
            </w:tcBorders>
          </w:tcPr>
          <w:p>
            <w:pPr>
              <w:spacing w:after="0"/>
              <w:rPr>
                <w:sz w:val="19"/>
                <w:szCs w:val="19"/>
                <w:color w:val="auto"/>
              </w:rPr>
            </w:pPr>
          </w:p>
        </w:tc>
        <w:tc>
          <w:tcPr>
            <w:tcW w:w="1360" w:type="dxa"/>
            <w:vAlign w:val="bottom"/>
            <w:tcBorders>
              <w:bottom w:val="single" w:sz="8" w:color="808080"/>
            </w:tcBorders>
          </w:tcPr>
          <w:p>
            <w:pPr>
              <w:spacing w:after="0"/>
              <w:rPr>
                <w:sz w:val="19"/>
                <w:szCs w:val="19"/>
                <w:color w:val="auto"/>
              </w:rPr>
            </w:pPr>
          </w:p>
        </w:tc>
        <w:tc>
          <w:tcPr>
            <w:tcW w:w="2840" w:type="dxa"/>
            <w:vAlign w:val="bottom"/>
            <w:tcBorders>
              <w:bottom w:val="single" w:sz="8" w:color="808080"/>
            </w:tcBorders>
          </w:tcPr>
          <w:p>
            <w:pPr>
              <w:spacing w:after="0"/>
              <w:rPr>
                <w:sz w:val="19"/>
                <w:szCs w:val="19"/>
                <w:color w:val="auto"/>
              </w:rPr>
            </w:pPr>
          </w:p>
        </w:tc>
        <w:tc>
          <w:tcPr>
            <w:tcW w:w="154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7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131" w:right="219" w:bottom="1440" w:gutter="0" w:footer="0" w:header="0"/>
        </w:sectPr>
      </w:pPr>
    </w:p>
    <w:bookmarkStart w:id="51" w:name="page52"/>
    <w:bookmarkEnd w:id="51"/>
    <w:tbl>
      <w:tblPr>
        <w:tblLayout w:type="fixed"/>
        <w:tblInd w:w="0" w:type="dxa"/>
        <w:tblCellMar>
          <w:top w:w="0" w:type="dxa"/>
          <w:left w:w="0" w:type="dxa"/>
          <w:bottom w:w="0" w:type="dxa"/>
          <w:right w:w="0" w:type="dxa"/>
        </w:tblCellMar>
      </w:tblPr>
      <w:tr>
        <w:trPr>
          <w:trHeight w:val="207"/>
        </w:trPr>
        <w:tc>
          <w:tcPr>
            <w:tcW w:w="6680" w:type="dxa"/>
            <w:vAlign w:val="bottom"/>
            <w:gridSpan w:val="2"/>
          </w:tcPr>
          <w:p>
            <w:pPr>
              <w:spacing w:after="0"/>
              <w:rPr>
                <w:sz w:val="20"/>
                <w:szCs w:val="20"/>
                <w:color w:val="auto"/>
              </w:rPr>
            </w:pPr>
            <w:r>
              <w:rPr>
                <w:rFonts w:ascii="Arial" w:cs="Arial" w:eastAsia="Arial" w:hAnsi="Arial"/>
                <w:sz w:val="18"/>
                <w:szCs w:val="18"/>
                <w:color w:val="auto"/>
                <w:w w:val="93"/>
              </w:rPr>
              <w:t>Comparative selected operations data for the three months ended March 31 is as follows:</w:t>
            </w:r>
          </w:p>
        </w:tc>
        <w:tc>
          <w:tcPr>
            <w:tcW w:w="4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64"/>
        </w:trPr>
        <w:tc>
          <w:tcPr>
            <w:tcW w:w="6200" w:type="dxa"/>
            <w:vAlign w:val="bottom"/>
            <w:tcBorders>
              <w:top w:val="single" w:sz="8" w:color="auto"/>
            </w:tcBorders>
          </w:tcPr>
          <w:p>
            <w:pPr>
              <w:spacing w:after="0"/>
              <w:rPr>
                <w:sz w:val="24"/>
                <w:szCs w:val="24"/>
                <w:color w:val="auto"/>
              </w:rPr>
            </w:pP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500" w:type="dxa"/>
            <w:vAlign w:val="bottom"/>
          </w:tcPr>
          <w:p>
            <w:pPr>
              <w:jc w:val="right"/>
              <w:ind w:right="712"/>
              <w:spacing w:after="0"/>
              <w:rPr>
                <w:sz w:val="20"/>
                <w:szCs w:val="20"/>
                <w:color w:val="auto"/>
              </w:rPr>
            </w:pPr>
            <w:r>
              <w:rPr>
                <w:rFonts w:ascii="Arial" w:cs="Arial" w:eastAsia="Arial" w:hAnsi="Arial"/>
                <w:sz w:val="18"/>
                <w:szCs w:val="18"/>
                <w:color w:val="auto"/>
              </w:rPr>
              <w:t>2009</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500" w:type="dxa"/>
            <w:vAlign w:val="bottom"/>
          </w:tcPr>
          <w:p>
            <w:pPr>
              <w:jc w:val="right"/>
              <w:ind w:right="712"/>
              <w:spacing w:after="0"/>
              <w:rPr>
                <w:sz w:val="20"/>
                <w:szCs w:val="20"/>
                <w:color w:val="auto"/>
              </w:rPr>
            </w:pPr>
            <w:r>
              <w:rPr>
                <w:rFonts w:ascii="Arial" w:cs="Arial" w:eastAsia="Arial" w:hAnsi="Arial"/>
                <w:sz w:val="18"/>
                <w:szCs w:val="18"/>
                <w:color w:val="auto"/>
              </w:rPr>
              <w:t>2008</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62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668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Revenue:</w:t>
            </w:r>
          </w:p>
        </w:tc>
        <w:tc>
          <w:tcPr>
            <w:tcW w:w="420" w:type="dxa"/>
            <w:vAlign w:val="bottom"/>
            <w:shd w:val="clear" w:color="auto" w:fill="EAF9E8"/>
          </w:tcPr>
          <w:p>
            <w:pPr>
              <w:spacing w:after="0"/>
              <w:rPr>
                <w:sz w:val="18"/>
                <w:szCs w:val="18"/>
                <w:color w:val="auto"/>
              </w:rPr>
            </w:pPr>
          </w:p>
        </w:tc>
        <w:tc>
          <w:tcPr>
            <w:tcW w:w="440" w:type="dxa"/>
            <w:vAlign w:val="bottom"/>
            <w:shd w:val="clear" w:color="auto" w:fill="EAF9E8"/>
          </w:tcPr>
          <w:p>
            <w:pPr>
              <w:spacing w:after="0"/>
              <w:rPr>
                <w:sz w:val="18"/>
                <w:szCs w:val="18"/>
                <w:color w:val="auto"/>
              </w:rPr>
            </w:pPr>
          </w:p>
        </w:tc>
        <w:tc>
          <w:tcPr>
            <w:tcW w:w="150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440" w:type="dxa"/>
            <w:vAlign w:val="bottom"/>
            <w:shd w:val="clear" w:color="auto" w:fill="EAF9E8"/>
          </w:tcPr>
          <w:p>
            <w:pPr>
              <w:spacing w:after="0"/>
              <w:rPr>
                <w:sz w:val="18"/>
                <w:szCs w:val="18"/>
                <w:color w:val="auto"/>
              </w:rPr>
            </w:pPr>
          </w:p>
        </w:tc>
        <w:tc>
          <w:tcPr>
            <w:tcW w:w="150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gridSpan w:val="2"/>
          </w:tcPr>
          <w:p>
            <w:pPr>
              <w:ind w:left="160"/>
              <w:spacing w:after="0"/>
              <w:rPr>
                <w:sz w:val="20"/>
                <w:szCs w:val="20"/>
                <w:color w:val="auto"/>
              </w:rPr>
            </w:pPr>
            <w:r>
              <w:rPr>
                <w:rFonts w:ascii="Arial" w:cs="Arial" w:eastAsia="Arial" w:hAnsi="Arial"/>
                <w:sz w:val="18"/>
                <w:szCs w:val="18"/>
                <w:color w:val="auto"/>
              </w:rPr>
              <w:t>Technology support</w:t>
            </w:r>
          </w:p>
        </w:tc>
        <w:tc>
          <w:tcPr>
            <w:tcW w:w="860" w:type="dxa"/>
            <w:vAlign w:val="bottom"/>
            <w:gridSpan w:val="2"/>
          </w:tcPr>
          <w:p>
            <w:pPr>
              <w:jc w:val="right"/>
              <w:ind w:right="283"/>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5,637</w:t>
            </w:r>
          </w:p>
        </w:tc>
        <w:tc>
          <w:tcPr>
            <w:tcW w:w="200" w:type="dxa"/>
            <w:vAlign w:val="bottom"/>
          </w:tcPr>
          <w:p>
            <w:pPr>
              <w:spacing w:after="0"/>
              <w:rPr>
                <w:sz w:val="18"/>
                <w:szCs w:val="18"/>
                <w:color w:val="auto"/>
              </w:rPr>
            </w:pPr>
          </w:p>
        </w:tc>
        <w:tc>
          <w:tcPr>
            <w:tcW w:w="580" w:type="dxa"/>
            <w:vAlign w:val="bottom"/>
            <w:gridSpan w:val="2"/>
          </w:tcPr>
          <w:p>
            <w:pPr>
              <w:jc w:val="right"/>
              <w:ind w:right="283"/>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5,851</w:t>
            </w:r>
          </w:p>
        </w:tc>
        <w:tc>
          <w:tcPr>
            <w:tcW w:w="0" w:type="dxa"/>
            <w:vAlign w:val="bottom"/>
          </w:tcPr>
          <w:p>
            <w:pPr>
              <w:spacing w:after="0"/>
              <w:rPr>
                <w:sz w:val="1"/>
                <w:szCs w:val="1"/>
                <w:color w:val="auto"/>
              </w:rPr>
            </w:pPr>
          </w:p>
        </w:tc>
      </w:tr>
      <w:tr>
        <w:trPr>
          <w:trHeight w:val="216"/>
        </w:trPr>
        <w:tc>
          <w:tcPr>
            <w:tcW w:w="6680" w:type="dxa"/>
            <w:vAlign w:val="bottom"/>
            <w:gridSpan w:val="2"/>
            <w:shd w:val="clear" w:color="auto" w:fill="EAF9E8"/>
          </w:tcPr>
          <w:p>
            <w:pPr>
              <w:ind w:left="160"/>
              <w:spacing w:after="0"/>
              <w:rPr>
                <w:sz w:val="20"/>
                <w:szCs w:val="20"/>
                <w:color w:val="auto"/>
              </w:rPr>
            </w:pPr>
            <w:r>
              <w:rPr>
                <w:rFonts w:ascii="Arial" w:cs="Arial" w:eastAsia="Arial" w:hAnsi="Arial"/>
                <w:sz w:val="18"/>
                <w:szCs w:val="18"/>
                <w:color w:val="auto"/>
              </w:rPr>
              <w:t>REAL products</w:t>
            </w:r>
          </w:p>
        </w:tc>
        <w:tc>
          <w:tcPr>
            <w:tcW w:w="420" w:type="dxa"/>
            <w:vAlign w:val="bottom"/>
            <w:shd w:val="clear" w:color="auto" w:fill="EAF9E8"/>
          </w:tcPr>
          <w:p>
            <w:pPr>
              <w:spacing w:after="0"/>
              <w:rPr>
                <w:sz w:val="18"/>
                <w:szCs w:val="18"/>
                <w:color w:val="auto"/>
              </w:rPr>
            </w:pPr>
          </w:p>
        </w:tc>
        <w:tc>
          <w:tcPr>
            <w:tcW w:w="440" w:type="dxa"/>
            <w:vAlign w:val="bottom"/>
            <w:shd w:val="clear" w:color="auto" w:fill="EAF9E8"/>
          </w:tcPr>
          <w:p>
            <w:pPr>
              <w:spacing w:after="0"/>
              <w:rPr>
                <w:sz w:val="18"/>
                <w:szCs w:val="18"/>
                <w:color w:val="auto"/>
              </w:rPr>
            </w:pPr>
          </w:p>
        </w:tc>
        <w:tc>
          <w:tcPr>
            <w:tcW w:w="15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4,936</w:t>
            </w:r>
          </w:p>
        </w:tc>
        <w:tc>
          <w:tcPr>
            <w:tcW w:w="2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440" w:type="dxa"/>
            <w:vAlign w:val="bottom"/>
            <w:shd w:val="clear" w:color="auto" w:fill="EAF9E8"/>
          </w:tcPr>
          <w:p>
            <w:pPr>
              <w:spacing w:after="0"/>
              <w:rPr>
                <w:sz w:val="18"/>
                <w:szCs w:val="18"/>
                <w:color w:val="auto"/>
              </w:rPr>
            </w:pPr>
          </w:p>
        </w:tc>
        <w:tc>
          <w:tcPr>
            <w:tcW w:w="160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4,633</w:t>
            </w:r>
          </w:p>
        </w:tc>
        <w:tc>
          <w:tcPr>
            <w:tcW w:w="0" w:type="dxa"/>
            <w:vAlign w:val="bottom"/>
          </w:tcPr>
          <w:p>
            <w:pPr>
              <w:spacing w:after="0"/>
              <w:rPr>
                <w:sz w:val="1"/>
                <w:szCs w:val="1"/>
                <w:color w:val="auto"/>
              </w:rPr>
            </w:pPr>
          </w:p>
        </w:tc>
      </w:tr>
      <w:tr>
        <w:trPr>
          <w:trHeight w:val="243"/>
        </w:trPr>
        <w:tc>
          <w:tcPr>
            <w:tcW w:w="6680" w:type="dxa"/>
            <w:vAlign w:val="bottom"/>
            <w:gridSpan w:val="2"/>
            <w:vMerge w:val="restart"/>
          </w:tcPr>
          <w:p>
            <w:pPr>
              <w:ind w:left="320"/>
              <w:spacing w:after="0"/>
              <w:rPr>
                <w:sz w:val="20"/>
                <w:szCs w:val="20"/>
                <w:color w:val="auto"/>
              </w:rPr>
            </w:pPr>
            <w:r>
              <w:rPr>
                <w:rFonts w:ascii="Arial" w:cs="Arial" w:eastAsia="Arial" w:hAnsi="Arial"/>
                <w:sz w:val="18"/>
                <w:szCs w:val="18"/>
                <w:color w:val="auto"/>
              </w:rPr>
              <w:t>Total revenue</w:t>
            </w:r>
          </w:p>
        </w:tc>
        <w:tc>
          <w:tcPr>
            <w:tcW w:w="4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600" w:type="dxa"/>
            <w:vAlign w:val="bottom"/>
            <w:gridSpan w:val="2"/>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6680" w:type="dxa"/>
            <w:vAlign w:val="bottom"/>
            <w:gridSpan w:val="2"/>
            <w:vMerge w:val="continue"/>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10,573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10,484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Operating expenses:</w:t>
            </w:r>
          </w:p>
        </w:tc>
        <w:tc>
          <w:tcPr>
            <w:tcW w:w="420" w:type="dxa"/>
            <w:vAlign w:val="bottom"/>
            <w:shd w:val="clear" w:color="auto" w:fill="EAF9E8"/>
          </w:tcPr>
          <w:p>
            <w:pPr>
              <w:spacing w:after="0"/>
              <w:rPr>
                <w:sz w:val="18"/>
                <w:szCs w:val="18"/>
                <w:color w:val="auto"/>
              </w:rPr>
            </w:pPr>
          </w:p>
        </w:tc>
        <w:tc>
          <w:tcPr>
            <w:tcW w:w="440" w:type="dxa"/>
            <w:vAlign w:val="bottom"/>
            <w:shd w:val="clear" w:color="auto" w:fill="EAF9E8"/>
          </w:tcPr>
          <w:p>
            <w:pPr>
              <w:spacing w:after="0"/>
              <w:rPr>
                <w:sz w:val="18"/>
                <w:szCs w:val="18"/>
                <w:color w:val="auto"/>
              </w:rPr>
            </w:pPr>
          </w:p>
        </w:tc>
        <w:tc>
          <w:tcPr>
            <w:tcW w:w="150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440" w:type="dxa"/>
            <w:vAlign w:val="bottom"/>
            <w:shd w:val="clear" w:color="auto" w:fill="EAF9E8"/>
          </w:tcPr>
          <w:p>
            <w:pPr>
              <w:spacing w:after="0"/>
              <w:rPr>
                <w:sz w:val="18"/>
                <w:szCs w:val="18"/>
                <w:color w:val="auto"/>
              </w:rPr>
            </w:pPr>
          </w:p>
        </w:tc>
        <w:tc>
          <w:tcPr>
            <w:tcW w:w="150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gridSpan w:val="2"/>
          </w:tcPr>
          <w:p>
            <w:pPr>
              <w:ind w:left="160"/>
              <w:spacing w:after="0"/>
              <w:rPr>
                <w:sz w:val="20"/>
                <w:szCs w:val="20"/>
                <w:color w:val="auto"/>
              </w:rPr>
            </w:pPr>
            <w:r>
              <w:rPr>
                <w:rFonts w:ascii="Arial" w:cs="Arial" w:eastAsia="Arial" w:hAnsi="Arial"/>
                <w:sz w:val="18"/>
                <w:szCs w:val="18"/>
                <w:color w:val="auto"/>
              </w:rPr>
              <w:t>Compensation and benefits</w:t>
            </w: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2,236</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2,751</w:t>
            </w:r>
          </w:p>
        </w:tc>
        <w:tc>
          <w:tcPr>
            <w:tcW w:w="0" w:type="dxa"/>
            <w:vAlign w:val="bottom"/>
          </w:tcPr>
          <w:p>
            <w:pPr>
              <w:spacing w:after="0"/>
              <w:rPr>
                <w:sz w:val="1"/>
                <w:szCs w:val="1"/>
                <w:color w:val="auto"/>
              </w:rPr>
            </w:pPr>
          </w:p>
        </w:tc>
      </w:tr>
      <w:tr>
        <w:trPr>
          <w:trHeight w:val="216"/>
        </w:trPr>
        <w:tc>
          <w:tcPr>
            <w:tcW w:w="6680" w:type="dxa"/>
            <w:vAlign w:val="bottom"/>
            <w:gridSpan w:val="2"/>
            <w:shd w:val="clear" w:color="auto" w:fill="EAF9E8"/>
          </w:tcPr>
          <w:p>
            <w:pPr>
              <w:ind w:left="160"/>
              <w:spacing w:after="0"/>
              <w:rPr>
                <w:sz w:val="20"/>
                <w:szCs w:val="20"/>
                <w:color w:val="auto"/>
              </w:rPr>
            </w:pPr>
            <w:r>
              <w:rPr>
                <w:rFonts w:ascii="Arial" w:cs="Arial" w:eastAsia="Arial" w:hAnsi="Arial"/>
                <w:sz w:val="18"/>
                <w:szCs w:val="18"/>
                <w:color w:val="auto"/>
              </w:rPr>
              <w:t>Technology and communications</w:t>
            </w:r>
          </w:p>
        </w:tc>
        <w:tc>
          <w:tcPr>
            <w:tcW w:w="420" w:type="dxa"/>
            <w:vAlign w:val="bottom"/>
            <w:shd w:val="clear" w:color="auto" w:fill="EAF9E8"/>
          </w:tcPr>
          <w:p>
            <w:pPr>
              <w:spacing w:after="0"/>
              <w:rPr>
                <w:sz w:val="18"/>
                <w:szCs w:val="18"/>
                <w:color w:val="auto"/>
              </w:rPr>
            </w:pPr>
          </w:p>
        </w:tc>
        <w:tc>
          <w:tcPr>
            <w:tcW w:w="440" w:type="dxa"/>
            <w:vAlign w:val="bottom"/>
            <w:shd w:val="clear" w:color="auto" w:fill="EAF9E8"/>
          </w:tcPr>
          <w:p>
            <w:pPr>
              <w:spacing w:after="0"/>
              <w:rPr>
                <w:sz w:val="18"/>
                <w:szCs w:val="18"/>
                <w:color w:val="auto"/>
              </w:rPr>
            </w:pPr>
          </w:p>
        </w:tc>
        <w:tc>
          <w:tcPr>
            <w:tcW w:w="15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4,259</w:t>
            </w:r>
          </w:p>
        </w:tc>
        <w:tc>
          <w:tcPr>
            <w:tcW w:w="2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440" w:type="dxa"/>
            <w:vAlign w:val="bottom"/>
            <w:shd w:val="clear" w:color="auto" w:fill="EAF9E8"/>
          </w:tcPr>
          <w:p>
            <w:pPr>
              <w:spacing w:after="0"/>
              <w:rPr>
                <w:sz w:val="18"/>
                <w:szCs w:val="18"/>
                <w:color w:val="auto"/>
              </w:rPr>
            </w:pPr>
          </w:p>
        </w:tc>
        <w:tc>
          <w:tcPr>
            <w:tcW w:w="160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4,401</w:t>
            </w:r>
          </w:p>
        </w:tc>
        <w:tc>
          <w:tcPr>
            <w:tcW w:w="0" w:type="dxa"/>
            <w:vAlign w:val="bottom"/>
          </w:tcPr>
          <w:p>
            <w:pPr>
              <w:spacing w:after="0"/>
              <w:rPr>
                <w:sz w:val="1"/>
                <w:szCs w:val="1"/>
                <w:color w:val="auto"/>
              </w:rPr>
            </w:pPr>
          </w:p>
        </w:tc>
      </w:tr>
      <w:tr>
        <w:trPr>
          <w:trHeight w:val="222"/>
        </w:trPr>
        <w:tc>
          <w:tcPr>
            <w:tcW w:w="6680" w:type="dxa"/>
            <w:vAlign w:val="bottom"/>
            <w:gridSpan w:val="2"/>
          </w:tcPr>
          <w:p>
            <w:pPr>
              <w:ind w:left="160"/>
              <w:spacing w:after="0"/>
              <w:rPr>
                <w:sz w:val="20"/>
                <w:szCs w:val="20"/>
                <w:color w:val="auto"/>
              </w:rPr>
            </w:pPr>
            <w:r>
              <w:rPr>
                <w:rFonts w:ascii="Arial" w:cs="Arial" w:eastAsia="Arial" w:hAnsi="Arial"/>
                <w:sz w:val="18"/>
                <w:szCs w:val="18"/>
                <w:color w:val="auto"/>
              </w:rPr>
              <w:t>Other</w:t>
            </w:r>
          </w:p>
        </w:tc>
        <w:tc>
          <w:tcPr>
            <w:tcW w:w="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1,678</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1,730</w:t>
            </w:r>
          </w:p>
        </w:tc>
        <w:tc>
          <w:tcPr>
            <w:tcW w:w="0" w:type="dxa"/>
            <w:vAlign w:val="bottom"/>
          </w:tcPr>
          <w:p>
            <w:pPr>
              <w:spacing w:after="0"/>
              <w:rPr>
                <w:sz w:val="1"/>
                <w:szCs w:val="1"/>
                <w:color w:val="auto"/>
              </w:rPr>
            </w:pPr>
          </w:p>
        </w:tc>
      </w:tr>
      <w:tr>
        <w:trPr>
          <w:trHeight w:val="237"/>
        </w:trPr>
        <w:tc>
          <w:tcPr>
            <w:tcW w:w="62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200" w:type="dxa"/>
            <w:vAlign w:val="bottom"/>
            <w:shd w:val="clear" w:color="auto" w:fill="EAF9E8"/>
          </w:tcPr>
          <w:p>
            <w:pPr>
              <w:spacing w:after="0"/>
              <w:rPr>
                <w:sz w:val="18"/>
                <w:szCs w:val="18"/>
                <w:color w:val="auto"/>
              </w:rPr>
            </w:pPr>
          </w:p>
        </w:tc>
        <w:tc>
          <w:tcPr>
            <w:tcW w:w="480" w:type="dxa"/>
            <w:vAlign w:val="bottom"/>
            <w:shd w:val="clear" w:color="auto" w:fill="EAF9E8"/>
          </w:tcPr>
          <w:p>
            <w:pPr>
              <w:spacing w:after="0"/>
              <w:rPr>
                <w:sz w:val="18"/>
                <w:szCs w:val="18"/>
                <w:color w:val="auto"/>
              </w:rPr>
            </w:pPr>
          </w:p>
        </w:tc>
        <w:tc>
          <w:tcPr>
            <w:tcW w:w="420" w:type="dxa"/>
            <w:vAlign w:val="bottom"/>
            <w:shd w:val="clear" w:color="auto" w:fill="EAF9E8"/>
          </w:tcPr>
          <w:p>
            <w:pPr>
              <w:spacing w:after="0"/>
              <w:rPr>
                <w:sz w:val="18"/>
                <w:szCs w:val="18"/>
                <w:color w:val="auto"/>
              </w:rPr>
            </w:pPr>
          </w:p>
        </w:tc>
        <w:tc>
          <w:tcPr>
            <w:tcW w:w="440" w:type="dxa"/>
            <w:vAlign w:val="bottom"/>
            <w:tcBorders>
              <w:top w:val="single" w:sz="8" w:color="auto"/>
            </w:tcBorders>
            <w:shd w:val="clear" w:color="auto" w:fill="EAF9E8"/>
          </w:tcPr>
          <w:p>
            <w:pPr>
              <w:spacing w:after="0"/>
              <w:rPr>
                <w:sz w:val="18"/>
                <w:szCs w:val="18"/>
                <w:color w:val="auto"/>
              </w:rPr>
            </w:pPr>
          </w:p>
        </w:tc>
        <w:tc>
          <w:tcPr>
            <w:tcW w:w="150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8,173</w:t>
            </w:r>
          </w:p>
        </w:tc>
        <w:tc>
          <w:tcPr>
            <w:tcW w:w="2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440" w:type="dxa"/>
            <w:vAlign w:val="bottom"/>
            <w:tcBorders>
              <w:top w:val="single" w:sz="8" w:color="auto"/>
            </w:tcBorders>
            <w:shd w:val="clear" w:color="auto" w:fill="EAF9E8"/>
          </w:tcPr>
          <w:p>
            <w:pPr>
              <w:spacing w:after="0"/>
              <w:rPr>
                <w:sz w:val="18"/>
                <w:szCs w:val="18"/>
                <w:color w:val="auto"/>
              </w:rPr>
            </w:pPr>
          </w:p>
        </w:tc>
        <w:tc>
          <w:tcPr>
            <w:tcW w:w="150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8,882</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6680" w:type="dxa"/>
            <w:vAlign w:val="bottom"/>
            <w:gridSpan w:val="2"/>
            <w:vMerge w:val="restart"/>
          </w:tcPr>
          <w:p>
            <w:pPr>
              <w:spacing w:after="0"/>
              <w:rPr>
                <w:sz w:val="20"/>
                <w:szCs w:val="20"/>
                <w:color w:val="auto"/>
              </w:rPr>
            </w:pPr>
            <w:r>
              <w:rPr>
                <w:rFonts w:ascii="Arial" w:cs="Arial" w:eastAsia="Arial" w:hAnsi="Arial"/>
                <w:sz w:val="18"/>
                <w:szCs w:val="18"/>
                <w:color w:val="auto"/>
              </w:rPr>
              <w:t>Income from operations</w:t>
            </w:r>
          </w:p>
        </w:tc>
        <w:tc>
          <w:tcPr>
            <w:tcW w:w="4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600" w:type="dxa"/>
            <w:vAlign w:val="bottom"/>
            <w:gridSpan w:val="2"/>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6680" w:type="dxa"/>
            <w:vAlign w:val="bottom"/>
            <w:gridSpan w:val="2"/>
            <w:vMerge w:val="continue"/>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2,400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1,602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62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68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Other income (expense), net:</w:t>
            </w:r>
          </w:p>
        </w:tc>
        <w:tc>
          <w:tcPr>
            <w:tcW w:w="420" w:type="dxa"/>
            <w:vAlign w:val="bottom"/>
            <w:shd w:val="clear" w:color="auto" w:fill="EAF9E8"/>
          </w:tcPr>
          <w:p>
            <w:pPr>
              <w:spacing w:after="0"/>
              <w:rPr>
                <w:sz w:val="18"/>
                <w:szCs w:val="18"/>
                <w:color w:val="auto"/>
              </w:rPr>
            </w:pPr>
          </w:p>
        </w:tc>
        <w:tc>
          <w:tcPr>
            <w:tcW w:w="440" w:type="dxa"/>
            <w:vAlign w:val="bottom"/>
            <w:shd w:val="clear" w:color="auto" w:fill="EAF9E8"/>
          </w:tcPr>
          <w:p>
            <w:pPr>
              <w:spacing w:after="0"/>
              <w:rPr>
                <w:sz w:val="18"/>
                <w:szCs w:val="18"/>
                <w:color w:val="auto"/>
              </w:rPr>
            </w:pPr>
          </w:p>
        </w:tc>
        <w:tc>
          <w:tcPr>
            <w:tcW w:w="150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440" w:type="dxa"/>
            <w:vAlign w:val="bottom"/>
            <w:shd w:val="clear" w:color="auto" w:fill="EAF9E8"/>
          </w:tcPr>
          <w:p>
            <w:pPr>
              <w:spacing w:after="0"/>
              <w:rPr>
                <w:sz w:val="18"/>
                <w:szCs w:val="18"/>
                <w:color w:val="auto"/>
              </w:rPr>
            </w:pPr>
          </w:p>
        </w:tc>
        <w:tc>
          <w:tcPr>
            <w:tcW w:w="150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gridSpan w:val="2"/>
          </w:tcPr>
          <w:p>
            <w:pPr>
              <w:ind w:left="160"/>
              <w:spacing w:after="0"/>
              <w:rPr>
                <w:sz w:val="20"/>
                <w:szCs w:val="20"/>
                <w:color w:val="auto"/>
              </w:rPr>
            </w:pPr>
            <w:r>
              <w:rPr>
                <w:rFonts w:ascii="Arial" w:cs="Arial" w:eastAsia="Arial" w:hAnsi="Arial"/>
                <w:sz w:val="18"/>
                <w:szCs w:val="18"/>
                <w:color w:val="auto"/>
              </w:rPr>
              <w:t>Interest expense</w:t>
            </w: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700" w:type="dxa"/>
            <w:vAlign w:val="bottom"/>
            <w:gridSpan w:val="2"/>
          </w:tcPr>
          <w:p>
            <w:pPr>
              <w:jc w:val="right"/>
              <w:ind w:right="140"/>
              <w:spacing w:after="0"/>
              <w:rPr>
                <w:sz w:val="20"/>
                <w:szCs w:val="20"/>
                <w:color w:val="auto"/>
              </w:rPr>
            </w:pPr>
            <w:r>
              <w:rPr>
                <w:rFonts w:ascii="Arial" w:cs="Arial" w:eastAsia="Arial" w:hAnsi="Arial"/>
                <w:sz w:val="18"/>
                <w:szCs w:val="18"/>
                <w:color w:val="auto"/>
              </w:rPr>
              <w:t>(132)</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0" w:type="dxa"/>
            <w:vAlign w:val="bottom"/>
            <w:gridSpan w:val="2"/>
          </w:tcPr>
          <w:p>
            <w:pPr>
              <w:jc w:val="right"/>
              <w:ind w:right="40"/>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16"/>
        </w:trPr>
        <w:tc>
          <w:tcPr>
            <w:tcW w:w="6680" w:type="dxa"/>
            <w:vAlign w:val="bottom"/>
            <w:gridSpan w:val="2"/>
            <w:shd w:val="clear" w:color="auto" w:fill="EAF9E8"/>
          </w:tcPr>
          <w:p>
            <w:pPr>
              <w:ind w:left="160"/>
              <w:spacing w:after="0"/>
              <w:rPr>
                <w:sz w:val="20"/>
                <w:szCs w:val="20"/>
                <w:color w:val="auto"/>
              </w:rPr>
            </w:pPr>
            <w:r>
              <w:rPr>
                <w:rFonts w:ascii="Arial" w:cs="Arial" w:eastAsia="Arial" w:hAnsi="Arial"/>
                <w:sz w:val="18"/>
                <w:szCs w:val="18"/>
                <w:color w:val="auto"/>
              </w:rPr>
              <w:t>Equity in earnings of unconsolidated entities (BMS Holdings)</w:t>
            </w:r>
          </w:p>
        </w:tc>
        <w:tc>
          <w:tcPr>
            <w:tcW w:w="420" w:type="dxa"/>
            <w:vAlign w:val="bottom"/>
            <w:shd w:val="clear" w:color="auto" w:fill="EAF9E8"/>
          </w:tcPr>
          <w:p>
            <w:pPr>
              <w:spacing w:after="0"/>
              <w:rPr>
                <w:sz w:val="18"/>
                <w:szCs w:val="18"/>
                <w:color w:val="auto"/>
              </w:rPr>
            </w:pPr>
          </w:p>
        </w:tc>
        <w:tc>
          <w:tcPr>
            <w:tcW w:w="440" w:type="dxa"/>
            <w:vAlign w:val="bottom"/>
            <w:shd w:val="clear" w:color="auto" w:fill="EAF9E8"/>
          </w:tcPr>
          <w:p>
            <w:pPr>
              <w:spacing w:after="0"/>
              <w:rPr>
                <w:sz w:val="18"/>
                <w:szCs w:val="18"/>
                <w:color w:val="auto"/>
              </w:rPr>
            </w:pPr>
          </w:p>
        </w:tc>
        <w:tc>
          <w:tcPr>
            <w:tcW w:w="170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EAF9E8"/>
          </w:tcPr>
          <w:p>
            <w:pPr>
              <w:spacing w:after="0"/>
              <w:rPr>
                <w:sz w:val="18"/>
                <w:szCs w:val="18"/>
                <w:color w:val="auto"/>
              </w:rPr>
            </w:pPr>
          </w:p>
        </w:tc>
        <w:tc>
          <w:tcPr>
            <w:tcW w:w="440" w:type="dxa"/>
            <w:vAlign w:val="bottom"/>
            <w:shd w:val="clear" w:color="auto" w:fill="EAF9E8"/>
          </w:tcPr>
          <w:p>
            <w:pPr>
              <w:spacing w:after="0"/>
              <w:rPr>
                <w:sz w:val="18"/>
                <w:szCs w:val="18"/>
                <w:color w:val="auto"/>
              </w:rPr>
            </w:pPr>
          </w:p>
        </w:tc>
        <w:tc>
          <w:tcPr>
            <w:tcW w:w="160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7,886</w:t>
            </w:r>
          </w:p>
        </w:tc>
        <w:tc>
          <w:tcPr>
            <w:tcW w:w="0" w:type="dxa"/>
            <w:vAlign w:val="bottom"/>
          </w:tcPr>
          <w:p>
            <w:pPr>
              <w:spacing w:after="0"/>
              <w:rPr>
                <w:sz w:val="1"/>
                <w:szCs w:val="1"/>
                <w:color w:val="auto"/>
              </w:rPr>
            </w:pPr>
          </w:p>
        </w:tc>
      </w:tr>
      <w:tr>
        <w:trPr>
          <w:trHeight w:val="222"/>
        </w:trPr>
        <w:tc>
          <w:tcPr>
            <w:tcW w:w="6680" w:type="dxa"/>
            <w:vAlign w:val="bottom"/>
            <w:gridSpan w:val="2"/>
          </w:tcPr>
          <w:p>
            <w:pPr>
              <w:ind w:left="160"/>
              <w:spacing w:after="0"/>
              <w:rPr>
                <w:sz w:val="20"/>
                <w:szCs w:val="20"/>
                <w:color w:val="auto"/>
              </w:rPr>
            </w:pPr>
            <w:r>
              <w:rPr>
                <w:rFonts w:ascii="Arial" w:cs="Arial" w:eastAsia="Arial" w:hAnsi="Arial"/>
                <w:sz w:val="18"/>
                <w:szCs w:val="18"/>
                <w:color w:val="auto"/>
              </w:rPr>
              <w:t>Other</w:t>
            </w:r>
          </w:p>
        </w:tc>
        <w:tc>
          <w:tcPr>
            <w:tcW w:w="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56</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287</w:t>
            </w:r>
          </w:p>
        </w:tc>
        <w:tc>
          <w:tcPr>
            <w:tcW w:w="0" w:type="dxa"/>
            <w:vAlign w:val="bottom"/>
          </w:tcPr>
          <w:p>
            <w:pPr>
              <w:spacing w:after="0"/>
              <w:rPr>
                <w:sz w:val="1"/>
                <w:szCs w:val="1"/>
                <w:color w:val="auto"/>
              </w:rPr>
            </w:pPr>
          </w:p>
        </w:tc>
      </w:tr>
      <w:tr>
        <w:trPr>
          <w:trHeight w:val="237"/>
        </w:trPr>
        <w:tc>
          <w:tcPr>
            <w:tcW w:w="62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700" w:type="dxa"/>
            <w:vAlign w:val="bottom"/>
            <w:gridSpan w:val="2"/>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680" w:type="dxa"/>
            <w:vAlign w:val="bottom"/>
            <w:gridSpan w:val="2"/>
            <w:shd w:val="clear" w:color="auto" w:fill="EAF9E8"/>
          </w:tcPr>
          <w:p>
            <w:pPr>
              <w:ind w:left="320"/>
              <w:spacing w:after="0"/>
              <w:rPr>
                <w:sz w:val="20"/>
                <w:szCs w:val="20"/>
                <w:color w:val="auto"/>
              </w:rPr>
            </w:pPr>
            <w:r>
              <w:rPr>
                <w:rFonts w:ascii="Arial" w:cs="Arial" w:eastAsia="Arial" w:hAnsi="Arial"/>
                <w:sz w:val="18"/>
                <w:szCs w:val="18"/>
                <w:color w:val="auto"/>
              </w:rPr>
              <w:t>Other income (expense), net</w:t>
            </w:r>
          </w:p>
        </w:tc>
        <w:tc>
          <w:tcPr>
            <w:tcW w:w="420" w:type="dxa"/>
            <w:vAlign w:val="bottom"/>
            <w:shd w:val="clear" w:color="auto" w:fill="EAF9E8"/>
          </w:tcPr>
          <w:p>
            <w:pPr>
              <w:spacing w:after="0"/>
              <w:rPr>
                <w:sz w:val="18"/>
                <w:szCs w:val="18"/>
                <w:color w:val="auto"/>
              </w:rPr>
            </w:pPr>
          </w:p>
        </w:tc>
        <w:tc>
          <w:tcPr>
            <w:tcW w:w="440" w:type="dxa"/>
            <w:vAlign w:val="bottom"/>
            <w:tcBorders>
              <w:top w:val="single" w:sz="8" w:color="auto"/>
            </w:tcBorders>
            <w:shd w:val="clear" w:color="auto" w:fill="EAF9E8"/>
          </w:tcPr>
          <w:p>
            <w:pPr>
              <w:spacing w:after="0"/>
              <w:rPr>
                <w:sz w:val="18"/>
                <w:szCs w:val="18"/>
                <w:color w:val="auto"/>
              </w:rPr>
            </w:pPr>
          </w:p>
        </w:tc>
        <w:tc>
          <w:tcPr>
            <w:tcW w:w="150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(76)</w:t>
            </w:r>
          </w:p>
        </w:tc>
        <w:tc>
          <w:tcPr>
            <w:tcW w:w="2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440" w:type="dxa"/>
            <w:vAlign w:val="bottom"/>
            <w:tcBorders>
              <w:top w:val="single" w:sz="8" w:color="auto"/>
            </w:tcBorders>
            <w:shd w:val="clear" w:color="auto" w:fill="EAF9E8"/>
          </w:tcPr>
          <w:p>
            <w:pPr>
              <w:spacing w:after="0"/>
              <w:rPr>
                <w:sz w:val="18"/>
                <w:szCs w:val="18"/>
                <w:color w:val="auto"/>
              </w:rPr>
            </w:pPr>
          </w:p>
        </w:tc>
        <w:tc>
          <w:tcPr>
            <w:tcW w:w="150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8,009</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6680" w:type="dxa"/>
            <w:vAlign w:val="bottom"/>
            <w:gridSpan w:val="2"/>
            <w:vMerge w:val="restart"/>
          </w:tcPr>
          <w:p>
            <w:pPr>
              <w:spacing w:after="0"/>
              <w:rPr>
                <w:sz w:val="20"/>
                <w:szCs w:val="20"/>
                <w:color w:val="auto"/>
              </w:rPr>
            </w:pPr>
            <w:r>
              <w:rPr>
                <w:rFonts w:ascii="Arial" w:cs="Arial" w:eastAsia="Arial" w:hAnsi="Arial"/>
                <w:sz w:val="18"/>
                <w:szCs w:val="18"/>
                <w:color w:val="auto"/>
              </w:rPr>
              <w:t>Income before income taxes</w:t>
            </w:r>
          </w:p>
        </w:tc>
        <w:tc>
          <w:tcPr>
            <w:tcW w:w="860" w:type="dxa"/>
            <w:vAlign w:val="bottom"/>
            <w:gridSpan w:val="2"/>
          </w:tcPr>
          <w:p>
            <w:pPr>
              <w:spacing w:after="0"/>
              <w:rPr>
                <w:sz w:val="21"/>
                <w:szCs w:val="21"/>
                <w:color w:val="auto"/>
              </w:rPr>
            </w:pPr>
          </w:p>
        </w:tc>
        <w:tc>
          <w:tcPr>
            <w:tcW w:w="15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80" w:type="dxa"/>
            <w:vAlign w:val="bottom"/>
            <w:gridSpan w:val="2"/>
          </w:tcPr>
          <w:p>
            <w:pPr>
              <w:spacing w:after="0"/>
              <w:rPr>
                <w:sz w:val="21"/>
                <w:szCs w:val="21"/>
                <w:color w:val="auto"/>
              </w:rPr>
            </w:pPr>
          </w:p>
        </w:tc>
        <w:tc>
          <w:tcPr>
            <w:tcW w:w="1600" w:type="dxa"/>
            <w:vAlign w:val="bottom"/>
            <w:gridSpan w:val="2"/>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6680" w:type="dxa"/>
            <w:vAlign w:val="bottom"/>
            <w:gridSpan w:val="2"/>
            <w:vMerge w:val="continue"/>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Borders>
              <w:top w:val="single" w:sz="8" w:color="auto"/>
            </w:tcBorders>
          </w:tcPr>
          <w:p>
            <w:pPr>
              <w:jc w:val="right"/>
              <w:ind w:right="283"/>
              <w:spacing w:after="0"/>
              <w:rPr>
                <w:sz w:val="20"/>
                <w:szCs w:val="20"/>
                <w:color w:val="auto"/>
              </w:rPr>
            </w:pPr>
            <w:r>
              <w:rPr>
                <w:rFonts w:ascii="Arial" w:cs="Arial" w:eastAsia="Arial" w:hAnsi="Arial"/>
                <w:sz w:val="15"/>
                <w:szCs w:val="15"/>
                <w:color w:val="auto"/>
                <w:w w:val="71"/>
              </w:rPr>
              <w:t>$</w:t>
            </w: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2,324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Borders>
              <w:top w:val="single" w:sz="8" w:color="auto"/>
            </w:tcBorders>
          </w:tcPr>
          <w:p>
            <w:pPr>
              <w:jc w:val="right"/>
              <w:ind w:right="283"/>
              <w:spacing w:after="0"/>
              <w:rPr>
                <w:sz w:val="20"/>
                <w:szCs w:val="20"/>
                <w:color w:val="auto"/>
              </w:rPr>
            </w:pPr>
            <w:r>
              <w:rPr>
                <w:rFonts w:ascii="Arial" w:cs="Arial" w:eastAsia="Arial" w:hAnsi="Arial"/>
                <w:sz w:val="15"/>
                <w:szCs w:val="15"/>
                <w:color w:val="auto"/>
                <w:w w:val="71"/>
              </w:rPr>
              <w:t>$</w:t>
            </w: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9,611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4507230</wp:posOffset>
            </wp:positionH>
            <wp:positionV relativeFrom="paragraph">
              <wp:posOffset>150495</wp:posOffset>
            </wp:positionV>
            <wp:extent cx="2675890"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675890" cy="26035"/>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jc w:val="both"/>
        <w:ind w:firstLine="457"/>
        <w:spacing w:after="0" w:line="288" w:lineRule="auto"/>
        <w:rPr>
          <w:sz w:val="20"/>
          <w:szCs w:val="20"/>
          <w:color w:val="auto"/>
        </w:rPr>
      </w:pPr>
      <w:r>
        <w:rPr>
          <w:rFonts w:ascii="Arial" w:cs="Arial" w:eastAsia="Arial" w:hAnsi="Arial"/>
          <w:sz w:val="16"/>
          <w:szCs w:val="16"/>
          <w:i w:val="1"/>
          <w:iCs w:val="1"/>
          <w:color w:val="auto"/>
        </w:rPr>
        <w:t xml:space="preserve">Equity in earnings of unconsolidated entities. </w:t>
      </w:r>
      <w:r>
        <w:rPr>
          <w:rFonts w:ascii="Arial" w:cs="Arial" w:eastAsia="Arial" w:hAnsi="Arial"/>
          <w:sz w:val="16"/>
          <w:szCs w:val="16"/>
          <w:color w:val="auto"/>
        </w:rPr>
        <w:t>We suspended the application of the equity method of accounting for our investment in BMS Holdings in the</w:t>
      </w:r>
      <w:r>
        <w:rPr>
          <w:rFonts w:ascii="Arial" w:cs="Arial" w:eastAsia="Arial" w:hAnsi="Arial"/>
          <w:sz w:val="16"/>
          <w:szCs w:val="16"/>
          <w:i w:val="1"/>
          <w:iCs w:val="1"/>
          <w:color w:val="auto"/>
        </w:rPr>
        <w:t xml:space="preserve"> </w:t>
      </w:r>
      <w:r>
        <w:rPr>
          <w:rFonts w:ascii="Arial" w:cs="Arial" w:eastAsia="Arial" w:hAnsi="Arial"/>
          <w:sz w:val="16"/>
          <w:szCs w:val="16"/>
          <w:color w:val="auto"/>
        </w:rPr>
        <w:t>second quarter of 2008 after our share of BMS Holdings’ 2008 losses had reduced our investment to zero. We will not resume applying the equity method until our share of BMS Holdings’ earnings exceeds our share of their losses that we did not recognize during the period when the equity method was suspended. The first quarter 2008 results for BMS Holdings reflect $5,431 of operating income and $47,904 of unrealized gains on derivative financial instruments that were driven by declining interest rates partially offset by $12,242 of unrealized losses on auction rate securities. The unrealized gains on derivatives in the first quarter of 2008 were largely reversed in the second quarter, driven by the significant volatility in LIBOR during those periods. BMS Holdings recognized a net loss for the first quarter of 2009 that was primarily due to operating income of $567 as a result of a $3,451 decline in revenues. Interest expense of $9,974 was partially offset by unrealized gains on derivatives of $5,809. As a result, BMS realized a net loss of $2,159 even though it recognized no additional unrealized losses on its portfolio of auction rate securities.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Items and Other</w:t>
      </w:r>
    </w:p>
    <w:p>
      <w:pPr>
        <w:spacing w:after="0" w:line="231" w:lineRule="exact"/>
        <w:rPr>
          <w:sz w:val="20"/>
          <w:szCs w:val="20"/>
          <w:color w:val="auto"/>
        </w:rPr>
      </w:pPr>
    </w:p>
    <w:p>
      <w:pPr>
        <w:jc w:val="both"/>
        <w:ind w:firstLine="478"/>
        <w:spacing w:after="0" w:line="259" w:lineRule="auto"/>
        <w:rPr>
          <w:sz w:val="20"/>
          <w:szCs w:val="20"/>
          <w:color w:val="auto"/>
        </w:rPr>
      </w:pPr>
      <w:r>
        <w:rPr>
          <w:rFonts w:ascii="Arial" w:cs="Arial" w:eastAsia="Arial" w:hAnsi="Arial"/>
          <w:sz w:val="18"/>
          <w:szCs w:val="18"/>
          <w:color w:val="auto"/>
        </w:rPr>
        <w:t>The first quarter 2009 loss before income taxes of $3,438 represents an improvement of $17,257 over the first quarter of 2008. Results for the first quarter of 2008 included $8,939 of unrealized losses on auction rate securities and $9,532 of expenses incurred in connection with the terminated “going private” transaction.</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100" w:type="dxa"/>
            <w:vAlign w:val="bottom"/>
            <w:gridSpan w:val="3"/>
          </w:tcPr>
          <w:p>
            <w:pPr>
              <w:spacing w:after="0"/>
              <w:rPr>
                <w:sz w:val="20"/>
                <w:szCs w:val="20"/>
                <w:color w:val="auto"/>
              </w:rPr>
            </w:pPr>
            <w:r>
              <w:rPr>
                <w:rFonts w:ascii="Arial" w:cs="Arial" w:eastAsia="Arial" w:hAnsi="Arial"/>
                <w:sz w:val="18"/>
                <w:szCs w:val="18"/>
                <w:color w:val="auto"/>
              </w:rPr>
              <w:t>Comparative selected balance sheet data:</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4"/>
        </w:trPr>
        <w:tc>
          <w:tcPr>
            <w:tcW w:w="20" w:type="dxa"/>
            <w:vAlign w:val="bottom"/>
          </w:tcPr>
          <w:p>
            <w:pPr>
              <w:spacing w:after="0"/>
              <w:rPr>
                <w:sz w:val="24"/>
                <w:szCs w:val="24"/>
                <w:color w:val="auto"/>
              </w:rPr>
            </w:pPr>
          </w:p>
        </w:tc>
        <w:tc>
          <w:tcPr>
            <w:tcW w:w="2820" w:type="dxa"/>
            <w:vAlign w:val="bottom"/>
            <w:tcBorders>
              <w:top w:val="single" w:sz="8" w:color="auto"/>
            </w:tcBorders>
          </w:tcPr>
          <w:p>
            <w:pPr>
              <w:spacing w:after="0"/>
              <w:rPr>
                <w:sz w:val="24"/>
                <w:szCs w:val="24"/>
                <w:color w:val="auto"/>
              </w:rPr>
            </w:pPr>
          </w:p>
        </w:tc>
        <w:tc>
          <w:tcPr>
            <w:tcW w:w="4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tcPr>
          <w:p>
            <w:pPr>
              <w:jc w:val="right"/>
              <w:ind w:right="332"/>
              <w:spacing w:after="0"/>
              <w:rPr>
                <w:sz w:val="20"/>
                <w:szCs w:val="20"/>
                <w:color w:val="auto"/>
              </w:rPr>
            </w:pPr>
            <w:r>
              <w:rPr>
                <w:rFonts w:ascii="Arial" w:cs="Arial" w:eastAsia="Arial" w:hAnsi="Arial"/>
                <w:sz w:val="18"/>
                <w:szCs w:val="18"/>
                <w:color w:val="auto"/>
              </w:rPr>
              <w:t>March 31, 2009</w:t>
            </w: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60" w:type="dxa"/>
            <w:vAlign w:val="bottom"/>
            <w:gridSpan w:val="2"/>
          </w:tcPr>
          <w:p>
            <w:pPr>
              <w:ind w:left="100"/>
              <w:spacing w:after="0"/>
              <w:rPr>
                <w:sz w:val="20"/>
                <w:szCs w:val="20"/>
                <w:color w:val="auto"/>
              </w:rPr>
            </w:pPr>
            <w:r>
              <w:rPr>
                <w:rFonts w:ascii="Arial" w:cs="Arial" w:eastAsia="Arial" w:hAnsi="Arial"/>
                <w:sz w:val="18"/>
                <w:szCs w:val="18"/>
                <w:color w:val="auto"/>
              </w:rPr>
              <w:t>December 31, 2008</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4260" w:type="dxa"/>
            <w:vAlign w:val="bottom"/>
          </w:tcPr>
          <w:p>
            <w:pPr>
              <w:spacing w:after="0"/>
              <w:rPr>
                <w:sz w:val="21"/>
                <w:szCs w:val="21"/>
                <w:color w:val="auto"/>
              </w:rPr>
            </w:pPr>
          </w:p>
        </w:tc>
        <w:tc>
          <w:tcPr>
            <w:tcW w:w="240" w:type="dxa"/>
            <w:vAlign w:val="bottom"/>
            <w:gridSpan w:val="2"/>
          </w:tcPr>
          <w:p>
            <w:pPr>
              <w:spacing w:after="0"/>
              <w:rPr>
                <w:sz w:val="21"/>
                <w:szCs w:val="21"/>
                <w:color w:val="auto"/>
              </w:rPr>
            </w:pPr>
          </w:p>
        </w:tc>
        <w:tc>
          <w:tcPr>
            <w:tcW w:w="17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8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Cash</w:t>
            </w:r>
          </w:p>
        </w:tc>
        <w:tc>
          <w:tcPr>
            <w:tcW w:w="20" w:type="dxa"/>
            <w:vAlign w:val="bottom"/>
            <w:shd w:val="clear" w:color="auto" w:fill="EAF9E8"/>
          </w:tcPr>
          <w:p>
            <w:pPr>
              <w:spacing w:after="0"/>
              <w:rPr>
                <w:sz w:val="18"/>
                <w:szCs w:val="18"/>
                <w:color w:val="auto"/>
              </w:rPr>
            </w:pPr>
          </w:p>
        </w:tc>
        <w:tc>
          <w:tcPr>
            <w:tcW w:w="220" w:type="dxa"/>
            <w:vAlign w:val="bottom"/>
            <w:tcBorders>
              <w:top w:val="single" w:sz="8" w:color="auto"/>
            </w:tcBorders>
            <w:shd w:val="clear" w:color="auto" w:fill="EAF9E8"/>
          </w:tcPr>
          <w:p>
            <w:pPr>
              <w:jc w:val="right"/>
              <w:ind w:right="111"/>
              <w:spacing w:after="0"/>
              <w:rPr>
                <w:sz w:val="20"/>
                <w:szCs w:val="20"/>
                <w:color w:val="auto"/>
              </w:rPr>
            </w:pPr>
            <w:r>
              <w:rPr>
                <w:rFonts w:ascii="Arial" w:cs="Arial" w:eastAsia="Arial" w:hAnsi="Arial"/>
                <w:sz w:val="10"/>
                <w:szCs w:val="10"/>
                <w:color w:val="auto"/>
                <w:w w:val="71"/>
              </w:rPr>
              <w:t>$</w:t>
            </w:r>
          </w:p>
        </w:tc>
        <w:tc>
          <w:tcPr>
            <w:tcW w:w="170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153,253</w:t>
            </w:r>
          </w:p>
        </w:tc>
        <w:tc>
          <w:tcPr>
            <w:tcW w:w="340" w:type="dxa"/>
            <w:vAlign w:val="bottom"/>
            <w:shd w:val="clear" w:color="auto" w:fill="EAF9E8"/>
          </w:tcPr>
          <w:p>
            <w:pPr>
              <w:spacing w:after="0"/>
              <w:rPr>
                <w:sz w:val="18"/>
                <w:szCs w:val="18"/>
                <w:color w:val="auto"/>
              </w:rPr>
            </w:pPr>
          </w:p>
        </w:tc>
        <w:tc>
          <w:tcPr>
            <w:tcW w:w="180" w:type="dxa"/>
            <w:vAlign w:val="bottom"/>
            <w:tcBorders>
              <w:top w:val="single" w:sz="8" w:color="auto"/>
            </w:tcBorders>
            <w:shd w:val="clear" w:color="auto" w:fill="EAF9E8"/>
          </w:tcPr>
          <w:p>
            <w:pPr>
              <w:jc w:val="right"/>
              <w:ind w:right="23"/>
              <w:spacing w:after="0"/>
              <w:rPr>
                <w:sz w:val="20"/>
                <w:szCs w:val="20"/>
                <w:color w:val="auto"/>
              </w:rPr>
            </w:pPr>
            <w:r>
              <w:rPr>
                <w:rFonts w:ascii="Arial" w:cs="Arial" w:eastAsia="Arial" w:hAnsi="Arial"/>
                <w:sz w:val="15"/>
                <w:szCs w:val="15"/>
                <w:color w:val="auto"/>
                <w:w w:val="71"/>
              </w:rPr>
              <w:t>$</w:t>
            </w:r>
          </w:p>
        </w:tc>
        <w:tc>
          <w:tcPr>
            <w:tcW w:w="176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197,874</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gridSpan w:val="2"/>
          </w:tcPr>
          <w:p>
            <w:pPr>
              <w:spacing w:after="0"/>
              <w:rPr>
                <w:sz w:val="20"/>
                <w:szCs w:val="20"/>
                <w:color w:val="auto"/>
              </w:rPr>
            </w:pPr>
            <w:r>
              <w:rPr>
                <w:rFonts w:ascii="Arial" w:cs="Arial" w:eastAsia="Arial" w:hAnsi="Arial"/>
                <w:sz w:val="18"/>
                <w:szCs w:val="18"/>
                <w:color w:val="auto"/>
              </w:rPr>
              <w:t>Trading securities</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gridSpan w:val="2"/>
            <w:shd w:val="clear" w:color="auto" w:fill="EAF9E8"/>
          </w:tcPr>
          <w:p>
            <w:pPr>
              <w:ind w:left="140"/>
              <w:spacing w:after="0"/>
              <w:rPr>
                <w:sz w:val="20"/>
                <w:szCs w:val="20"/>
                <w:color w:val="auto"/>
              </w:rPr>
            </w:pPr>
            <w:r>
              <w:rPr>
                <w:rFonts w:ascii="Arial" w:cs="Arial" w:eastAsia="Arial" w:hAnsi="Arial"/>
                <w:sz w:val="18"/>
                <w:szCs w:val="18"/>
                <w:color w:val="auto"/>
              </w:rPr>
              <w:t>Investment grade auction rate</w:t>
            </w:r>
          </w:p>
        </w:tc>
        <w:tc>
          <w:tcPr>
            <w:tcW w:w="2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7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238,161</w:t>
            </w:r>
          </w:p>
        </w:tc>
        <w:tc>
          <w:tcPr>
            <w:tcW w:w="34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86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239,301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gridSpan w:val="2"/>
          </w:tcPr>
          <w:p>
            <w:pPr>
              <w:ind w:left="140"/>
              <w:spacing w:after="0"/>
              <w:rPr>
                <w:sz w:val="20"/>
                <w:szCs w:val="20"/>
                <w:color w:val="auto"/>
              </w:rPr>
            </w:pPr>
            <w:r>
              <w:rPr>
                <w:rFonts w:ascii="Arial" w:cs="Arial" w:eastAsia="Arial" w:hAnsi="Arial"/>
                <w:sz w:val="18"/>
                <w:szCs w:val="18"/>
                <w:color w:val="auto"/>
              </w:rPr>
              <w:t>Subordinates and residuals</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107</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60" w:type="dxa"/>
            <w:vAlign w:val="bottom"/>
            <w:gridSpan w:val="2"/>
          </w:tcPr>
          <w:p>
            <w:pPr>
              <w:jc w:val="right"/>
              <w:ind w:right="100"/>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Receivables</w:t>
            </w:r>
          </w:p>
        </w:tc>
        <w:tc>
          <w:tcPr>
            <w:tcW w:w="2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7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21,686</w:t>
            </w:r>
          </w:p>
        </w:tc>
        <w:tc>
          <w:tcPr>
            <w:tcW w:w="34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86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22,758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gridSpan w:val="2"/>
          </w:tcPr>
          <w:p>
            <w:pPr>
              <w:spacing w:after="0"/>
              <w:rPr>
                <w:sz w:val="20"/>
                <w:szCs w:val="20"/>
                <w:color w:val="auto"/>
              </w:rPr>
            </w:pPr>
            <w:r>
              <w:rPr>
                <w:rFonts w:ascii="Arial" w:cs="Arial" w:eastAsia="Arial" w:hAnsi="Arial"/>
                <w:sz w:val="18"/>
                <w:szCs w:val="18"/>
                <w:color w:val="auto"/>
              </w:rPr>
              <w:t>Deferred tax assets, net</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167,913</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60" w:type="dxa"/>
            <w:vAlign w:val="bottom"/>
            <w:gridSpan w:val="2"/>
          </w:tcPr>
          <w:p>
            <w:pPr>
              <w:jc w:val="right"/>
              <w:ind w:right="100"/>
              <w:spacing w:after="0"/>
              <w:rPr>
                <w:sz w:val="20"/>
                <w:szCs w:val="20"/>
                <w:color w:val="auto"/>
              </w:rPr>
            </w:pPr>
            <w:r>
              <w:rPr>
                <w:rFonts w:ascii="Arial" w:cs="Arial" w:eastAsia="Arial" w:hAnsi="Arial"/>
                <w:sz w:val="18"/>
                <w:szCs w:val="18"/>
                <w:color w:val="auto"/>
              </w:rPr>
              <w:t>175,145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Premises and equipment, net</w:t>
            </w:r>
          </w:p>
        </w:tc>
        <w:tc>
          <w:tcPr>
            <w:tcW w:w="2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7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2,980</w:t>
            </w:r>
          </w:p>
        </w:tc>
        <w:tc>
          <w:tcPr>
            <w:tcW w:w="34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86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3,415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gridSpan w:val="2"/>
          </w:tcPr>
          <w:p>
            <w:pPr>
              <w:spacing w:after="0"/>
              <w:rPr>
                <w:sz w:val="20"/>
                <w:szCs w:val="20"/>
                <w:color w:val="auto"/>
              </w:rPr>
            </w:pPr>
            <w:r>
              <w:rPr>
                <w:rFonts w:ascii="Arial" w:cs="Arial" w:eastAsia="Arial" w:hAnsi="Arial"/>
                <w:sz w:val="18"/>
                <w:szCs w:val="18"/>
                <w:color w:val="auto"/>
              </w:rPr>
              <w:t>Interest earning collateral deposits</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5,000</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60" w:type="dxa"/>
            <w:vAlign w:val="bottom"/>
            <w:gridSpan w:val="2"/>
          </w:tcPr>
          <w:p>
            <w:pPr>
              <w:jc w:val="right"/>
              <w:ind w:right="100"/>
              <w:spacing w:after="0"/>
              <w:rPr>
                <w:sz w:val="20"/>
                <w:szCs w:val="20"/>
                <w:color w:val="auto"/>
              </w:rPr>
            </w:pPr>
            <w:r>
              <w:rPr>
                <w:rFonts w:ascii="Arial" w:cs="Arial" w:eastAsia="Arial" w:hAnsi="Arial"/>
                <w:sz w:val="18"/>
                <w:szCs w:val="18"/>
                <w:color w:val="auto"/>
              </w:rPr>
              <w:t>9,684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7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6,335</w:t>
            </w:r>
          </w:p>
        </w:tc>
        <w:tc>
          <w:tcPr>
            <w:tcW w:w="34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86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7,129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080" w:type="dxa"/>
            <w:vAlign w:val="bottom"/>
            <w:gridSpan w:val="2"/>
            <w:vMerge w:val="restart"/>
          </w:tcPr>
          <w:p>
            <w:pPr>
              <w:ind w:left="300"/>
              <w:spacing w:after="0"/>
              <w:rPr>
                <w:sz w:val="20"/>
                <w:szCs w:val="20"/>
                <w:color w:val="auto"/>
              </w:rPr>
            </w:pPr>
            <w:r>
              <w:rPr>
                <w:rFonts w:ascii="Arial" w:cs="Arial" w:eastAsia="Arial" w:hAnsi="Arial"/>
                <w:sz w:val="18"/>
                <w:szCs w:val="18"/>
                <w:color w:val="auto"/>
              </w:rPr>
              <w:t>Total assets</w:t>
            </w:r>
          </w:p>
        </w:tc>
        <w:tc>
          <w:tcPr>
            <w:tcW w:w="240" w:type="dxa"/>
            <w:vAlign w:val="bottom"/>
            <w:gridSpan w:val="2"/>
          </w:tcPr>
          <w:p>
            <w:pPr>
              <w:spacing w:after="0"/>
              <w:rPr>
                <w:sz w:val="21"/>
                <w:szCs w:val="21"/>
                <w:color w:val="auto"/>
              </w:rPr>
            </w:pPr>
          </w:p>
        </w:tc>
        <w:tc>
          <w:tcPr>
            <w:tcW w:w="1700" w:type="dxa"/>
            <w:vAlign w:val="bottom"/>
          </w:tcPr>
          <w:p>
            <w:pPr>
              <w:spacing w:after="0"/>
              <w:rPr>
                <w:sz w:val="21"/>
                <w:szCs w:val="21"/>
                <w:color w:val="auto"/>
              </w:rPr>
            </w:pPr>
          </w:p>
        </w:tc>
        <w:tc>
          <w:tcPr>
            <w:tcW w:w="520" w:type="dxa"/>
            <w:vAlign w:val="bottom"/>
            <w:gridSpan w:val="2"/>
          </w:tcPr>
          <w:p>
            <w:pPr>
              <w:spacing w:after="0"/>
              <w:rPr>
                <w:sz w:val="21"/>
                <w:szCs w:val="21"/>
                <w:color w:val="auto"/>
              </w:rPr>
            </w:pPr>
          </w:p>
        </w:tc>
        <w:tc>
          <w:tcPr>
            <w:tcW w:w="1860" w:type="dxa"/>
            <w:vAlign w:val="bottom"/>
            <w:gridSpan w:val="2"/>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Borders>
              <w:top w:val="single" w:sz="8" w:color="auto"/>
            </w:tcBorders>
          </w:tcPr>
          <w:p>
            <w:pPr>
              <w:jc w:val="right"/>
              <w:ind w:right="111"/>
              <w:spacing w:after="0"/>
              <w:rPr>
                <w:sz w:val="20"/>
                <w:szCs w:val="20"/>
                <w:color w:val="auto"/>
              </w:rPr>
            </w:pPr>
            <w:r>
              <w:rPr>
                <w:rFonts w:ascii="Arial" w:cs="Arial" w:eastAsia="Arial" w:hAnsi="Arial"/>
                <w:sz w:val="10"/>
                <w:szCs w:val="10"/>
                <w:color w:val="auto"/>
                <w:w w:val="71"/>
              </w:rPr>
              <w:t>$</w:t>
            </w:r>
          </w:p>
        </w:tc>
        <w:tc>
          <w:tcPr>
            <w:tcW w:w="1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595,435</w:t>
            </w:r>
          </w:p>
        </w:tc>
        <w:tc>
          <w:tcPr>
            <w:tcW w:w="340" w:type="dxa"/>
            <w:vAlign w:val="bottom"/>
          </w:tcPr>
          <w:p>
            <w:pPr>
              <w:spacing w:after="0"/>
              <w:rPr>
                <w:sz w:val="18"/>
                <w:szCs w:val="18"/>
                <w:color w:val="auto"/>
              </w:rPr>
            </w:pPr>
          </w:p>
        </w:tc>
        <w:tc>
          <w:tcPr>
            <w:tcW w:w="180" w:type="dxa"/>
            <w:vAlign w:val="bottom"/>
            <w:tcBorders>
              <w:top w:val="single" w:sz="8" w:color="auto"/>
            </w:tcBorders>
          </w:tcPr>
          <w:p>
            <w:pPr>
              <w:jc w:val="right"/>
              <w:ind w:right="23"/>
              <w:spacing w:after="0"/>
              <w:rPr>
                <w:sz w:val="20"/>
                <w:szCs w:val="20"/>
                <w:color w:val="auto"/>
              </w:rPr>
            </w:pPr>
            <w:r>
              <w:rPr>
                <w:rFonts w:ascii="Arial" w:cs="Arial" w:eastAsia="Arial" w:hAnsi="Arial"/>
                <w:sz w:val="15"/>
                <w:szCs w:val="15"/>
                <w:color w:val="auto"/>
                <w:w w:val="71"/>
              </w:rPr>
              <w:t>$</w:t>
            </w:r>
          </w:p>
        </w:tc>
        <w:tc>
          <w:tcPr>
            <w:tcW w:w="1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655,471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840" w:type="dxa"/>
            <w:vAlign w:val="bottom"/>
            <w:gridSpan w:val="2"/>
          </w:tcPr>
          <w:p>
            <w:pPr>
              <w:spacing w:after="0"/>
              <w:rPr>
                <w:sz w:val="20"/>
                <w:szCs w:val="20"/>
                <w:color w:val="auto"/>
              </w:rPr>
            </w:pPr>
          </w:p>
        </w:tc>
        <w:tc>
          <w:tcPr>
            <w:tcW w:w="4260" w:type="dxa"/>
            <w:vAlign w:val="bottom"/>
          </w:tcPr>
          <w:p>
            <w:pPr>
              <w:spacing w:after="0"/>
              <w:rPr>
                <w:sz w:val="20"/>
                <w:szCs w:val="20"/>
                <w:color w:val="auto"/>
              </w:rPr>
            </w:pPr>
          </w:p>
        </w:tc>
        <w:tc>
          <w:tcPr>
            <w:tcW w:w="240" w:type="dxa"/>
            <w:vAlign w:val="bottom"/>
            <w:tcBorders>
              <w:bottom w:val="single" w:sz="8" w:color="auto"/>
            </w:tcBorders>
            <w:gridSpan w:val="2"/>
          </w:tcPr>
          <w:p>
            <w:pPr>
              <w:spacing w:after="0"/>
              <w:rPr>
                <w:sz w:val="20"/>
                <w:szCs w:val="20"/>
                <w:color w:val="auto"/>
              </w:rPr>
            </w:pPr>
          </w:p>
        </w:tc>
        <w:tc>
          <w:tcPr>
            <w:tcW w:w="170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840" w:type="dxa"/>
            <w:vAlign w:val="bottom"/>
            <w:gridSpan w:val="2"/>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restart"/>
          </w:tcPr>
          <w:p>
            <w:pPr>
              <w:spacing w:after="0"/>
              <w:rPr>
                <w:sz w:val="11"/>
                <w:szCs w:val="11"/>
                <w:color w:val="auto"/>
              </w:rPr>
            </w:pPr>
          </w:p>
        </w:tc>
        <w:tc>
          <w:tcPr>
            <w:tcW w:w="2820" w:type="dxa"/>
            <w:vAlign w:val="bottom"/>
          </w:tcPr>
          <w:p>
            <w:pPr>
              <w:spacing w:after="0"/>
              <w:rPr>
                <w:sz w:val="11"/>
                <w:szCs w:val="11"/>
                <w:color w:val="auto"/>
              </w:rPr>
            </w:pPr>
          </w:p>
        </w:tc>
        <w:tc>
          <w:tcPr>
            <w:tcW w:w="4260" w:type="dxa"/>
            <w:vAlign w:val="bottom"/>
          </w:tcPr>
          <w:p>
            <w:pPr>
              <w:spacing w:after="0"/>
              <w:rPr>
                <w:sz w:val="11"/>
                <w:szCs w:val="11"/>
                <w:color w:val="auto"/>
              </w:rPr>
            </w:pPr>
          </w:p>
        </w:tc>
        <w:tc>
          <w:tcPr>
            <w:tcW w:w="240" w:type="dxa"/>
            <w:vAlign w:val="bottom"/>
            <w:gridSpan w:val="2"/>
          </w:tcPr>
          <w:p>
            <w:pPr>
              <w:spacing w:after="0"/>
              <w:rPr>
                <w:sz w:val="11"/>
                <w:szCs w:val="11"/>
                <w:color w:val="auto"/>
              </w:rPr>
            </w:pPr>
          </w:p>
        </w:tc>
        <w:tc>
          <w:tcPr>
            <w:tcW w:w="1700" w:type="dxa"/>
            <w:vAlign w:val="bottom"/>
          </w:tcPr>
          <w:p>
            <w:pPr>
              <w:spacing w:after="0"/>
              <w:rPr>
                <w:sz w:val="11"/>
                <w:szCs w:val="11"/>
                <w:color w:val="auto"/>
              </w:rPr>
            </w:pPr>
          </w:p>
        </w:tc>
        <w:tc>
          <w:tcPr>
            <w:tcW w:w="520" w:type="dxa"/>
            <w:vAlign w:val="bottom"/>
            <w:gridSpan w:val="2"/>
          </w:tcPr>
          <w:p>
            <w:pPr>
              <w:spacing w:after="0"/>
              <w:rPr>
                <w:sz w:val="11"/>
                <w:szCs w:val="11"/>
                <w:color w:val="auto"/>
              </w:rPr>
            </w:pPr>
          </w:p>
        </w:tc>
        <w:tc>
          <w:tcPr>
            <w:tcW w:w="186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8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Investment line</w:t>
            </w:r>
          </w:p>
        </w:tc>
        <w:tc>
          <w:tcPr>
            <w:tcW w:w="240" w:type="dxa"/>
            <w:vAlign w:val="bottom"/>
            <w:gridSpan w:val="2"/>
            <w:shd w:val="clear" w:color="auto" w:fill="EAF9E8"/>
          </w:tcPr>
          <w:p>
            <w:pPr>
              <w:jc w:val="right"/>
              <w:ind w:right="111"/>
              <w:spacing w:after="0"/>
              <w:rPr>
                <w:sz w:val="20"/>
                <w:szCs w:val="20"/>
                <w:color w:val="auto"/>
              </w:rPr>
            </w:pPr>
            <w:r>
              <w:rPr>
                <w:rFonts w:ascii="Arial" w:cs="Arial" w:eastAsia="Arial" w:hAnsi="Arial"/>
                <w:sz w:val="15"/>
                <w:szCs w:val="15"/>
                <w:color w:val="auto"/>
                <w:w w:val="71"/>
              </w:rPr>
              <w:t>$</w:t>
            </w:r>
          </w:p>
        </w:tc>
        <w:tc>
          <w:tcPr>
            <w:tcW w:w="17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186,568</w:t>
            </w:r>
          </w:p>
        </w:tc>
        <w:tc>
          <w:tcPr>
            <w:tcW w:w="520" w:type="dxa"/>
            <w:vAlign w:val="bottom"/>
            <w:gridSpan w:val="2"/>
            <w:shd w:val="clear" w:color="auto" w:fill="EAF9E8"/>
          </w:tcPr>
          <w:p>
            <w:pPr>
              <w:jc w:val="right"/>
              <w:ind w:right="23"/>
              <w:spacing w:after="0"/>
              <w:rPr>
                <w:sz w:val="20"/>
                <w:szCs w:val="20"/>
                <w:color w:val="auto"/>
              </w:rPr>
            </w:pPr>
            <w:r>
              <w:rPr>
                <w:rFonts w:ascii="Arial" w:cs="Arial" w:eastAsia="Arial" w:hAnsi="Arial"/>
                <w:sz w:val="18"/>
                <w:szCs w:val="18"/>
                <w:color w:val="auto"/>
              </w:rPr>
              <w:t>$</w:t>
            </w:r>
          </w:p>
        </w:tc>
        <w:tc>
          <w:tcPr>
            <w:tcW w:w="186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200,719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gridSpan w:val="2"/>
          </w:tcPr>
          <w:p>
            <w:pPr>
              <w:spacing w:after="0"/>
              <w:rPr>
                <w:sz w:val="20"/>
                <w:szCs w:val="20"/>
                <w:color w:val="auto"/>
              </w:rPr>
            </w:pPr>
            <w:r>
              <w:rPr>
                <w:rFonts w:ascii="Arial" w:cs="Arial" w:eastAsia="Arial" w:hAnsi="Arial"/>
                <w:sz w:val="18"/>
                <w:szCs w:val="18"/>
                <w:color w:val="auto"/>
              </w:rPr>
              <w:t>Debt securities</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108,843</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60" w:type="dxa"/>
            <w:vAlign w:val="bottom"/>
            <w:gridSpan w:val="2"/>
          </w:tcPr>
          <w:p>
            <w:pPr>
              <w:jc w:val="right"/>
              <w:ind w:right="100"/>
              <w:spacing w:after="0"/>
              <w:rPr>
                <w:sz w:val="20"/>
                <w:szCs w:val="20"/>
                <w:color w:val="auto"/>
              </w:rPr>
            </w:pPr>
            <w:r>
              <w:rPr>
                <w:rFonts w:ascii="Arial" w:cs="Arial" w:eastAsia="Arial" w:hAnsi="Arial"/>
                <w:sz w:val="18"/>
                <w:szCs w:val="18"/>
                <w:color w:val="auto"/>
              </w:rPr>
              <w:t>133,367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7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32,291</w:t>
            </w:r>
          </w:p>
        </w:tc>
        <w:tc>
          <w:tcPr>
            <w:tcW w:w="34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86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41,514</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080" w:type="dxa"/>
            <w:vAlign w:val="bottom"/>
            <w:gridSpan w:val="2"/>
            <w:vMerge w:val="restart"/>
          </w:tcPr>
          <w:p>
            <w:pPr>
              <w:ind w:left="300"/>
              <w:spacing w:after="0"/>
              <w:rPr>
                <w:sz w:val="20"/>
                <w:szCs w:val="20"/>
                <w:color w:val="auto"/>
              </w:rPr>
            </w:pPr>
            <w:r>
              <w:rPr>
                <w:rFonts w:ascii="Arial" w:cs="Arial" w:eastAsia="Arial" w:hAnsi="Arial"/>
                <w:sz w:val="18"/>
                <w:szCs w:val="18"/>
                <w:color w:val="auto"/>
              </w:rPr>
              <w:t>Total liabilities</w:t>
            </w:r>
          </w:p>
        </w:tc>
        <w:tc>
          <w:tcPr>
            <w:tcW w:w="240" w:type="dxa"/>
            <w:vAlign w:val="bottom"/>
            <w:gridSpan w:val="2"/>
          </w:tcPr>
          <w:p>
            <w:pPr>
              <w:spacing w:after="0"/>
              <w:rPr>
                <w:sz w:val="21"/>
                <w:szCs w:val="21"/>
                <w:color w:val="auto"/>
              </w:rPr>
            </w:pPr>
          </w:p>
        </w:tc>
        <w:tc>
          <w:tcPr>
            <w:tcW w:w="1700" w:type="dxa"/>
            <w:vAlign w:val="bottom"/>
          </w:tcPr>
          <w:p>
            <w:pPr>
              <w:spacing w:after="0"/>
              <w:rPr>
                <w:sz w:val="21"/>
                <w:szCs w:val="21"/>
                <w:color w:val="auto"/>
              </w:rPr>
            </w:pPr>
          </w:p>
        </w:tc>
        <w:tc>
          <w:tcPr>
            <w:tcW w:w="520" w:type="dxa"/>
            <w:vAlign w:val="bottom"/>
            <w:gridSpan w:val="2"/>
          </w:tcPr>
          <w:p>
            <w:pPr>
              <w:spacing w:after="0"/>
              <w:rPr>
                <w:sz w:val="21"/>
                <w:szCs w:val="21"/>
                <w:color w:val="auto"/>
              </w:rPr>
            </w:pPr>
          </w:p>
        </w:tc>
        <w:tc>
          <w:tcPr>
            <w:tcW w:w="1860" w:type="dxa"/>
            <w:vAlign w:val="bottom"/>
            <w:gridSpan w:val="2"/>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Borders>
              <w:top w:val="single" w:sz="8" w:color="auto"/>
            </w:tcBorders>
          </w:tcPr>
          <w:p>
            <w:pPr>
              <w:jc w:val="right"/>
              <w:ind w:right="111"/>
              <w:spacing w:after="0"/>
              <w:rPr>
                <w:sz w:val="20"/>
                <w:szCs w:val="20"/>
                <w:color w:val="auto"/>
              </w:rPr>
            </w:pPr>
            <w:r>
              <w:rPr>
                <w:rFonts w:ascii="Arial" w:cs="Arial" w:eastAsia="Arial" w:hAnsi="Arial"/>
                <w:sz w:val="10"/>
                <w:szCs w:val="10"/>
                <w:color w:val="auto"/>
                <w:w w:val="71"/>
              </w:rPr>
              <w:t>$</w:t>
            </w:r>
          </w:p>
        </w:tc>
        <w:tc>
          <w:tcPr>
            <w:tcW w:w="1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327,702</w:t>
            </w:r>
          </w:p>
        </w:tc>
        <w:tc>
          <w:tcPr>
            <w:tcW w:w="340" w:type="dxa"/>
            <w:vAlign w:val="bottom"/>
          </w:tcPr>
          <w:p>
            <w:pPr>
              <w:spacing w:after="0"/>
              <w:rPr>
                <w:sz w:val="18"/>
                <w:szCs w:val="18"/>
                <w:color w:val="auto"/>
              </w:rPr>
            </w:pPr>
          </w:p>
        </w:tc>
        <w:tc>
          <w:tcPr>
            <w:tcW w:w="180" w:type="dxa"/>
            <w:vAlign w:val="bottom"/>
            <w:tcBorders>
              <w:top w:val="single" w:sz="8" w:color="auto"/>
            </w:tcBorders>
          </w:tcPr>
          <w:p>
            <w:pPr>
              <w:jc w:val="right"/>
              <w:ind w:right="23"/>
              <w:spacing w:after="0"/>
              <w:rPr>
                <w:sz w:val="20"/>
                <w:szCs w:val="20"/>
                <w:color w:val="auto"/>
              </w:rPr>
            </w:pPr>
            <w:r>
              <w:rPr>
                <w:rFonts w:ascii="Arial" w:cs="Arial" w:eastAsia="Arial" w:hAnsi="Arial"/>
                <w:sz w:val="15"/>
                <w:szCs w:val="15"/>
                <w:color w:val="auto"/>
                <w:w w:val="71"/>
              </w:rPr>
              <w:t>$</w:t>
            </w:r>
          </w:p>
        </w:tc>
        <w:tc>
          <w:tcPr>
            <w:tcW w:w="1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375,600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4507230</wp:posOffset>
            </wp:positionH>
            <wp:positionV relativeFrom="paragraph">
              <wp:posOffset>150495</wp:posOffset>
            </wp:positionV>
            <wp:extent cx="2675890" cy="26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675890" cy="26035"/>
                    </a:xfrm>
                    <a:prstGeom prst="rect">
                      <a:avLst/>
                    </a:prstGeom>
                    <a:noFill/>
                  </pic:spPr>
                </pic:pic>
              </a:graphicData>
            </a:graphic>
          </wp:anchor>
        </w:drawing>
      </w:r>
    </w:p>
    <w:p>
      <w:pPr>
        <w:sectPr>
          <w:pgSz w:w="11900" w:h="16838" w:orient="portrait"/>
          <w:cols w:equalWidth="0" w:num="1">
            <w:col w:w="11420"/>
          </w:cols>
          <w:pgMar w:left="240" w:top="108" w:right="239" w:bottom="697" w:gutter="0" w:footer="0" w:header="0"/>
        </w:sect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67575"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08" w:right="239" w:bottom="697" w:gutter="0" w:footer="0" w:header="0"/>
          <w:type w:val="continuous"/>
        </w:sectPr>
      </w:pPr>
    </w:p>
    <w:bookmarkStart w:id="52" w:name="page53"/>
    <w:bookmarkEnd w:id="52"/>
    <w:p>
      <w:pPr>
        <w:jc w:val="both"/>
        <w:ind w:firstLine="597"/>
        <w:spacing w:after="0" w:line="287" w:lineRule="auto"/>
        <w:rPr>
          <w:sz w:val="20"/>
          <w:szCs w:val="20"/>
          <w:color w:val="auto"/>
        </w:rPr>
      </w:pPr>
      <w:r>
        <w:rPr>
          <w:rFonts w:ascii="Arial" w:cs="Arial" w:eastAsia="Arial" w:hAnsi="Arial"/>
          <w:sz w:val="16"/>
          <w:szCs w:val="16"/>
          <w:i w:val="1"/>
          <w:iCs w:val="1"/>
          <w:color w:val="auto"/>
        </w:rPr>
        <w:t xml:space="preserve">Trading Securities. </w:t>
      </w:r>
      <w:r>
        <w:rPr>
          <w:rFonts w:ascii="Arial" w:cs="Arial" w:eastAsia="Arial" w:hAnsi="Arial"/>
          <w:sz w:val="16"/>
          <w:szCs w:val="16"/>
          <w:color w:val="auto"/>
        </w:rPr>
        <w:t>As disclosed in Note 5 to the Interim Consolidated Financial Statements, because of failed auctions, we have been unable to fully</w:t>
      </w:r>
      <w:r>
        <w:rPr>
          <w:rFonts w:ascii="Arial" w:cs="Arial" w:eastAsia="Arial" w:hAnsi="Arial"/>
          <w:sz w:val="16"/>
          <w:szCs w:val="16"/>
          <w:i w:val="1"/>
          <w:iCs w:val="1"/>
          <w:color w:val="auto"/>
        </w:rPr>
        <w:t xml:space="preserve"> </w:t>
      </w:r>
      <w:r>
        <w:rPr>
          <w:rFonts w:ascii="Arial" w:cs="Arial" w:eastAsia="Arial" w:hAnsi="Arial"/>
          <w:sz w:val="16"/>
          <w:szCs w:val="16"/>
          <w:color w:val="auto"/>
        </w:rPr>
        <w:t>liquidate the investment grade auction rate securities that we invested in during the first quarter of 2008. These securities are collateralized by student loans originated under the Federal Family Education Loan Program. The loans are guaranteed for no less than 97% of their unpaid principal balance in the event of default. Our determination of the estimated fair value, which included our consideration of the strong credit quality of the underlying collateral and the securities we hold, limited market activity (including sales of our own holdings), creditworthiness of the issuers, estimated holding period and general auction rate securities market conditions, required the significant use of unobservable inputs. We estimate that an increase in the holding period of 12 months, with a commensurate increase in the discount rate, would reduce the estimated fair value by approximately 3.4%. Alternatively, a decrease in the holding period of the auction rate securities of 12 months, with a commensurate decrease in the discount rate, would increase the estimated fair value by approximately 5.5%. When liquidity returns to the auction rate securities market we expect to sell our securities. Additionally, we continue to aggressively pursue litigation and arbitration actions against certain investment banks.</w:t>
      </w:r>
    </w:p>
    <w:p>
      <w:pPr>
        <w:spacing w:after="0" w:line="177" w:lineRule="exact"/>
        <w:rPr>
          <w:sz w:val="20"/>
          <w:szCs w:val="20"/>
          <w:color w:val="auto"/>
        </w:rPr>
      </w:pPr>
    </w:p>
    <w:p>
      <w:pPr>
        <w:jc w:val="both"/>
        <w:ind w:firstLine="487"/>
        <w:spacing w:after="0" w:line="268" w:lineRule="auto"/>
        <w:rPr>
          <w:sz w:val="20"/>
          <w:szCs w:val="20"/>
          <w:color w:val="auto"/>
        </w:rPr>
      </w:pPr>
      <w:r>
        <w:rPr>
          <w:rFonts w:ascii="Arial" w:cs="Arial" w:eastAsia="Arial" w:hAnsi="Arial"/>
          <w:sz w:val="18"/>
          <w:szCs w:val="18"/>
          <w:i w:val="1"/>
          <w:iCs w:val="1"/>
          <w:color w:val="auto"/>
        </w:rPr>
        <w:t xml:space="preserve">Deferred Tax Assets, Net. </w:t>
      </w:r>
      <w:r>
        <w:rPr>
          <w:rFonts w:ascii="Arial" w:cs="Arial" w:eastAsia="Arial" w:hAnsi="Arial"/>
          <w:sz w:val="18"/>
          <w:szCs w:val="18"/>
          <w:color w:val="auto"/>
        </w:rPr>
        <w:t>Net deferred tax assets decreased by $7,232 during the first three months of 2009 primarily due to the realization of tax benefits</w:t>
      </w:r>
      <w:r>
        <w:rPr>
          <w:rFonts w:ascii="Arial" w:cs="Arial" w:eastAsia="Arial" w:hAnsi="Arial"/>
          <w:sz w:val="18"/>
          <w:szCs w:val="18"/>
          <w:i w:val="1"/>
          <w:iCs w:val="1"/>
          <w:color w:val="auto"/>
        </w:rPr>
        <w:t xml:space="preserve"> </w:t>
      </w:r>
      <w:r>
        <w:rPr>
          <w:rFonts w:ascii="Arial" w:cs="Arial" w:eastAsia="Arial" w:hAnsi="Arial"/>
          <w:sz w:val="18"/>
          <w:szCs w:val="18"/>
          <w:color w:val="auto"/>
        </w:rPr>
        <w:t>associated with the sale of MSRs.</w:t>
      </w:r>
    </w:p>
    <w:p>
      <w:pPr>
        <w:spacing w:after="0" w:line="186" w:lineRule="exact"/>
        <w:rPr>
          <w:sz w:val="20"/>
          <w:szCs w:val="20"/>
          <w:color w:val="auto"/>
        </w:rPr>
      </w:pPr>
    </w:p>
    <w:p>
      <w:pPr>
        <w:jc w:val="both"/>
        <w:ind w:firstLine="439"/>
        <w:spacing w:after="0" w:line="254" w:lineRule="auto"/>
        <w:rPr>
          <w:sz w:val="20"/>
          <w:szCs w:val="20"/>
          <w:color w:val="auto"/>
        </w:rPr>
      </w:pPr>
      <w:r>
        <w:rPr>
          <w:rFonts w:ascii="Arial" w:cs="Arial" w:eastAsia="Arial" w:hAnsi="Arial"/>
          <w:sz w:val="18"/>
          <w:szCs w:val="18"/>
          <w:i w:val="1"/>
          <w:iCs w:val="1"/>
          <w:color w:val="auto"/>
        </w:rPr>
        <w:t xml:space="preserve">Investment Line. </w:t>
      </w:r>
      <w:r>
        <w:rPr>
          <w:rFonts w:ascii="Arial" w:cs="Arial" w:eastAsia="Arial" w:hAnsi="Arial"/>
          <w:sz w:val="18"/>
          <w:szCs w:val="18"/>
          <w:color w:val="auto"/>
        </w:rPr>
        <w:t>As disclosed in Note 14 to the Interim Consolidated Financial Statements</w:t>
      </w:r>
      <w:r>
        <w:rPr>
          <w:rFonts w:ascii="Arial" w:cs="Arial" w:eastAsia="Arial" w:hAnsi="Arial"/>
          <w:sz w:val="18"/>
          <w:szCs w:val="18"/>
          <w:i w:val="1"/>
          <w:iCs w:val="1"/>
          <w:color w:val="auto"/>
        </w:rPr>
        <w:t xml:space="preserve">, </w:t>
      </w:r>
      <w:r>
        <w:rPr>
          <w:rFonts w:ascii="Arial" w:cs="Arial" w:eastAsia="Arial" w:hAnsi="Arial"/>
          <w:sz w:val="18"/>
          <w:szCs w:val="18"/>
          <w:color w:val="auto"/>
        </w:rPr>
        <w:t>we executed an amendment to the Investment Line in July 2008</w:t>
      </w:r>
      <w:r>
        <w:rPr>
          <w:rFonts w:ascii="Arial" w:cs="Arial" w:eastAsia="Arial" w:hAnsi="Arial"/>
          <w:sz w:val="18"/>
          <w:szCs w:val="18"/>
          <w:i w:val="1"/>
          <w:iCs w:val="1"/>
          <w:color w:val="auto"/>
        </w:rPr>
        <w:t xml:space="preserve"> </w:t>
      </w:r>
      <w:r>
        <w:rPr>
          <w:rFonts w:ascii="Arial" w:cs="Arial" w:eastAsia="Arial" w:hAnsi="Arial"/>
          <w:sz w:val="18"/>
          <w:szCs w:val="18"/>
          <w:color w:val="auto"/>
        </w:rPr>
        <w:t>that created a term note maturing on June 30, 2009. The note is secured by our investment in auction rate securities. Maximum borrowing as of March 31, 2009 was limited to 70% of the face amount of the securities. Under the term note, we receive the interest on the auction rate securities while the proceeds from the redemption or sale of auction rate securities are applied to the outstanding balance. On April 30, 2009, we renewed the term note through June 2010. This agreement was renewed under terms substantially similar to the previous agreement, except that payments will be $3,000 per month in place of the previous quarterly reductions in the advance rate.</w:t>
      </w:r>
    </w:p>
    <w:p>
      <w:pPr>
        <w:spacing w:after="0" w:line="198" w:lineRule="exact"/>
        <w:rPr>
          <w:sz w:val="20"/>
          <w:szCs w:val="20"/>
          <w:color w:val="auto"/>
        </w:rPr>
      </w:pPr>
    </w:p>
    <w:p>
      <w:pPr>
        <w:jc w:val="both"/>
        <w:ind w:right="20" w:firstLine="490"/>
        <w:spacing w:after="0" w:line="268" w:lineRule="auto"/>
        <w:rPr>
          <w:sz w:val="20"/>
          <w:szCs w:val="20"/>
          <w:color w:val="auto"/>
        </w:rPr>
      </w:pPr>
      <w:r>
        <w:rPr>
          <w:rFonts w:ascii="Arial" w:cs="Arial" w:eastAsia="Arial" w:hAnsi="Arial"/>
          <w:sz w:val="18"/>
          <w:szCs w:val="18"/>
          <w:color w:val="auto"/>
        </w:rPr>
        <w:t>During the three months ended March 31, 2009, we made principal payments totaling $14,151 which reduced the Investment Line term note obligation to $186,568.</w:t>
      </w:r>
    </w:p>
    <w:p>
      <w:pPr>
        <w:spacing w:after="0" w:line="186" w:lineRule="exact"/>
        <w:rPr>
          <w:sz w:val="20"/>
          <w:szCs w:val="20"/>
          <w:color w:val="auto"/>
        </w:rPr>
      </w:pPr>
    </w:p>
    <w:p>
      <w:pPr>
        <w:jc w:val="both"/>
        <w:ind w:firstLine="635"/>
        <w:spacing w:after="0" w:line="291" w:lineRule="auto"/>
        <w:rPr>
          <w:sz w:val="20"/>
          <w:szCs w:val="20"/>
          <w:color w:val="auto"/>
        </w:rPr>
      </w:pPr>
      <w:r>
        <w:rPr>
          <w:rFonts w:ascii="Arial" w:cs="Arial" w:eastAsia="Arial" w:hAnsi="Arial"/>
          <w:sz w:val="16"/>
          <w:szCs w:val="16"/>
          <w:i w:val="1"/>
          <w:iCs w:val="1"/>
          <w:color w:val="auto"/>
        </w:rPr>
        <w:t xml:space="preserve">Debt Securities. </w:t>
      </w:r>
      <w:r>
        <w:rPr>
          <w:rFonts w:ascii="Arial" w:cs="Arial" w:eastAsia="Arial" w:hAnsi="Arial"/>
          <w:sz w:val="16"/>
          <w:szCs w:val="16"/>
          <w:color w:val="auto"/>
        </w:rPr>
        <w:t>Debt securities declined by $24,524 during the first three months of 2009 primarily because we repurchased $25,910 of our 3.25%</w:t>
      </w:r>
      <w:r>
        <w:rPr>
          <w:rFonts w:ascii="Arial" w:cs="Arial" w:eastAsia="Arial" w:hAnsi="Arial"/>
          <w:sz w:val="16"/>
          <w:szCs w:val="16"/>
          <w:i w:val="1"/>
          <w:iCs w:val="1"/>
          <w:color w:val="auto"/>
        </w:rPr>
        <w:t xml:space="preserve"> </w:t>
      </w:r>
      <w:r>
        <w:rPr>
          <w:rFonts w:ascii="Arial" w:cs="Arial" w:eastAsia="Arial" w:hAnsi="Arial"/>
          <w:sz w:val="16"/>
          <w:szCs w:val="16"/>
          <w:color w:val="auto"/>
        </w:rPr>
        <w:t>Convertible Notes in the open market in February 2009 generating total gains of $534, net of the write-off of unamortized issuance costs. As a result of our adoption of FSP No. APB 14-1, we recognized a discount on the Convertible Notes that we are amortizing to interest expense over a five-year period to August 1, 2009. The outstanding balance at March 31, 2009 and December 31, 2008 of $56,445 and $82,355 is reported net of the unamortized debt discount of $981 and $2,367 respectively. The outstanding balance of the 10.875% Capital Trust Securities of $53,379 is unchanged from December 31, 2008. See Note 16 to the Interim Consolidated Financial Statements for additional details regarding the Convertible Notes and Capital Trust Securities.</w:t>
      </w:r>
    </w:p>
    <w:p>
      <w:pPr>
        <w:spacing w:after="0" w:line="174" w:lineRule="exact"/>
        <w:rPr>
          <w:sz w:val="20"/>
          <w:szCs w:val="20"/>
          <w:color w:val="auto"/>
        </w:rPr>
      </w:pPr>
    </w:p>
    <w:p>
      <w:pPr>
        <w:jc w:val="both"/>
        <w:ind w:firstLine="525"/>
        <w:spacing w:after="0" w:line="255" w:lineRule="auto"/>
        <w:rPr>
          <w:sz w:val="20"/>
          <w:szCs w:val="20"/>
          <w:color w:val="auto"/>
        </w:rPr>
      </w:pPr>
      <w:r>
        <w:rPr>
          <w:rFonts w:ascii="Arial" w:cs="Arial" w:eastAsia="Arial" w:hAnsi="Arial"/>
          <w:sz w:val="18"/>
          <w:szCs w:val="18"/>
          <w:i w:val="1"/>
          <w:iCs w:val="1"/>
          <w:color w:val="auto"/>
        </w:rPr>
        <w:t xml:space="preserve">Other Liabilities. </w:t>
      </w:r>
      <w:r>
        <w:rPr>
          <w:rFonts w:ascii="Arial" w:cs="Arial" w:eastAsia="Arial" w:hAnsi="Arial"/>
          <w:sz w:val="18"/>
          <w:szCs w:val="18"/>
          <w:color w:val="auto"/>
        </w:rPr>
        <w:t>Other liabilities include accruals for incentive compensation awards, audit fees, legal matters, other operating expenses and interest on</w:t>
      </w:r>
      <w:r>
        <w:rPr>
          <w:rFonts w:ascii="Arial" w:cs="Arial" w:eastAsia="Arial" w:hAnsi="Arial"/>
          <w:sz w:val="18"/>
          <w:szCs w:val="18"/>
          <w:i w:val="1"/>
          <w:iCs w:val="1"/>
          <w:color w:val="auto"/>
        </w:rPr>
        <w:t xml:space="preserve"> </w:t>
      </w:r>
      <w:r>
        <w:rPr>
          <w:rFonts w:ascii="Arial" w:cs="Arial" w:eastAsia="Arial" w:hAnsi="Arial"/>
          <w:sz w:val="18"/>
          <w:szCs w:val="18"/>
          <w:color w:val="auto"/>
        </w:rPr>
        <w:t>debt securities, including customer deposits held by BOK. Other liabilities declined by $9,223 primarily due to the settlement of $3,900 of liabilities accrued in connection with the December 2008 assignment of the lease on our Orlando facility, a decline of $5,578 in accrued bonuses as a result of the payment of 2008 annual bonuses and a $2,260 decline in accrued interest payable resulting from the semiannual payment of interest on our Convertible Notes and Capital Trust Securities.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80" w:type="dxa"/>
            <w:vAlign w:val="bottom"/>
            <w:gridSpan w:val="2"/>
          </w:tcPr>
          <w:p>
            <w:pPr>
              <w:spacing w:after="0"/>
              <w:rPr>
                <w:sz w:val="20"/>
                <w:szCs w:val="20"/>
                <w:color w:val="auto"/>
              </w:rPr>
            </w:pPr>
            <w:r>
              <w:rPr>
                <w:rFonts w:ascii="Arial" w:cs="Arial" w:eastAsia="Arial" w:hAnsi="Arial"/>
                <w:sz w:val="18"/>
                <w:szCs w:val="18"/>
                <w:color w:val="auto"/>
                <w:w w:val="93"/>
              </w:rPr>
              <w:t>Comparative selected operations data for the three months ended March 31 is as follows:</w:t>
            </w:r>
          </w:p>
        </w:tc>
        <w:tc>
          <w:tcPr>
            <w:tcW w:w="4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4"/>
        </w:trPr>
        <w:tc>
          <w:tcPr>
            <w:tcW w:w="6200" w:type="dxa"/>
            <w:vAlign w:val="bottom"/>
            <w:tcBorders>
              <w:top w:val="single" w:sz="8" w:color="auto"/>
            </w:tcBorders>
          </w:tcPr>
          <w:p>
            <w:pPr>
              <w:spacing w:after="0"/>
              <w:rPr>
                <w:sz w:val="24"/>
                <w:szCs w:val="24"/>
                <w:color w:val="auto"/>
              </w:rPr>
            </w:pPr>
          </w:p>
        </w:tc>
        <w:tc>
          <w:tcPr>
            <w:tcW w:w="480" w:type="dxa"/>
            <w:vAlign w:val="bottom"/>
          </w:tcPr>
          <w:p>
            <w:pPr>
              <w:spacing w:after="0"/>
              <w:rPr>
                <w:sz w:val="24"/>
                <w:szCs w:val="24"/>
                <w:color w:val="auto"/>
              </w:rPr>
            </w:pPr>
          </w:p>
        </w:tc>
        <w:tc>
          <w:tcPr>
            <w:tcW w:w="1740" w:type="dxa"/>
            <w:vAlign w:val="bottom"/>
            <w:gridSpan w:val="2"/>
          </w:tcPr>
          <w:p>
            <w:pPr>
              <w:jc w:val="right"/>
              <w:ind w:right="103"/>
              <w:spacing w:after="0"/>
              <w:rPr>
                <w:sz w:val="20"/>
                <w:szCs w:val="20"/>
                <w:color w:val="auto"/>
              </w:rPr>
            </w:pPr>
            <w:r>
              <w:rPr>
                <w:rFonts w:ascii="Arial" w:cs="Arial" w:eastAsia="Arial" w:hAnsi="Arial"/>
                <w:sz w:val="18"/>
                <w:szCs w:val="18"/>
                <w:color w:val="auto"/>
              </w:rPr>
              <w:t>2009</w:t>
            </w: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500" w:type="dxa"/>
            <w:vAlign w:val="bottom"/>
          </w:tcPr>
          <w:p>
            <w:pPr>
              <w:jc w:val="right"/>
              <w:ind w:right="712"/>
              <w:spacing w:after="0"/>
              <w:rPr>
                <w:sz w:val="20"/>
                <w:szCs w:val="20"/>
                <w:color w:val="auto"/>
              </w:rPr>
            </w:pPr>
            <w:r>
              <w:rPr>
                <w:rFonts w:ascii="Arial" w:cs="Arial" w:eastAsia="Arial" w:hAnsi="Arial"/>
                <w:sz w:val="18"/>
                <w:szCs w:val="18"/>
                <w:color w:val="auto"/>
              </w:rPr>
              <w:t>2008</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62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740" w:type="dxa"/>
            <w:vAlign w:val="bottom"/>
            <w:gridSpan w:val="2"/>
          </w:tcPr>
          <w:p>
            <w:pPr>
              <w:spacing w:after="0"/>
              <w:rPr>
                <w:sz w:val="21"/>
                <w:szCs w:val="21"/>
                <w:color w:val="auto"/>
              </w:rPr>
            </w:pPr>
          </w:p>
        </w:tc>
        <w:tc>
          <w:tcPr>
            <w:tcW w:w="6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668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Revenue</w:t>
            </w:r>
          </w:p>
        </w:tc>
        <w:tc>
          <w:tcPr>
            <w:tcW w:w="420" w:type="dxa"/>
            <w:vAlign w:val="bottom"/>
            <w:shd w:val="clear" w:color="auto" w:fill="EAF9E8"/>
          </w:tcPr>
          <w:p>
            <w:pPr>
              <w:spacing w:after="0"/>
              <w:rPr>
                <w:sz w:val="18"/>
                <w:szCs w:val="18"/>
                <w:color w:val="auto"/>
              </w:rPr>
            </w:pPr>
          </w:p>
        </w:tc>
        <w:tc>
          <w:tcPr>
            <w:tcW w:w="1320" w:type="dxa"/>
            <w:vAlign w:val="bottom"/>
            <w:tcBorders>
              <w:top w:val="single" w:sz="8" w:color="auto"/>
            </w:tcBorders>
            <w:shd w:val="clear" w:color="auto" w:fill="EAF9E8"/>
          </w:tcPr>
          <w:p>
            <w:pPr>
              <w:jc w:val="right"/>
              <w:ind w:right="1163"/>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253</w:t>
            </w:r>
          </w:p>
        </w:tc>
        <w:tc>
          <w:tcPr>
            <w:tcW w:w="340" w:type="dxa"/>
            <w:vAlign w:val="bottom"/>
            <w:shd w:val="clear" w:color="auto" w:fill="EAF9E8"/>
          </w:tcPr>
          <w:p>
            <w:pPr>
              <w:spacing w:after="0"/>
              <w:rPr>
                <w:sz w:val="18"/>
                <w:szCs w:val="18"/>
                <w:color w:val="auto"/>
              </w:rPr>
            </w:pPr>
          </w:p>
        </w:tc>
        <w:tc>
          <w:tcPr>
            <w:tcW w:w="440" w:type="dxa"/>
            <w:vAlign w:val="bottom"/>
            <w:tcBorders>
              <w:top w:val="single" w:sz="8" w:color="auto"/>
            </w:tcBorders>
            <w:shd w:val="clear" w:color="auto" w:fill="EAF9E8"/>
          </w:tcPr>
          <w:p>
            <w:pPr>
              <w:jc w:val="right"/>
              <w:ind w:right="283"/>
              <w:spacing w:after="0"/>
              <w:rPr>
                <w:sz w:val="20"/>
                <w:szCs w:val="20"/>
                <w:color w:val="auto"/>
              </w:rPr>
            </w:pPr>
            <w:r>
              <w:rPr>
                <w:rFonts w:ascii="Arial" w:cs="Arial" w:eastAsia="Arial" w:hAnsi="Arial"/>
                <w:sz w:val="15"/>
                <w:szCs w:val="15"/>
                <w:color w:val="auto"/>
                <w:w w:val="71"/>
              </w:rPr>
              <w:t>$</w:t>
            </w:r>
          </w:p>
        </w:tc>
        <w:tc>
          <w:tcPr>
            <w:tcW w:w="150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68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4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3,982</w:t>
            </w:r>
          </w:p>
        </w:tc>
        <w:tc>
          <w:tcPr>
            <w:tcW w:w="3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8,636</w:t>
            </w:r>
          </w:p>
        </w:tc>
        <w:tc>
          <w:tcPr>
            <w:tcW w:w="0" w:type="dxa"/>
            <w:vAlign w:val="bottom"/>
          </w:tcPr>
          <w:p>
            <w:pPr>
              <w:spacing w:after="0"/>
              <w:rPr>
                <w:sz w:val="1"/>
                <w:szCs w:val="1"/>
                <w:color w:val="auto"/>
              </w:rPr>
            </w:pPr>
          </w:p>
        </w:tc>
      </w:tr>
      <w:tr>
        <w:trPr>
          <w:trHeight w:val="237"/>
        </w:trPr>
        <w:tc>
          <w:tcPr>
            <w:tcW w:w="62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960" w:type="dxa"/>
            <w:vAlign w:val="bottom"/>
            <w:gridSpan w:val="2"/>
          </w:tcPr>
          <w:p>
            <w:pPr>
              <w:spacing w:after="0"/>
              <w:rPr>
                <w:sz w:val="20"/>
                <w:szCs w:val="20"/>
                <w:color w:val="auto"/>
              </w:rPr>
            </w:pPr>
          </w:p>
        </w:tc>
        <w:tc>
          <w:tcPr>
            <w:tcW w:w="440" w:type="dxa"/>
            <w:vAlign w:val="bottom"/>
          </w:tcPr>
          <w:p>
            <w:pPr>
              <w:spacing w:after="0"/>
              <w:rPr>
                <w:sz w:val="20"/>
                <w:szCs w:val="20"/>
                <w:color w:val="auto"/>
              </w:rPr>
            </w:pPr>
          </w:p>
        </w:tc>
        <w:tc>
          <w:tcPr>
            <w:tcW w:w="160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68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Loss from operations</w:t>
            </w:r>
          </w:p>
        </w:tc>
        <w:tc>
          <w:tcPr>
            <w:tcW w:w="420" w:type="dxa"/>
            <w:vAlign w:val="bottom"/>
            <w:shd w:val="clear" w:color="auto" w:fill="EAF9E8"/>
          </w:tcPr>
          <w:p>
            <w:pPr>
              <w:spacing w:after="0"/>
              <w:rPr>
                <w:sz w:val="18"/>
                <w:szCs w:val="18"/>
                <w:color w:val="auto"/>
              </w:rPr>
            </w:pPr>
          </w:p>
        </w:tc>
        <w:tc>
          <w:tcPr>
            <w:tcW w:w="1320" w:type="dxa"/>
            <w:vAlign w:val="bottom"/>
            <w:tcBorders>
              <w:top w:val="single" w:sz="8" w:color="auto"/>
            </w:tcBorders>
            <w:shd w:val="clear" w:color="auto" w:fill="EAF9E8"/>
          </w:tcPr>
          <w:p>
            <w:pPr>
              <w:spacing w:after="0"/>
              <w:rPr>
                <w:sz w:val="18"/>
                <w:szCs w:val="18"/>
                <w:color w:val="auto"/>
              </w:rPr>
            </w:pPr>
          </w:p>
        </w:tc>
        <w:tc>
          <w:tcPr>
            <w:tcW w:w="62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(3,729)</w:t>
            </w:r>
          </w:p>
        </w:tc>
        <w:tc>
          <w:tcPr>
            <w:tcW w:w="340" w:type="dxa"/>
            <w:vAlign w:val="bottom"/>
            <w:shd w:val="clear" w:color="auto" w:fill="EAF9E8"/>
          </w:tcPr>
          <w:p>
            <w:pPr>
              <w:spacing w:after="0"/>
              <w:rPr>
                <w:sz w:val="18"/>
                <w:szCs w:val="18"/>
                <w:color w:val="auto"/>
              </w:rPr>
            </w:pPr>
          </w:p>
        </w:tc>
        <w:tc>
          <w:tcPr>
            <w:tcW w:w="440" w:type="dxa"/>
            <w:vAlign w:val="bottom"/>
            <w:tcBorders>
              <w:top w:val="single" w:sz="8" w:color="auto"/>
            </w:tcBorders>
            <w:shd w:val="clear" w:color="auto" w:fill="EAF9E8"/>
          </w:tcPr>
          <w:p>
            <w:pPr>
              <w:spacing w:after="0"/>
              <w:rPr>
                <w:sz w:val="18"/>
                <w:szCs w:val="18"/>
                <w:color w:val="auto"/>
              </w:rPr>
            </w:pPr>
          </w:p>
        </w:tc>
        <w:tc>
          <w:tcPr>
            <w:tcW w:w="150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(8,631)</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6680" w:type="dxa"/>
            <w:vAlign w:val="bottom"/>
            <w:gridSpan w:val="2"/>
            <w:vMerge w:val="restart"/>
          </w:tcPr>
          <w:p>
            <w:pPr>
              <w:spacing w:after="0"/>
              <w:rPr>
                <w:sz w:val="20"/>
                <w:szCs w:val="20"/>
                <w:color w:val="auto"/>
              </w:rPr>
            </w:pPr>
            <w:r>
              <w:rPr>
                <w:rFonts w:ascii="Arial" w:cs="Arial" w:eastAsia="Arial" w:hAnsi="Arial"/>
                <w:sz w:val="18"/>
                <w:szCs w:val="18"/>
                <w:color w:val="auto"/>
              </w:rPr>
              <w:t>Other income (expense):</w:t>
            </w:r>
          </w:p>
        </w:tc>
        <w:tc>
          <w:tcPr>
            <w:tcW w:w="420" w:type="dxa"/>
            <w:vAlign w:val="bottom"/>
          </w:tcPr>
          <w:p>
            <w:pPr>
              <w:spacing w:after="0"/>
              <w:rPr>
                <w:sz w:val="21"/>
                <w:szCs w:val="21"/>
                <w:color w:val="auto"/>
              </w:rPr>
            </w:pPr>
          </w:p>
        </w:tc>
        <w:tc>
          <w:tcPr>
            <w:tcW w:w="132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340" w:type="dxa"/>
            <w:vAlign w:val="bottom"/>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57"/>
        </w:trPr>
        <w:tc>
          <w:tcPr>
            <w:tcW w:w="6680" w:type="dxa"/>
            <w:vAlign w:val="bottom"/>
            <w:gridSpan w:val="2"/>
            <w:vMerge w:val="continue"/>
          </w:tcPr>
          <w:p>
            <w:pPr>
              <w:spacing w:after="0"/>
              <w:rPr>
                <w:sz w:val="24"/>
                <w:szCs w:val="24"/>
                <w:color w:val="auto"/>
              </w:rPr>
            </w:pPr>
          </w:p>
        </w:tc>
        <w:tc>
          <w:tcPr>
            <w:tcW w:w="4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6680" w:type="dxa"/>
            <w:vAlign w:val="bottom"/>
            <w:gridSpan w:val="2"/>
            <w:shd w:val="clear" w:color="auto" w:fill="EAF9E8"/>
          </w:tcPr>
          <w:p>
            <w:pPr>
              <w:ind w:left="160"/>
              <w:spacing w:after="0"/>
              <w:rPr>
                <w:sz w:val="20"/>
                <w:szCs w:val="20"/>
                <w:color w:val="auto"/>
              </w:rPr>
            </w:pPr>
            <w:r>
              <w:rPr>
                <w:rFonts w:ascii="Arial" w:cs="Arial" w:eastAsia="Arial" w:hAnsi="Arial"/>
                <w:sz w:val="18"/>
                <w:szCs w:val="18"/>
                <w:color w:val="auto"/>
              </w:rPr>
              <w:t>Gain (loss) on trading securities</w:t>
            </w:r>
          </w:p>
        </w:tc>
        <w:tc>
          <w:tcPr>
            <w:tcW w:w="420" w:type="dxa"/>
            <w:vAlign w:val="bottom"/>
            <w:shd w:val="clear" w:color="auto" w:fill="EAF9E8"/>
          </w:tcPr>
          <w:p>
            <w:pPr>
              <w:spacing w:after="0"/>
              <w:rPr>
                <w:sz w:val="18"/>
                <w:szCs w:val="18"/>
                <w:color w:val="auto"/>
              </w:rPr>
            </w:pPr>
          </w:p>
        </w:tc>
        <w:tc>
          <w:tcPr>
            <w:tcW w:w="1320" w:type="dxa"/>
            <w:vAlign w:val="bottom"/>
            <w:shd w:val="clear" w:color="auto" w:fill="EAF9E8"/>
          </w:tcPr>
          <w:p>
            <w:pPr>
              <w:spacing w:after="0"/>
              <w:rPr>
                <w:sz w:val="18"/>
                <w:szCs w:val="18"/>
                <w:color w:val="auto"/>
              </w:rPr>
            </w:pPr>
          </w:p>
        </w:tc>
        <w:tc>
          <w:tcPr>
            <w:tcW w:w="96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rPr>
              <w:t>(98)</w:t>
            </w:r>
          </w:p>
        </w:tc>
        <w:tc>
          <w:tcPr>
            <w:tcW w:w="440" w:type="dxa"/>
            <w:vAlign w:val="bottom"/>
            <w:shd w:val="clear" w:color="auto" w:fill="EAF9E8"/>
          </w:tcPr>
          <w:p>
            <w:pPr>
              <w:spacing w:after="0"/>
              <w:rPr>
                <w:sz w:val="18"/>
                <w:szCs w:val="18"/>
                <w:color w:val="auto"/>
              </w:rPr>
            </w:pPr>
          </w:p>
        </w:tc>
        <w:tc>
          <w:tcPr>
            <w:tcW w:w="160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(10,991)</w:t>
            </w:r>
          </w:p>
        </w:tc>
        <w:tc>
          <w:tcPr>
            <w:tcW w:w="0" w:type="dxa"/>
            <w:vAlign w:val="bottom"/>
          </w:tcPr>
          <w:p>
            <w:pPr>
              <w:spacing w:after="0"/>
              <w:rPr>
                <w:sz w:val="1"/>
                <w:szCs w:val="1"/>
                <w:color w:val="auto"/>
              </w:rPr>
            </w:pPr>
          </w:p>
        </w:tc>
      </w:tr>
      <w:tr>
        <w:trPr>
          <w:trHeight w:val="216"/>
        </w:trPr>
        <w:tc>
          <w:tcPr>
            <w:tcW w:w="6680" w:type="dxa"/>
            <w:vAlign w:val="bottom"/>
            <w:gridSpan w:val="2"/>
          </w:tcPr>
          <w:p>
            <w:pPr>
              <w:ind w:left="160"/>
              <w:spacing w:after="0"/>
              <w:rPr>
                <w:sz w:val="20"/>
                <w:szCs w:val="20"/>
                <w:color w:val="auto"/>
              </w:rPr>
            </w:pPr>
            <w:r>
              <w:rPr>
                <w:rFonts w:ascii="Arial" w:cs="Arial" w:eastAsia="Arial" w:hAnsi="Arial"/>
                <w:sz w:val="18"/>
                <w:szCs w:val="18"/>
                <w:color w:val="auto"/>
              </w:rPr>
              <w:t>Gain (loss) on debt repurchases</w:t>
            </w:r>
          </w:p>
        </w:tc>
        <w:tc>
          <w:tcPr>
            <w:tcW w:w="4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534</w:t>
            </w: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680" w:type="dxa"/>
            <w:vAlign w:val="bottom"/>
            <w:gridSpan w:val="2"/>
            <w:shd w:val="clear" w:color="auto" w:fill="EAF9E8"/>
          </w:tcPr>
          <w:p>
            <w:pPr>
              <w:ind w:left="160"/>
              <w:spacing w:after="0"/>
              <w:rPr>
                <w:sz w:val="20"/>
                <w:szCs w:val="20"/>
                <w:color w:val="auto"/>
              </w:rPr>
            </w:pPr>
            <w:r>
              <w:rPr>
                <w:rFonts w:ascii="Arial" w:cs="Arial" w:eastAsia="Arial" w:hAnsi="Arial"/>
                <w:sz w:val="18"/>
                <w:szCs w:val="18"/>
                <w:color w:val="auto"/>
              </w:rPr>
              <w:t>Other, net</w:t>
            </w:r>
          </w:p>
        </w:tc>
        <w:tc>
          <w:tcPr>
            <w:tcW w:w="420" w:type="dxa"/>
            <w:vAlign w:val="bottom"/>
            <w:shd w:val="clear" w:color="auto" w:fill="EAF9E8"/>
          </w:tcPr>
          <w:p>
            <w:pPr>
              <w:spacing w:after="0"/>
              <w:rPr>
                <w:sz w:val="18"/>
                <w:szCs w:val="18"/>
                <w:color w:val="auto"/>
              </w:rPr>
            </w:pPr>
          </w:p>
        </w:tc>
        <w:tc>
          <w:tcPr>
            <w:tcW w:w="1320" w:type="dxa"/>
            <w:vAlign w:val="bottom"/>
            <w:shd w:val="clear" w:color="auto" w:fill="EAF9E8"/>
          </w:tcPr>
          <w:p>
            <w:pPr>
              <w:spacing w:after="0"/>
              <w:rPr>
                <w:sz w:val="18"/>
                <w:szCs w:val="18"/>
                <w:color w:val="auto"/>
              </w:rPr>
            </w:pPr>
          </w:p>
        </w:tc>
        <w:tc>
          <w:tcPr>
            <w:tcW w:w="96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rPr>
              <w:t>(145)</w:t>
            </w:r>
          </w:p>
        </w:tc>
        <w:tc>
          <w:tcPr>
            <w:tcW w:w="440" w:type="dxa"/>
            <w:vAlign w:val="bottom"/>
            <w:shd w:val="clear" w:color="auto" w:fill="EAF9E8"/>
          </w:tcPr>
          <w:p>
            <w:pPr>
              <w:spacing w:after="0"/>
              <w:rPr>
                <w:sz w:val="18"/>
                <w:szCs w:val="18"/>
                <w:color w:val="auto"/>
              </w:rPr>
            </w:pPr>
          </w:p>
        </w:tc>
        <w:tc>
          <w:tcPr>
            <w:tcW w:w="160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(1,073)</w:t>
            </w:r>
          </w:p>
        </w:tc>
        <w:tc>
          <w:tcPr>
            <w:tcW w:w="0" w:type="dxa"/>
            <w:vAlign w:val="bottom"/>
          </w:tcPr>
          <w:p>
            <w:pPr>
              <w:spacing w:after="0"/>
              <w:rPr>
                <w:sz w:val="1"/>
                <w:szCs w:val="1"/>
                <w:color w:val="auto"/>
              </w:rPr>
            </w:pPr>
          </w:p>
        </w:tc>
      </w:tr>
      <w:tr>
        <w:trPr>
          <w:trHeight w:val="243"/>
        </w:trPr>
        <w:tc>
          <w:tcPr>
            <w:tcW w:w="6680" w:type="dxa"/>
            <w:vAlign w:val="bottom"/>
            <w:gridSpan w:val="2"/>
            <w:vMerge w:val="restart"/>
          </w:tcPr>
          <w:p>
            <w:pPr>
              <w:ind w:left="320"/>
              <w:spacing w:after="0"/>
              <w:rPr>
                <w:sz w:val="20"/>
                <w:szCs w:val="20"/>
                <w:color w:val="auto"/>
              </w:rPr>
            </w:pPr>
            <w:r>
              <w:rPr>
                <w:rFonts w:ascii="Arial" w:cs="Arial" w:eastAsia="Arial" w:hAnsi="Arial"/>
                <w:sz w:val="18"/>
                <w:szCs w:val="18"/>
                <w:color w:val="auto"/>
              </w:rPr>
              <w:t>Other income (expense), net</w:t>
            </w:r>
          </w:p>
        </w:tc>
        <w:tc>
          <w:tcPr>
            <w:tcW w:w="4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600" w:type="dxa"/>
            <w:vAlign w:val="bottom"/>
            <w:gridSpan w:val="2"/>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6680" w:type="dxa"/>
            <w:vAlign w:val="bottom"/>
            <w:gridSpan w:val="2"/>
            <w:vMerge w:val="continue"/>
          </w:tcPr>
          <w:p>
            <w:pPr>
              <w:spacing w:after="0"/>
              <w:rPr>
                <w:sz w:val="18"/>
                <w:szCs w:val="18"/>
                <w:color w:val="auto"/>
              </w:rPr>
            </w:pPr>
          </w:p>
        </w:tc>
        <w:tc>
          <w:tcPr>
            <w:tcW w:w="420" w:type="dxa"/>
            <w:vAlign w:val="bottom"/>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291</w:t>
            </w:r>
          </w:p>
        </w:tc>
        <w:tc>
          <w:tcPr>
            <w:tcW w:w="34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(12,064)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62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740" w:type="dxa"/>
            <w:vAlign w:val="bottom"/>
            <w:gridSpan w:val="2"/>
          </w:tcPr>
          <w:p>
            <w:pPr>
              <w:spacing w:after="0"/>
              <w:rPr>
                <w:sz w:val="20"/>
                <w:szCs w:val="20"/>
                <w:color w:val="auto"/>
              </w:rPr>
            </w:pPr>
          </w:p>
        </w:tc>
        <w:tc>
          <w:tcPr>
            <w:tcW w:w="960" w:type="dxa"/>
            <w:vAlign w:val="bottom"/>
            <w:gridSpan w:val="2"/>
          </w:tcPr>
          <w:p>
            <w:pPr>
              <w:spacing w:after="0"/>
              <w:rPr>
                <w:sz w:val="20"/>
                <w:szCs w:val="20"/>
                <w:color w:val="auto"/>
              </w:rPr>
            </w:pPr>
          </w:p>
        </w:tc>
        <w:tc>
          <w:tcPr>
            <w:tcW w:w="440" w:type="dxa"/>
            <w:vAlign w:val="bottom"/>
          </w:tcPr>
          <w:p>
            <w:pPr>
              <w:spacing w:after="0"/>
              <w:rPr>
                <w:sz w:val="20"/>
                <w:szCs w:val="20"/>
                <w:color w:val="auto"/>
              </w:rPr>
            </w:pPr>
          </w:p>
        </w:tc>
        <w:tc>
          <w:tcPr>
            <w:tcW w:w="160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68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Loss before income taxes</w:t>
            </w:r>
          </w:p>
        </w:tc>
        <w:tc>
          <w:tcPr>
            <w:tcW w:w="420" w:type="dxa"/>
            <w:vAlign w:val="bottom"/>
            <w:shd w:val="clear" w:color="auto" w:fill="EAF9E8"/>
          </w:tcPr>
          <w:p>
            <w:pPr>
              <w:spacing w:after="0"/>
              <w:rPr>
                <w:sz w:val="18"/>
                <w:szCs w:val="18"/>
                <w:color w:val="auto"/>
              </w:rPr>
            </w:pPr>
          </w:p>
        </w:tc>
        <w:tc>
          <w:tcPr>
            <w:tcW w:w="1320" w:type="dxa"/>
            <w:vAlign w:val="bottom"/>
            <w:tcBorders>
              <w:top w:val="single" w:sz="8" w:color="auto"/>
            </w:tcBorders>
            <w:shd w:val="clear" w:color="auto" w:fill="EAF9E8"/>
          </w:tcPr>
          <w:p>
            <w:pPr>
              <w:jc w:val="right"/>
              <w:ind w:right="1163"/>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(3,438)</w:t>
            </w:r>
          </w:p>
        </w:tc>
        <w:tc>
          <w:tcPr>
            <w:tcW w:w="340" w:type="dxa"/>
            <w:vAlign w:val="bottom"/>
            <w:shd w:val="clear" w:color="auto" w:fill="EAF9E8"/>
          </w:tcPr>
          <w:p>
            <w:pPr>
              <w:spacing w:after="0"/>
              <w:rPr>
                <w:sz w:val="18"/>
                <w:szCs w:val="18"/>
                <w:color w:val="auto"/>
              </w:rPr>
            </w:pPr>
          </w:p>
        </w:tc>
        <w:tc>
          <w:tcPr>
            <w:tcW w:w="440" w:type="dxa"/>
            <w:vAlign w:val="bottom"/>
            <w:tcBorders>
              <w:top w:val="single" w:sz="8" w:color="auto"/>
            </w:tcBorders>
            <w:shd w:val="clear" w:color="auto" w:fill="EAF9E8"/>
          </w:tcPr>
          <w:p>
            <w:pPr>
              <w:jc w:val="right"/>
              <w:ind w:right="283"/>
              <w:spacing w:after="0"/>
              <w:rPr>
                <w:sz w:val="20"/>
                <w:szCs w:val="20"/>
                <w:color w:val="auto"/>
              </w:rPr>
            </w:pPr>
            <w:r>
              <w:rPr>
                <w:rFonts w:ascii="Arial" w:cs="Arial" w:eastAsia="Arial" w:hAnsi="Arial"/>
                <w:sz w:val="15"/>
                <w:szCs w:val="15"/>
                <w:color w:val="auto"/>
                <w:w w:val="71"/>
              </w:rPr>
              <w:t>$</w:t>
            </w:r>
          </w:p>
        </w:tc>
        <w:tc>
          <w:tcPr>
            <w:tcW w:w="150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(20,695)</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62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2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340" w:type="dxa"/>
            <w:vAlign w:val="bottom"/>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jc w:val="both"/>
        <w:ind w:firstLine="439"/>
        <w:spacing w:after="0" w:line="256" w:lineRule="auto"/>
        <w:rPr>
          <w:sz w:val="20"/>
          <w:szCs w:val="20"/>
          <w:color w:val="auto"/>
        </w:rPr>
      </w:pPr>
      <w:r>
        <w:rPr>
          <w:rFonts w:ascii="Arial" w:cs="Arial" w:eastAsia="Arial" w:hAnsi="Arial"/>
          <w:sz w:val="18"/>
          <w:szCs w:val="18"/>
          <w:i w:val="1"/>
          <w:iCs w:val="1"/>
          <w:color w:val="auto"/>
        </w:rPr>
        <w:t xml:space="preserve">Operating Expenses. </w:t>
      </w:r>
      <w:r>
        <w:rPr>
          <w:rFonts w:ascii="Arial" w:cs="Arial" w:eastAsia="Arial" w:hAnsi="Arial"/>
          <w:sz w:val="18"/>
          <w:szCs w:val="18"/>
          <w:color w:val="auto"/>
        </w:rPr>
        <w:t>Operating expenses for the first quarter of 2009 declined by $4,654 largely due to a $6,976 decline in professional services. In the first</w:t>
      </w:r>
      <w:r>
        <w:rPr>
          <w:rFonts w:ascii="Arial" w:cs="Arial" w:eastAsia="Arial" w:hAnsi="Arial"/>
          <w:sz w:val="18"/>
          <w:szCs w:val="18"/>
          <w:i w:val="1"/>
          <w:iCs w:val="1"/>
          <w:color w:val="auto"/>
        </w:rPr>
        <w:t xml:space="preserve"> </w:t>
      </w:r>
      <w:r>
        <w:rPr>
          <w:rFonts w:ascii="Arial" w:cs="Arial" w:eastAsia="Arial" w:hAnsi="Arial"/>
          <w:sz w:val="18"/>
          <w:szCs w:val="18"/>
          <w:color w:val="auto"/>
        </w:rPr>
        <w:t>quarter of 2008, we recognized $9,532 of due diligence and other costs related to the “going private” transaction which was initiated in January 2008 and which the parties mutually terminated in March 2008. In the first quarter of 2009, we recorded $1,163 of costs related to the Separation. Operating expenses are net of overhead allocations to other segments.</w:t>
      </w:r>
    </w:p>
    <w:p>
      <w:pPr>
        <w:sectPr>
          <w:pgSz w:w="11900" w:h="16838" w:orient="portrait"/>
          <w:cols w:equalWidth="0" w:num="1">
            <w:col w:w="11420"/>
          </w:cols>
          <w:pgMar w:left="240" w:top="131"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67575"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53" w:name="page54"/>
    <w:bookmarkEnd w:id="53"/>
    <w:p>
      <w:pPr>
        <w:ind w:left="440"/>
        <w:spacing w:after="0"/>
        <w:rPr>
          <w:sz w:val="20"/>
          <w:szCs w:val="20"/>
          <w:color w:val="auto"/>
        </w:rPr>
      </w:pPr>
      <w:r>
        <w:rPr>
          <w:rFonts w:ascii="Arial" w:cs="Arial" w:eastAsia="Arial" w:hAnsi="Arial"/>
          <w:sz w:val="18"/>
          <w:szCs w:val="18"/>
          <w:i w:val="1"/>
          <w:iCs w:val="1"/>
          <w:color w:val="auto"/>
        </w:rPr>
        <w:t xml:space="preserve">Loss on Trading Securities. </w:t>
      </w:r>
      <w:r>
        <w:rPr>
          <w:rFonts w:ascii="Arial" w:cs="Arial" w:eastAsia="Arial" w:hAnsi="Arial"/>
          <w:sz w:val="18"/>
          <w:szCs w:val="18"/>
          <w:color w:val="auto"/>
        </w:rPr>
        <w:t>The loss on trading securities for the three months ended March 31 was comprised of the following:</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8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ind w:right="312"/>
              <w:spacing w:after="0"/>
              <w:rPr>
                <w:sz w:val="20"/>
                <w:szCs w:val="20"/>
                <w:color w:val="auto"/>
              </w:rPr>
            </w:pPr>
            <w:r>
              <w:rPr>
                <w:rFonts w:ascii="Arial" w:cs="Arial" w:eastAsia="Arial" w:hAnsi="Arial"/>
                <w:sz w:val="18"/>
                <w:szCs w:val="18"/>
                <w:color w:val="auto"/>
              </w:rPr>
              <w:t>2009</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ind w:right="272"/>
              <w:spacing w:after="0"/>
              <w:rPr>
                <w:sz w:val="20"/>
                <w:szCs w:val="20"/>
                <w:color w:val="auto"/>
              </w:rPr>
            </w:pPr>
            <w:r>
              <w:rPr>
                <w:rFonts w:ascii="Arial" w:cs="Arial" w:eastAsia="Arial" w:hAnsi="Arial"/>
                <w:sz w:val="18"/>
                <w:szCs w:val="18"/>
                <w:color w:val="auto"/>
              </w:rPr>
              <w:t>2008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87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gridSpan w:val="2"/>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8740" w:type="dxa"/>
            <w:vAlign w:val="bottom"/>
            <w:shd w:val="clear" w:color="auto" w:fill="EAF9E8"/>
          </w:tcPr>
          <w:p>
            <w:pPr>
              <w:spacing w:after="0"/>
              <w:rPr>
                <w:sz w:val="20"/>
                <w:szCs w:val="20"/>
                <w:color w:val="auto"/>
              </w:rPr>
            </w:pPr>
            <w:r>
              <w:rPr>
                <w:rFonts w:ascii="Arial" w:cs="Arial" w:eastAsia="Arial" w:hAnsi="Arial"/>
                <w:sz w:val="18"/>
                <w:szCs w:val="18"/>
                <w:color w:val="auto"/>
              </w:rPr>
              <w:t>Realized losses on CMOs</w:t>
            </w:r>
          </w:p>
        </w:tc>
        <w:tc>
          <w:tcPr>
            <w:tcW w:w="260" w:type="dxa"/>
            <w:vAlign w:val="bottom"/>
            <w:tcBorders>
              <w:top w:val="single" w:sz="8" w:color="auto"/>
            </w:tcBorders>
            <w:shd w:val="clear" w:color="auto" w:fill="EAF9E8"/>
          </w:tcPr>
          <w:p>
            <w:pPr>
              <w:jc w:val="right"/>
              <w:ind w:right="72"/>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220" w:type="dxa"/>
            <w:vAlign w:val="bottom"/>
            <w:tcBorders>
              <w:top w:val="single" w:sz="8" w:color="auto"/>
            </w:tcBorders>
            <w:shd w:val="clear" w:color="auto" w:fill="EAF9E8"/>
          </w:tcPr>
          <w:p>
            <w:pPr>
              <w:jc w:val="right"/>
              <w:ind w:right="32"/>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(114)</w:t>
            </w:r>
          </w:p>
        </w:tc>
        <w:tc>
          <w:tcPr>
            <w:tcW w:w="12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8740" w:type="dxa"/>
            <w:vAlign w:val="bottom"/>
            <w:vMerge w:val="restart"/>
          </w:tcPr>
          <w:p>
            <w:pPr>
              <w:spacing w:after="0"/>
              <w:rPr>
                <w:sz w:val="20"/>
                <w:szCs w:val="20"/>
                <w:color w:val="auto"/>
              </w:rPr>
            </w:pPr>
            <w:r>
              <w:rPr>
                <w:rFonts w:ascii="Arial" w:cs="Arial" w:eastAsia="Arial" w:hAnsi="Arial"/>
                <w:sz w:val="18"/>
                <w:szCs w:val="18"/>
                <w:color w:val="auto"/>
              </w:rPr>
              <w:t>Unrealized losses:</w:t>
            </w:r>
          </w:p>
        </w:tc>
        <w:tc>
          <w:tcPr>
            <w:tcW w:w="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57"/>
        </w:trPr>
        <w:tc>
          <w:tcPr>
            <w:tcW w:w="874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8740" w:type="dxa"/>
            <w:vAlign w:val="bottom"/>
            <w:shd w:val="clear" w:color="auto" w:fill="EAF9E8"/>
          </w:tcPr>
          <w:p>
            <w:pPr>
              <w:ind w:left="160"/>
              <w:spacing w:after="0"/>
              <w:rPr>
                <w:sz w:val="20"/>
                <w:szCs w:val="20"/>
                <w:color w:val="auto"/>
              </w:rPr>
            </w:pPr>
            <w:r>
              <w:rPr>
                <w:rFonts w:ascii="Arial" w:cs="Arial" w:eastAsia="Arial" w:hAnsi="Arial"/>
                <w:sz w:val="18"/>
                <w:szCs w:val="18"/>
                <w:color w:val="auto"/>
              </w:rPr>
              <w:t>Investment grade auction rate</w:t>
            </w:r>
          </w:p>
        </w:tc>
        <w:tc>
          <w:tcPr>
            <w:tcW w:w="260" w:type="dxa"/>
            <w:vAlign w:val="bottom"/>
            <w:shd w:val="clear" w:color="auto" w:fill="EAF9E8"/>
          </w:tcPr>
          <w:p>
            <w:pPr>
              <w:spacing w:after="0"/>
              <w:rPr>
                <w:sz w:val="18"/>
                <w:szCs w:val="18"/>
                <w:color w:val="auto"/>
              </w:rPr>
            </w:pPr>
          </w:p>
        </w:tc>
        <w:tc>
          <w:tcPr>
            <w:tcW w:w="110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(40)</w:t>
            </w:r>
          </w:p>
        </w:tc>
        <w:tc>
          <w:tcPr>
            <w:tcW w:w="14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960" w:type="dxa"/>
            <w:vAlign w:val="bottom"/>
            <w:gridSpan w:val="2"/>
            <w:shd w:val="clear" w:color="auto" w:fill="EAF9E8"/>
          </w:tcPr>
          <w:p>
            <w:pPr>
              <w:jc w:val="right"/>
              <w:ind w:right="60"/>
              <w:spacing w:after="0"/>
              <w:rPr>
                <w:sz w:val="20"/>
                <w:szCs w:val="20"/>
                <w:color w:val="auto"/>
              </w:rPr>
            </w:pPr>
            <w:r>
              <w:rPr>
                <w:rFonts w:ascii="Arial" w:cs="Arial" w:eastAsia="Arial" w:hAnsi="Arial"/>
                <w:sz w:val="18"/>
                <w:szCs w:val="18"/>
                <w:color w:val="auto"/>
              </w:rPr>
              <w:t>(8,939)</w:t>
            </w:r>
          </w:p>
        </w:tc>
        <w:tc>
          <w:tcPr>
            <w:tcW w:w="0" w:type="dxa"/>
            <w:vAlign w:val="bottom"/>
          </w:tcPr>
          <w:p>
            <w:pPr>
              <w:spacing w:after="0"/>
              <w:rPr>
                <w:sz w:val="1"/>
                <w:szCs w:val="1"/>
                <w:color w:val="auto"/>
              </w:rPr>
            </w:pPr>
          </w:p>
        </w:tc>
      </w:tr>
      <w:tr>
        <w:trPr>
          <w:trHeight w:val="216"/>
        </w:trPr>
        <w:tc>
          <w:tcPr>
            <w:tcW w:w="8740" w:type="dxa"/>
            <w:vAlign w:val="bottom"/>
          </w:tcPr>
          <w:p>
            <w:pPr>
              <w:ind w:left="160"/>
              <w:spacing w:after="0"/>
              <w:rPr>
                <w:sz w:val="20"/>
                <w:szCs w:val="20"/>
                <w:color w:val="auto"/>
              </w:rPr>
            </w:pPr>
            <w:r>
              <w:rPr>
                <w:rFonts w:ascii="Arial" w:cs="Arial" w:eastAsia="Arial" w:hAnsi="Arial"/>
                <w:sz w:val="18"/>
                <w:szCs w:val="18"/>
                <w:color w:val="auto"/>
              </w:rPr>
              <w:t>CMOs</w:t>
            </w:r>
          </w:p>
        </w:tc>
        <w:tc>
          <w:tcPr>
            <w:tcW w:w="26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(1,813)</w:t>
            </w:r>
          </w:p>
        </w:tc>
        <w:tc>
          <w:tcPr>
            <w:tcW w:w="0" w:type="dxa"/>
            <w:vAlign w:val="bottom"/>
          </w:tcPr>
          <w:p>
            <w:pPr>
              <w:spacing w:after="0"/>
              <w:rPr>
                <w:sz w:val="1"/>
                <w:szCs w:val="1"/>
                <w:color w:val="auto"/>
              </w:rPr>
            </w:pPr>
          </w:p>
        </w:tc>
      </w:tr>
      <w:tr>
        <w:trPr>
          <w:trHeight w:val="216"/>
        </w:trPr>
        <w:tc>
          <w:tcPr>
            <w:tcW w:w="8740" w:type="dxa"/>
            <w:vAlign w:val="bottom"/>
            <w:shd w:val="clear" w:color="auto" w:fill="EAF9E8"/>
          </w:tcPr>
          <w:p>
            <w:pPr>
              <w:ind w:left="160"/>
              <w:spacing w:after="0"/>
              <w:rPr>
                <w:sz w:val="20"/>
                <w:szCs w:val="20"/>
                <w:color w:val="auto"/>
              </w:rPr>
            </w:pPr>
            <w:r>
              <w:rPr>
                <w:rFonts w:ascii="Arial" w:cs="Arial" w:eastAsia="Arial" w:hAnsi="Arial"/>
                <w:sz w:val="18"/>
                <w:szCs w:val="18"/>
                <w:color w:val="auto"/>
              </w:rPr>
              <w:t>Subordinates and residuals</w:t>
            </w:r>
          </w:p>
        </w:tc>
        <w:tc>
          <w:tcPr>
            <w:tcW w:w="260" w:type="dxa"/>
            <w:vAlign w:val="bottom"/>
            <w:shd w:val="clear" w:color="auto" w:fill="EAF9E8"/>
          </w:tcPr>
          <w:p>
            <w:pPr>
              <w:spacing w:after="0"/>
              <w:rPr>
                <w:sz w:val="18"/>
                <w:szCs w:val="18"/>
                <w:color w:val="auto"/>
              </w:rPr>
            </w:pPr>
          </w:p>
        </w:tc>
        <w:tc>
          <w:tcPr>
            <w:tcW w:w="110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(58)</w:t>
            </w:r>
          </w:p>
        </w:tc>
        <w:tc>
          <w:tcPr>
            <w:tcW w:w="14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960" w:type="dxa"/>
            <w:vAlign w:val="bottom"/>
            <w:gridSpan w:val="2"/>
            <w:shd w:val="clear" w:color="auto" w:fill="EAF9E8"/>
          </w:tcPr>
          <w:p>
            <w:pPr>
              <w:jc w:val="right"/>
              <w:ind w:right="6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43"/>
        </w:trPr>
        <w:tc>
          <w:tcPr>
            <w:tcW w:w="87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gridSpan w:val="2"/>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gridSpan w:val="2"/>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7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(98)</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(10,877)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gridSpan w:val="2"/>
          </w:tcPr>
          <w:p>
            <w:pPr>
              <w:spacing w:after="0"/>
              <w:rPr>
                <w:sz w:val="20"/>
                <w:szCs w:val="20"/>
                <w:color w:val="auto"/>
              </w:rPr>
            </w:pPr>
          </w:p>
        </w:tc>
        <w:tc>
          <w:tcPr>
            <w:tcW w:w="360" w:type="dxa"/>
            <w:vAlign w:val="bottom"/>
            <w:gridSpan w:val="2"/>
          </w:tcPr>
          <w:p>
            <w:pPr>
              <w:spacing w:after="0"/>
              <w:rPr>
                <w:sz w:val="20"/>
                <w:szCs w:val="20"/>
                <w:color w:val="auto"/>
              </w:rPr>
            </w:pPr>
          </w:p>
        </w:tc>
        <w:tc>
          <w:tcPr>
            <w:tcW w:w="96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8740" w:type="dxa"/>
            <w:vAlign w:val="bottom"/>
            <w:shd w:val="clear" w:color="auto" w:fill="EAF9E8"/>
          </w:tcPr>
          <w:p>
            <w:pPr>
              <w:spacing w:after="0"/>
              <w:rPr>
                <w:sz w:val="18"/>
                <w:szCs w:val="18"/>
                <w:color w:val="auto"/>
              </w:rPr>
            </w:pPr>
          </w:p>
        </w:tc>
        <w:tc>
          <w:tcPr>
            <w:tcW w:w="260" w:type="dxa"/>
            <w:vAlign w:val="bottom"/>
            <w:tcBorders>
              <w:top w:val="single" w:sz="8" w:color="auto"/>
            </w:tcBorders>
            <w:shd w:val="clear" w:color="auto" w:fill="EAF9E8"/>
          </w:tcPr>
          <w:p>
            <w:pPr>
              <w:jc w:val="right"/>
              <w:ind w:right="72"/>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(98)</w:t>
            </w:r>
          </w:p>
        </w:tc>
        <w:tc>
          <w:tcPr>
            <w:tcW w:w="2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220" w:type="dxa"/>
            <w:vAlign w:val="bottom"/>
            <w:tcBorders>
              <w:top w:val="single" w:sz="8" w:color="auto"/>
            </w:tcBorders>
            <w:shd w:val="clear" w:color="auto" w:fill="EAF9E8"/>
          </w:tcPr>
          <w:p>
            <w:pPr>
              <w:jc w:val="right"/>
              <w:ind w:right="32"/>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(10,991)</w:t>
            </w:r>
          </w:p>
        </w:tc>
        <w:tc>
          <w:tcPr>
            <w:tcW w:w="12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874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7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w:t>
      </w:r>
    </w:p>
    <w:p>
      <w:pPr>
        <w:spacing w:after="0" w:line="231" w:lineRule="exact"/>
        <w:rPr>
          <w:sz w:val="20"/>
          <w:szCs w:val="20"/>
          <w:color w:val="auto"/>
        </w:rPr>
      </w:pPr>
    </w:p>
    <w:p>
      <w:pPr>
        <w:jc w:val="both"/>
        <w:ind w:firstLine="459"/>
        <w:spacing w:after="0" w:line="306" w:lineRule="auto"/>
        <w:rPr>
          <w:sz w:val="20"/>
          <w:szCs w:val="20"/>
          <w:color w:val="auto"/>
        </w:rPr>
      </w:pPr>
      <w:r>
        <w:rPr>
          <w:rFonts w:ascii="Arial" w:cs="Arial" w:eastAsia="Arial" w:hAnsi="Arial"/>
          <w:sz w:val="16"/>
          <w:szCs w:val="16"/>
          <w:color w:val="auto"/>
        </w:rPr>
        <w:t>Total equity amounted to $626,678 at March 31, 2009 as compared to $609,641 at December 31, 2008. The $17,037 increase in total equity during the first three months of 2009 was primarily due to net income of $15,039 and a $2,067 increase in additional paid-in capital. The increase in additional paid-in capital was primarily due to $1,477 related to the exercise of common stock options by employees and compensation of $522 related to employee share-based awards.</w:t>
      </w:r>
    </w:p>
    <w:p>
      <w:pPr>
        <w:spacing w:after="0" w:line="161" w:lineRule="exact"/>
        <w:rPr>
          <w:sz w:val="20"/>
          <w:szCs w:val="20"/>
          <w:color w:val="auto"/>
        </w:rPr>
      </w:pPr>
    </w:p>
    <w:p>
      <w:pPr>
        <w:jc w:val="both"/>
        <w:ind w:firstLine="463"/>
        <w:spacing w:after="0" w:line="259" w:lineRule="auto"/>
        <w:rPr>
          <w:sz w:val="20"/>
          <w:szCs w:val="20"/>
          <w:color w:val="auto"/>
        </w:rPr>
      </w:pPr>
      <w:r>
        <w:rPr>
          <w:rFonts w:ascii="Arial" w:cs="Arial" w:eastAsia="Arial" w:hAnsi="Arial"/>
          <w:sz w:val="18"/>
          <w:szCs w:val="18"/>
          <w:color w:val="auto"/>
        </w:rPr>
        <w:t>Minority interest of $304 and $406 at March 31, 2009 and December 31, 2008, respectively, primarily represented the 30% investment in GSS held by ML IBK Positions, Inc. With our adoption of SFAS No. 160 on January 1, 2009, we reclassified minority interest from a separate classification in our consolidated balance sheets to classification as a component of equity.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EXPENSE</w:t>
      </w:r>
    </w:p>
    <w:p>
      <w:pPr>
        <w:spacing w:after="0" w:line="23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Income tax expense was $8,037 and $2,939 for the three months ended March 31, 2009 and 2008, respectively.</w:t>
      </w:r>
    </w:p>
    <w:p>
      <w:pPr>
        <w:spacing w:after="0" w:line="225" w:lineRule="exact"/>
        <w:rPr>
          <w:sz w:val="20"/>
          <w:szCs w:val="20"/>
          <w:color w:val="auto"/>
        </w:rPr>
      </w:pPr>
    </w:p>
    <w:p>
      <w:pPr>
        <w:jc w:val="both"/>
        <w:ind w:firstLine="556"/>
        <w:spacing w:after="0" w:line="256" w:lineRule="auto"/>
        <w:rPr>
          <w:sz w:val="20"/>
          <w:szCs w:val="20"/>
          <w:color w:val="auto"/>
        </w:rPr>
      </w:pPr>
      <w:r>
        <w:rPr>
          <w:rFonts w:ascii="Arial" w:cs="Arial" w:eastAsia="Arial" w:hAnsi="Arial"/>
          <w:sz w:val="18"/>
          <w:szCs w:val="18"/>
          <w:color w:val="auto"/>
        </w:rPr>
        <w:t>Our effective tax rate for the first three months of 2009 was 34.44% as compared to 35.08% for the first three months of 2008. Income tax expense on income before income taxes differs from amounts that would be computed by applying the Federal corporate income tax rate of 35% primarily because of the effect of foreign taxes, foreign income with an indefinite deferral from U.S. taxation, losses from consolidated VIEs, state taxes and low-income housing tax credits.</w:t>
      </w:r>
    </w:p>
    <w:p>
      <w:pPr>
        <w:spacing w:after="0" w:line="197" w:lineRule="exact"/>
        <w:rPr>
          <w:sz w:val="20"/>
          <w:szCs w:val="20"/>
          <w:color w:val="auto"/>
        </w:rPr>
      </w:pPr>
    </w:p>
    <w:p>
      <w:pPr>
        <w:jc w:val="both"/>
        <w:ind w:firstLine="615"/>
        <w:spacing w:after="0" w:line="306" w:lineRule="auto"/>
        <w:rPr>
          <w:sz w:val="20"/>
          <w:szCs w:val="20"/>
          <w:color w:val="auto"/>
        </w:rPr>
      </w:pPr>
      <w:r>
        <w:rPr>
          <w:rFonts w:ascii="Arial" w:cs="Arial" w:eastAsia="Arial" w:hAnsi="Arial"/>
          <w:sz w:val="16"/>
          <w:szCs w:val="16"/>
          <w:color w:val="auto"/>
        </w:rPr>
        <w:t>Our effective tax rate for the first three months of 2009 includes a benefit of approximately 2.31% associated with the recognition of certain foreign deferred tax assets. The effective tax rate excludes any additional valuation allowance for certain NCI related state net operating losses which management deems immaterial. The effective tax rate for the first three months of 2009 was not impacted by the expiration of certain vested stock options.</w:t>
      </w:r>
    </w:p>
    <w:p>
      <w:pPr>
        <w:spacing w:after="0" w:line="161" w:lineRule="exact"/>
        <w:rPr>
          <w:sz w:val="20"/>
          <w:szCs w:val="20"/>
          <w:color w:val="auto"/>
        </w:rPr>
      </w:pPr>
    </w:p>
    <w:p>
      <w:pPr>
        <w:jc w:val="both"/>
        <w:ind w:firstLine="615"/>
        <w:spacing w:after="0" w:line="259" w:lineRule="auto"/>
        <w:rPr>
          <w:sz w:val="20"/>
          <w:szCs w:val="20"/>
          <w:color w:val="auto"/>
        </w:rPr>
      </w:pPr>
      <w:r>
        <w:rPr>
          <w:rFonts w:ascii="Arial" w:cs="Arial" w:eastAsia="Arial" w:hAnsi="Arial"/>
          <w:sz w:val="18"/>
          <w:szCs w:val="18"/>
          <w:color w:val="auto"/>
        </w:rPr>
        <w:t>Our effective tax rate for the first three months of 2008 includes a benefit of approximately 2.38% associated with the recognition of certain foreign deferred tax assets. The effective tax rate for the first quarter of 2008 would have been 30.47% but was increased by approximately 4.61% due to the recognition of additional tax expense associated with the expiration of certain vested stock options.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3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Although our cash balance declined by $42,170, or 21% during the first quarter of 2009, our cash position remains strong with a balance of $158,855 at</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March 31, 2009, of which $157,097 is unrestricted. Cash declined because we purchased servicing rights for $10,241 and reduced our outstanding liabilities by:</w:t>
      </w:r>
    </w:p>
    <w:p>
      <w:pPr>
        <w:spacing w:after="0" w:line="255" w:lineRule="exact"/>
        <w:rPr>
          <w:sz w:val="20"/>
          <w:szCs w:val="20"/>
          <w:color w:val="auto"/>
        </w:rPr>
      </w:pPr>
    </w:p>
    <w:p>
      <w:pPr>
        <w:ind w:left="1160" w:hanging="571"/>
        <w:spacing w:after="0"/>
        <w:tabs>
          <w:tab w:leader="none" w:pos="11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Purchasing for $24,602 convertible notes with a face value of $25,910, reducing the face value of notes outstanding to $55,464</w:t>
      </w:r>
    </w:p>
    <w:p>
      <w:pPr>
        <w:spacing w:after="0" w:line="15" w:lineRule="exact"/>
        <w:rPr>
          <w:rFonts w:ascii="Arial" w:cs="Arial" w:eastAsia="Arial" w:hAnsi="Arial"/>
          <w:sz w:val="18"/>
          <w:szCs w:val="18"/>
          <w:color w:val="auto"/>
        </w:rPr>
      </w:pPr>
    </w:p>
    <w:p>
      <w:pPr>
        <w:ind w:left="1160" w:hanging="571"/>
        <w:spacing w:after="0"/>
        <w:tabs>
          <w:tab w:leader="none" w:pos="11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Repaying $20,997 on our MSR financing facility due to amortization, reducing the balance outstanding to $76,990</w:t>
      </w:r>
    </w:p>
    <w:p>
      <w:pPr>
        <w:spacing w:after="0" w:line="9" w:lineRule="exact"/>
        <w:rPr>
          <w:rFonts w:ascii="Arial" w:cs="Arial" w:eastAsia="Arial" w:hAnsi="Arial"/>
          <w:sz w:val="18"/>
          <w:szCs w:val="18"/>
          <w:color w:val="auto"/>
        </w:rPr>
      </w:pPr>
    </w:p>
    <w:p>
      <w:pPr>
        <w:ind w:left="1160" w:hanging="571"/>
        <w:spacing w:after="0"/>
        <w:tabs>
          <w:tab w:leader="none" w:pos="11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Repaying $14,151 on our ARS Investment Line due to amortization, reducing the balance outstanding to $186,568</w:t>
      </w:r>
    </w:p>
    <w:p>
      <w:pPr>
        <w:spacing w:after="0" w:line="219" w:lineRule="exact"/>
        <w:rPr>
          <w:sz w:val="20"/>
          <w:szCs w:val="20"/>
          <w:color w:val="auto"/>
        </w:rPr>
      </w:pPr>
    </w:p>
    <w:p>
      <w:pPr>
        <w:jc w:val="both"/>
        <w:ind w:firstLine="501"/>
        <w:spacing w:after="0" w:line="255" w:lineRule="auto"/>
        <w:rPr>
          <w:sz w:val="20"/>
          <w:szCs w:val="20"/>
          <w:color w:val="auto"/>
        </w:rPr>
      </w:pPr>
      <w:r>
        <w:rPr>
          <w:rFonts w:ascii="Arial" w:cs="Arial" w:eastAsia="Arial" w:hAnsi="Arial"/>
          <w:sz w:val="18"/>
          <w:szCs w:val="18"/>
          <w:color w:val="auto"/>
        </w:rPr>
        <w:t>The cash used to purchase servicing rights and reduce the above liabilities totaled $69,991, which exceeds the reduction in cash by $27,821 and indicates the positive net impact of all other cash transactions. In a private placement transaction that closed on April 3, 2009, we sold 5,471,500 shares of common stock at a price of $11.00 per share, or approximately $60,000 in proceeds. On the same date, we also purchased 1,000,000 shares of common stock from our Chairman of the Board at a price of $11.00 per share. The net cash generated by these transactions of approximately $49,000 more than offsets the cash decline in the first quarter of 2009.</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4" w:name="page55"/>
    <w:bookmarkEnd w:id="54"/>
    <w:p>
      <w:pPr>
        <w:ind w:left="440"/>
        <w:spacing w:after="0"/>
        <w:rPr>
          <w:sz w:val="20"/>
          <w:szCs w:val="20"/>
          <w:color w:val="auto"/>
        </w:rPr>
      </w:pPr>
      <w:r>
        <w:rPr>
          <w:rFonts w:ascii="Arial" w:cs="Arial" w:eastAsia="Arial" w:hAnsi="Arial"/>
          <w:sz w:val="18"/>
          <w:szCs w:val="18"/>
          <w:color w:val="auto"/>
        </w:rPr>
        <w:t>Despite a credit environment that remains challenged, so far in 2009 we have:</w:t>
      </w:r>
    </w:p>
    <w:p>
      <w:pPr>
        <w:spacing w:after="0" w:line="239" w:lineRule="exact"/>
        <w:rPr>
          <w:sz w:val="20"/>
          <w:szCs w:val="20"/>
          <w:color w:val="auto"/>
        </w:rPr>
      </w:pPr>
    </w:p>
    <w:p>
      <w:pPr>
        <w:ind w:left="1160" w:hanging="571"/>
        <w:spacing w:after="0"/>
        <w:tabs>
          <w:tab w:leader="none" w:pos="11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Renewed a $200,000 advance note in January</w:t>
      </w:r>
    </w:p>
    <w:p>
      <w:pPr>
        <w:spacing w:after="0" w:line="15" w:lineRule="exact"/>
        <w:rPr>
          <w:rFonts w:ascii="Arial" w:cs="Arial" w:eastAsia="Arial" w:hAnsi="Arial"/>
          <w:sz w:val="18"/>
          <w:szCs w:val="18"/>
          <w:color w:val="auto"/>
        </w:rPr>
      </w:pPr>
    </w:p>
    <w:p>
      <w:pPr>
        <w:ind w:left="1160" w:hanging="571"/>
        <w:spacing w:after="0"/>
        <w:tabs>
          <w:tab w:leader="none" w:pos="11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Obtained $67,000 in new term advance financing in March</w:t>
      </w:r>
    </w:p>
    <w:p>
      <w:pPr>
        <w:spacing w:after="0" w:line="9" w:lineRule="exact"/>
        <w:rPr>
          <w:rFonts w:ascii="Arial" w:cs="Arial" w:eastAsia="Arial" w:hAnsi="Arial"/>
          <w:sz w:val="18"/>
          <w:szCs w:val="18"/>
          <w:color w:val="auto"/>
        </w:rPr>
      </w:pPr>
    </w:p>
    <w:p>
      <w:pPr>
        <w:ind w:left="1160" w:hanging="571"/>
        <w:spacing w:after="0"/>
        <w:tabs>
          <w:tab w:leader="none" w:pos="11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Renewed our Investment Line in support of the auction rate securities through June 30, 2010 in April</w:t>
      </w:r>
    </w:p>
    <w:p>
      <w:pPr>
        <w:spacing w:after="0" w:line="9" w:lineRule="exact"/>
        <w:rPr>
          <w:rFonts w:ascii="Arial" w:cs="Arial" w:eastAsia="Arial" w:hAnsi="Arial"/>
          <w:sz w:val="18"/>
          <w:szCs w:val="18"/>
          <w:color w:val="auto"/>
        </w:rPr>
      </w:pPr>
    </w:p>
    <w:p>
      <w:pPr>
        <w:ind w:left="1160" w:hanging="571"/>
        <w:spacing w:after="0"/>
        <w:tabs>
          <w:tab w:leader="none" w:pos="11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Increased the maximum borrowing capacity of our former $300,000 advance financing facility to $500,000 in May</w:t>
      </w:r>
    </w:p>
    <w:p>
      <w:pPr>
        <w:spacing w:after="0" w:line="219" w:lineRule="exact"/>
        <w:rPr>
          <w:sz w:val="20"/>
          <w:szCs w:val="20"/>
          <w:color w:val="auto"/>
        </w:rPr>
      </w:pPr>
    </w:p>
    <w:p>
      <w:pPr>
        <w:jc w:val="both"/>
        <w:ind w:firstLine="510"/>
        <w:spacing w:after="0" w:line="298" w:lineRule="auto"/>
        <w:rPr>
          <w:sz w:val="20"/>
          <w:szCs w:val="20"/>
          <w:color w:val="auto"/>
        </w:rPr>
      </w:pPr>
      <w:r>
        <w:rPr>
          <w:rFonts w:ascii="Arial" w:cs="Arial" w:eastAsia="Arial" w:hAnsi="Arial"/>
          <w:sz w:val="16"/>
          <w:szCs w:val="16"/>
          <w:color w:val="auto"/>
        </w:rPr>
        <w:t>We renewed and refinanced notes entering amortization in 2009. As a result, we maintained maximum borrowing capacity for match funded advances of $1,215,000 at March 31, 2009 and December 31, 2008. Combined with a reduction in advances and match funded advances of $148,937, we increased our excess advance borrowing capacity from $257,893 on December 31, 2008 to $428,690 on March 31, 2009. Excess advance borrowing capacity would have been $628,690 on March 31, 2009 if we include on a pro forma basis the $200,000 of additional capacity that we obtained on May 5, 2009.</w:t>
      </w:r>
    </w:p>
    <w:p>
      <w:pPr>
        <w:spacing w:after="0" w:line="167" w:lineRule="exact"/>
        <w:rPr>
          <w:sz w:val="20"/>
          <w:szCs w:val="20"/>
          <w:color w:val="auto"/>
        </w:rPr>
      </w:pPr>
    </w:p>
    <w:p>
      <w:pPr>
        <w:jc w:val="both"/>
        <w:ind w:firstLine="556"/>
        <w:spacing w:after="0" w:line="290" w:lineRule="auto"/>
        <w:rPr>
          <w:sz w:val="20"/>
          <w:szCs w:val="20"/>
          <w:color w:val="auto"/>
        </w:rPr>
      </w:pPr>
      <w:r>
        <w:rPr>
          <w:rFonts w:ascii="Arial" w:cs="Arial" w:eastAsia="Arial" w:hAnsi="Arial"/>
          <w:sz w:val="16"/>
          <w:szCs w:val="16"/>
          <w:color w:val="auto"/>
        </w:rPr>
        <w:t>Further plans to improve liquidity in 2009 include continued reductions in advances, increases in match funded advance financing and selling non-core assets. Our prospects for advance financing have improved due to the introduction of TALF announced by the Federal Reserve Bank of New York in February. This program includes servicer advances as an asset class and allows lenders to invest a relatively small amount of equity while borrowing the remainder from the Federal Reserve Bank at a modest spread over LIBOR. The TALF notes have a term of up to three years. Although successful execution cannot be guaranteed, management believes that these plans are sufficient to meet our liquidity requirements for the next twelve months. We are currently in compliance and expect to remain in compliance with all financial covenants. However, if our efforts to maintain liquidity are not successful, or if unanticipated market factors emerge, the result could have a material adverse impact upon our business, results of operations and financial position.</w:t>
      </w:r>
    </w:p>
    <w:p>
      <w:pPr>
        <w:spacing w:after="0" w:line="17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primary sources of funds for liquidity are:</w:t>
      </w:r>
    </w:p>
    <w:p>
      <w:pPr>
        <w:spacing w:after="0" w:line="239"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320" w:type="dxa"/>
            <w:vAlign w:val="bottom"/>
          </w:tcPr>
          <w:p>
            <w:pPr>
              <w:jc w:val="right"/>
              <w:ind w:right="178"/>
              <w:spacing w:after="0"/>
              <w:rPr>
                <w:sz w:val="20"/>
                <w:szCs w:val="20"/>
                <w:color w:val="auto"/>
              </w:rPr>
            </w:pPr>
            <w:r>
              <w:rPr>
                <w:rFonts w:ascii="Arial" w:cs="Arial" w:eastAsia="Arial" w:hAnsi="Arial"/>
                <w:sz w:val="16"/>
                <w:szCs w:val="16"/>
                <w:color w:val="auto"/>
                <w:w w:val="74"/>
              </w:rPr>
              <w:t>·</w:t>
            </w:r>
          </w:p>
        </w:tc>
        <w:tc>
          <w:tcPr>
            <w:tcW w:w="4400" w:type="dxa"/>
            <w:vAlign w:val="bottom"/>
          </w:tcPr>
          <w:p>
            <w:pPr>
              <w:ind w:left="260"/>
              <w:spacing w:after="0"/>
              <w:rPr>
                <w:sz w:val="20"/>
                <w:szCs w:val="20"/>
                <w:color w:val="auto"/>
              </w:rPr>
            </w:pPr>
            <w:r>
              <w:rPr>
                <w:rFonts w:ascii="Arial" w:cs="Arial" w:eastAsia="Arial" w:hAnsi="Arial"/>
                <w:sz w:val="18"/>
                <w:szCs w:val="18"/>
                <w:color w:val="auto"/>
              </w:rPr>
              <w:t>Match funded liabilities</w:t>
            </w:r>
          </w:p>
        </w:tc>
        <w:tc>
          <w:tcPr>
            <w:tcW w:w="130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3260" w:type="dxa"/>
            <w:vAlign w:val="bottom"/>
          </w:tcPr>
          <w:p>
            <w:pPr>
              <w:ind w:left="260"/>
              <w:spacing w:after="0"/>
              <w:rPr>
                <w:sz w:val="20"/>
                <w:szCs w:val="20"/>
                <w:color w:val="auto"/>
              </w:rPr>
            </w:pPr>
            <w:r>
              <w:rPr>
                <w:rFonts w:ascii="Arial" w:cs="Arial" w:eastAsia="Arial" w:hAnsi="Arial"/>
                <w:sz w:val="18"/>
                <w:szCs w:val="18"/>
                <w:color w:val="auto"/>
                <w:w w:val="86"/>
              </w:rPr>
              <w:t>Payments received on loans held for resale</w:t>
            </w:r>
          </w:p>
        </w:tc>
      </w:tr>
      <w:tr>
        <w:trPr>
          <w:trHeight w:val="216"/>
        </w:trPr>
        <w:tc>
          <w:tcPr>
            <w:tcW w:w="320" w:type="dxa"/>
            <w:vAlign w:val="bottom"/>
          </w:tcPr>
          <w:p>
            <w:pPr>
              <w:jc w:val="right"/>
              <w:ind w:right="178"/>
              <w:spacing w:after="0"/>
              <w:rPr>
                <w:sz w:val="20"/>
                <w:szCs w:val="20"/>
                <w:color w:val="auto"/>
              </w:rPr>
            </w:pPr>
            <w:r>
              <w:rPr>
                <w:rFonts w:ascii="Arial" w:cs="Arial" w:eastAsia="Arial" w:hAnsi="Arial"/>
                <w:sz w:val="16"/>
                <w:szCs w:val="16"/>
                <w:color w:val="auto"/>
                <w:w w:val="74"/>
              </w:rPr>
              <w:t>·</w:t>
            </w:r>
          </w:p>
        </w:tc>
        <w:tc>
          <w:tcPr>
            <w:tcW w:w="4400" w:type="dxa"/>
            <w:vAlign w:val="bottom"/>
          </w:tcPr>
          <w:p>
            <w:pPr>
              <w:ind w:left="260"/>
              <w:spacing w:after="0"/>
              <w:rPr>
                <w:sz w:val="20"/>
                <w:szCs w:val="20"/>
                <w:color w:val="auto"/>
              </w:rPr>
            </w:pPr>
            <w:r>
              <w:rPr>
                <w:rFonts w:ascii="Arial" w:cs="Arial" w:eastAsia="Arial" w:hAnsi="Arial"/>
                <w:sz w:val="18"/>
                <w:szCs w:val="18"/>
                <w:color w:val="auto"/>
              </w:rPr>
              <w:t>Lines of credit and other secured borrowings</w:t>
            </w:r>
          </w:p>
        </w:tc>
        <w:tc>
          <w:tcPr>
            <w:tcW w:w="130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3260" w:type="dxa"/>
            <w:vAlign w:val="bottom"/>
          </w:tcPr>
          <w:p>
            <w:pPr>
              <w:ind w:left="260"/>
              <w:spacing w:after="0"/>
              <w:rPr>
                <w:sz w:val="20"/>
                <w:szCs w:val="20"/>
                <w:color w:val="auto"/>
              </w:rPr>
            </w:pPr>
            <w:r>
              <w:rPr>
                <w:rFonts w:ascii="Arial" w:cs="Arial" w:eastAsia="Arial" w:hAnsi="Arial"/>
                <w:sz w:val="18"/>
                <w:szCs w:val="18"/>
                <w:color w:val="auto"/>
                <w:w w:val="93"/>
              </w:rPr>
              <w:t>Payments received on trading securities</w:t>
            </w:r>
          </w:p>
        </w:tc>
      </w:tr>
      <w:tr>
        <w:trPr>
          <w:trHeight w:val="222"/>
        </w:trPr>
        <w:tc>
          <w:tcPr>
            <w:tcW w:w="320" w:type="dxa"/>
            <w:vAlign w:val="bottom"/>
          </w:tcPr>
          <w:p>
            <w:pPr>
              <w:jc w:val="right"/>
              <w:ind w:right="178"/>
              <w:spacing w:after="0"/>
              <w:rPr>
                <w:sz w:val="20"/>
                <w:szCs w:val="20"/>
                <w:color w:val="auto"/>
              </w:rPr>
            </w:pPr>
            <w:r>
              <w:rPr>
                <w:rFonts w:ascii="Arial" w:cs="Arial" w:eastAsia="Arial" w:hAnsi="Arial"/>
                <w:sz w:val="16"/>
                <w:szCs w:val="16"/>
                <w:color w:val="auto"/>
                <w:w w:val="74"/>
              </w:rPr>
              <w:t>·</w:t>
            </w:r>
          </w:p>
        </w:tc>
        <w:tc>
          <w:tcPr>
            <w:tcW w:w="4400" w:type="dxa"/>
            <w:vAlign w:val="bottom"/>
          </w:tcPr>
          <w:p>
            <w:pPr>
              <w:ind w:left="260"/>
              <w:spacing w:after="0"/>
              <w:rPr>
                <w:sz w:val="20"/>
                <w:szCs w:val="20"/>
                <w:color w:val="auto"/>
              </w:rPr>
            </w:pPr>
            <w:r>
              <w:rPr>
                <w:rFonts w:ascii="Arial" w:cs="Arial" w:eastAsia="Arial" w:hAnsi="Arial"/>
                <w:sz w:val="18"/>
                <w:szCs w:val="18"/>
                <w:color w:val="auto"/>
              </w:rPr>
              <w:t>Servicing fees, including float earnings</w:t>
            </w:r>
          </w:p>
        </w:tc>
        <w:tc>
          <w:tcPr>
            <w:tcW w:w="130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3260" w:type="dxa"/>
            <w:vAlign w:val="bottom"/>
          </w:tcPr>
          <w:p>
            <w:pPr>
              <w:ind w:left="260"/>
              <w:spacing w:after="0"/>
              <w:rPr>
                <w:sz w:val="20"/>
                <w:szCs w:val="20"/>
                <w:color w:val="auto"/>
              </w:rPr>
            </w:pPr>
            <w:r>
              <w:rPr>
                <w:rFonts w:ascii="Arial" w:cs="Arial" w:eastAsia="Arial" w:hAnsi="Arial"/>
                <w:sz w:val="18"/>
                <w:szCs w:val="18"/>
                <w:color w:val="auto"/>
              </w:rPr>
              <w:t>Debt securities</w:t>
            </w:r>
          </w:p>
        </w:tc>
      </w:tr>
    </w:tbl>
    <w:p>
      <w:pPr>
        <w:spacing w:after="0" w:line="210" w:lineRule="exact"/>
        <w:rPr>
          <w:sz w:val="20"/>
          <w:szCs w:val="20"/>
          <w:color w:val="auto"/>
        </w:rPr>
      </w:pPr>
    </w:p>
    <w:p>
      <w:pPr>
        <w:jc w:val="both"/>
        <w:ind w:firstLine="503"/>
        <w:spacing w:after="0" w:line="259" w:lineRule="auto"/>
        <w:rPr>
          <w:sz w:val="20"/>
          <w:szCs w:val="20"/>
          <w:color w:val="auto"/>
        </w:rPr>
      </w:pPr>
      <w:r>
        <w:rPr>
          <w:rFonts w:ascii="Arial" w:cs="Arial" w:eastAsia="Arial" w:hAnsi="Arial"/>
          <w:sz w:val="18"/>
          <w:szCs w:val="18"/>
          <w:color w:val="auto"/>
        </w:rPr>
        <w:t>Our primary uses of funds are the funding of servicing advances, the payment of interest and operating expenses, the purchase of servicing rights and the repayment of borrowings. We closely monitor our liquidity position and ongoing funding requirements, and we invest available funds in short-term investment grade securities.</w:t>
      </w:r>
    </w:p>
    <w:p>
      <w:pPr>
        <w:spacing w:after="0" w:line="194" w:lineRule="exact"/>
        <w:rPr>
          <w:sz w:val="20"/>
          <w:szCs w:val="20"/>
          <w:color w:val="auto"/>
        </w:rPr>
      </w:pPr>
    </w:p>
    <w:p>
      <w:pPr>
        <w:jc w:val="both"/>
        <w:ind w:firstLine="468"/>
        <w:spacing w:after="0" w:line="291" w:lineRule="auto"/>
        <w:rPr>
          <w:sz w:val="20"/>
          <w:szCs w:val="20"/>
          <w:color w:val="auto"/>
        </w:rPr>
      </w:pPr>
      <w:r>
        <w:rPr>
          <w:rFonts w:ascii="Arial" w:cs="Arial" w:eastAsia="Arial" w:hAnsi="Arial"/>
          <w:sz w:val="16"/>
          <w:szCs w:val="16"/>
          <w:color w:val="auto"/>
        </w:rPr>
        <w:t>Our servicing agreements impose on us various rights and obligations that affect our liquidity. Among the most significant is our obligation to advance our own funds to meet contractual principal and interest payments for certain investors and to pay taxes, insurance, foreclosure costs and various other items that are required to preserve the assets being serviced. Delinquency rates and prepayment speed affect the size of servicing advance balances. The number of delinquent loans comprised 17.2% of the total number of loans serviced at March 31, 2009. This compares to 19% at December 31, 2008. The UPB of delinquent loans as a percentage of total UPB serviced continued its gradual trend upward to 25.1% at March 31, 2009 from 24.3% at December 31, 2008. Prepayment speeds averaged 22% for the first quarter of 2009. This compares to 23% for the first quarter of 2008 and 25% for the fourth quarter of 2008.</w:t>
      </w:r>
    </w:p>
    <w:p>
      <w:pPr>
        <w:spacing w:after="0" w:line="174" w:lineRule="exact"/>
        <w:rPr>
          <w:sz w:val="20"/>
          <w:szCs w:val="20"/>
          <w:color w:val="auto"/>
        </w:rPr>
      </w:pPr>
    </w:p>
    <w:p>
      <w:pPr>
        <w:jc w:val="both"/>
        <w:ind w:firstLine="469"/>
        <w:spacing w:after="0" w:line="298" w:lineRule="auto"/>
        <w:rPr>
          <w:sz w:val="20"/>
          <w:szCs w:val="20"/>
          <w:color w:val="auto"/>
        </w:rPr>
      </w:pPr>
      <w:r>
        <w:rPr>
          <w:rFonts w:ascii="Arial" w:cs="Arial" w:eastAsia="Arial" w:hAnsi="Arial"/>
          <w:sz w:val="16"/>
          <w:szCs w:val="16"/>
          <w:color w:val="auto"/>
        </w:rPr>
        <w:t>Management initiatives that are designed to maximize the return to the loan investors resulted in increased loan modifications. Based on current trends, we believe that servicing advances for our current portfolio peaked in March 2008. However, we expect the 90-day trial period in the HMP will reduce the number of modifications becoming effective in the second quarter, and this will slow the rate of advance reduction. If prepayment speeds decrease in 2009 or if the success of the loan modification programs does not continue, advances on the existing servicing portfolio will decline at a slower pace or could increase.</w:t>
      </w:r>
    </w:p>
    <w:p>
      <w:pPr>
        <w:spacing w:after="0" w:line="167" w:lineRule="exact"/>
        <w:rPr>
          <w:sz w:val="20"/>
          <w:szCs w:val="20"/>
          <w:color w:val="auto"/>
        </w:rPr>
      </w:pPr>
    </w:p>
    <w:p>
      <w:pPr>
        <w:jc w:val="both"/>
        <w:ind w:firstLine="532"/>
        <w:spacing w:after="0" w:line="291" w:lineRule="auto"/>
        <w:rPr>
          <w:sz w:val="20"/>
          <w:szCs w:val="20"/>
          <w:color w:val="auto"/>
        </w:rPr>
      </w:pPr>
      <w:r>
        <w:rPr>
          <w:rFonts w:ascii="Arial" w:cs="Arial" w:eastAsia="Arial" w:hAnsi="Arial"/>
          <w:sz w:val="16"/>
          <w:szCs w:val="16"/>
          <w:color w:val="auto"/>
        </w:rPr>
        <w:t>Our ability to finance servicing advances is a significant factor that affects our liquidity. Two of our match funded advance facilities that are rated and a third that is in the process of being rated are subject to increases in the financing discount if deemed necessary by the rating agency in order to maintain the minimum rating required for the facility. Several rating agencies have announced that they are developing a new methodology for rating servicer advances. We believe this is likely to reduce advance rates. If a rating agency that we currently use stops rating servicer advance facilities or withdraws existing ratings, which seems unlikely, we will work with the note holders of the affected facility to remain in compliance with all requirements. If this is not successful we will work to move collateral to compliant facilities and/or secure new financing capacity so that we can repay any notes potentially becoming non-compliant.</w:t>
      </w:r>
    </w:p>
    <w:p>
      <w:pPr>
        <w:spacing w:after="0" w:line="174" w:lineRule="exact"/>
        <w:rPr>
          <w:sz w:val="20"/>
          <w:szCs w:val="20"/>
          <w:color w:val="auto"/>
        </w:rPr>
      </w:pPr>
    </w:p>
    <w:p>
      <w:pPr>
        <w:jc w:val="both"/>
        <w:ind w:right="20" w:firstLine="650"/>
        <w:spacing w:after="0" w:line="268" w:lineRule="auto"/>
        <w:rPr>
          <w:sz w:val="20"/>
          <w:szCs w:val="20"/>
          <w:color w:val="auto"/>
        </w:rPr>
      </w:pPr>
      <w:r>
        <w:rPr>
          <w:rFonts w:ascii="Arial" w:cs="Arial" w:eastAsia="Arial" w:hAnsi="Arial"/>
          <w:sz w:val="18"/>
          <w:szCs w:val="18"/>
          <w:color w:val="auto"/>
        </w:rPr>
        <w:t>Our ability to continue to pledge collateral under each advance facility depends on the performance of the collateral. Currently, the majority of our collateral qualifies for financing under the advance facility to which it is pledged.</w:t>
      </w:r>
    </w:p>
    <w:p>
      <w:pPr>
        <w:spacing w:after="0" w:line="186" w:lineRule="exact"/>
        <w:rPr>
          <w:sz w:val="20"/>
          <w:szCs w:val="20"/>
          <w:color w:val="auto"/>
        </w:rPr>
      </w:pPr>
    </w:p>
    <w:p>
      <w:pPr>
        <w:jc w:val="both"/>
        <w:ind w:firstLine="439"/>
        <w:spacing w:after="0" w:line="298" w:lineRule="auto"/>
        <w:rPr>
          <w:sz w:val="20"/>
          <w:szCs w:val="20"/>
          <w:color w:val="auto"/>
        </w:rPr>
      </w:pPr>
      <w:r>
        <w:rPr>
          <w:rFonts w:ascii="Arial" w:cs="Arial" w:eastAsia="Arial" w:hAnsi="Arial"/>
          <w:sz w:val="16"/>
          <w:szCs w:val="16"/>
          <w:color w:val="auto"/>
        </w:rPr>
        <w:t>Some of our existing debt covenants limit our ability to incur additional debt in relation to our equity and require that we maintain minimum levels of liquid assets, earnings and unused borrowing capacity. Failure to comply with these covenants could result in restrictions on new borrowings or the early termination of our borrowing facilities. We are currently in compliance with these covenants. We do not expect them to restrict our activities. Sufficient financing capacity, limiting the growth in servicing advances and maintaining loan performance are all essential requirements to maintain liquidity.</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5" w:name="page56"/>
    <w:bookmarkEnd w:id="55"/>
    <w:p>
      <w:pPr>
        <w:jc w:val="both"/>
        <w:ind w:firstLine="439"/>
        <w:spacing w:after="0" w:line="254" w:lineRule="auto"/>
        <w:rPr>
          <w:sz w:val="20"/>
          <w:szCs w:val="20"/>
          <w:color w:val="auto"/>
        </w:rPr>
      </w:pPr>
      <w:r>
        <w:rPr>
          <w:rFonts w:ascii="Arial" w:cs="Arial" w:eastAsia="Arial" w:hAnsi="Arial"/>
          <w:sz w:val="18"/>
          <w:szCs w:val="18"/>
          <w:color w:val="auto"/>
        </w:rPr>
        <w:t>Maximum borrowing capacity of the Servicing segment was $1,344,363 at March 31, 2009, an increase of $31,376 as compared to $1,312,987 at December 31, 2008. The increase in total borrowing capacity of all segments during the first quarter of 2009, excluding the Investment Line, was $28,318. The increase in Servicing segment borrowing capacity principally reflects the effect of two new facilities into which we entered in March 2009. One facility represented an advance in the form of zero-coupon bonds that we recorded at $45,373, net of a discount of $14,627. The other is a $7,000 term note. Both facilities are secured by the pledge of advances. The capacity of our match funded servicing advance facilities of $1,215,000 at March 31, 2009 was unchanged from December 31, 2008.</w:t>
      </w:r>
    </w:p>
    <w:p>
      <w:pPr>
        <w:spacing w:after="0" w:line="198" w:lineRule="exact"/>
        <w:rPr>
          <w:sz w:val="20"/>
          <w:szCs w:val="20"/>
          <w:color w:val="auto"/>
        </w:rPr>
      </w:pPr>
    </w:p>
    <w:p>
      <w:pPr>
        <w:jc w:val="both"/>
        <w:ind w:firstLine="499"/>
        <w:spacing w:after="0" w:line="291" w:lineRule="auto"/>
        <w:rPr>
          <w:sz w:val="20"/>
          <w:szCs w:val="20"/>
          <w:color w:val="auto"/>
        </w:rPr>
      </w:pPr>
      <w:r>
        <w:rPr>
          <w:rFonts w:ascii="Arial" w:cs="Arial" w:eastAsia="Arial" w:hAnsi="Arial"/>
          <w:sz w:val="16"/>
          <w:szCs w:val="16"/>
          <w:color w:val="auto"/>
        </w:rPr>
        <w:t>During the first half of 2008, our $355,000 senior secured credit facility was the only source of debt that was available to fund the purchase of residential MSRs, and the facility matured in August 2008. This facility contained the option of an 18-month term note to finance MSRs. We exercised this option, and in August 2008, we repaid the borrowings under the facility that were secured by advances and converted our remaining borrowings that were secured by MSRs to a term note that matures in February 2010. Our borrowing to fund MSRs was $76,990 at March 31, 2009. The borrowing amount each month is limited to the lesser of a predetermined straight-line, eighteen-month amortization schedule or 65% of a third party appraisal value of the MSRs. Borrowing under this facility declined by $20,997 as compared to December 31, 2008.</w:t>
      </w:r>
    </w:p>
    <w:p>
      <w:pPr>
        <w:spacing w:after="0" w:line="174" w:lineRule="exact"/>
        <w:rPr>
          <w:sz w:val="20"/>
          <w:szCs w:val="20"/>
          <w:color w:val="auto"/>
        </w:rPr>
      </w:pPr>
    </w:p>
    <w:p>
      <w:pPr>
        <w:jc w:val="both"/>
        <w:ind w:firstLine="458"/>
        <w:spacing w:after="0" w:line="314" w:lineRule="auto"/>
        <w:rPr>
          <w:sz w:val="20"/>
          <w:szCs w:val="20"/>
          <w:color w:val="auto"/>
        </w:rPr>
      </w:pPr>
      <w:r>
        <w:rPr>
          <w:rFonts w:ascii="Arial" w:cs="Arial" w:eastAsia="Arial" w:hAnsi="Arial"/>
          <w:sz w:val="15"/>
          <w:szCs w:val="15"/>
          <w:color w:val="auto"/>
        </w:rPr>
        <w:t>In the table below, we provide the amortization dates and maturity dates for each of our credit facilities as of December 31, 2008, excluding the Investment Line. The amortization date is the date on which the revolving period ends under our advance facilities and repayment of the outstanding balance must begin if the facility is not renewed or extended. The maturity date is the date on which all outstanding balances must be repaid. After the amortization date, all collections that represent the repayment of advances that have been financed through the facility must be applied to reduce the balance outstanding under the facility, and any new advances under the securitizations pledged to the facility are ineligible to be financed. In order for us to maintain liquidity, borrowings under facilities that have entered their amortization period and have not been renewed must be repaid and new advances under the securitizations must be pledged to another facility.</w:t>
      </w:r>
    </w:p>
    <w:p>
      <w:pPr>
        <w:spacing w:after="0" w:line="15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credit facilities, excluding the Investment Line term note, are summarized as follows at March 31, 2009:</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center"/>
              <w:ind w:right="72"/>
              <w:spacing w:after="0"/>
              <w:rPr>
                <w:sz w:val="20"/>
                <w:szCs w:val="20"/>
                <w:color w:val="auto"/>
              </w:rPr>
            </w:pPr>
            <w:r>
              <w:rPr>
                <w:rFonts w:ascii="Arial" w:cs="Arial" w:eastAsia="Arial" w:hAnsi="Arial"/>
                <w:sz w:val="18"/>
                <w:szCs w:val="18"/>
                <w:color w:val="auto"/>
                <w:w w:val="92"/>
              </w:rPr>
              <w:t>Maximum</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8"/>
                <w:szCs w:val="18"/>
                <w:color w:val="auto"/>
                <w:w w:val="86"/>
              </w:rPr>
              <w:t>Unused</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center"/>
              <w:ind w:right="72"/>
              <w:spacing w:after="0"/>
              <w:rPr>
                <w:sz w:val="20"/>
                <w:szCs w:val="20"/>
                <w:color w:val="auto"/>
              </w:rPr>
            </w:pPr>
            <w:r>
              <w:rPr>
                <w:rFonts w:ascii="Arial" w:cs="Arial" w:eastAsia="Arial" w:hAnsi="Arial"/>
                <w:sz w:val="18"/>
                <w:szCs w:val="18"/>
                <w:color w:val="auto"/>
                <w:w w:val="93"/>
              </w:rPr>
              <w:t>Borrowing</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8"/>
                <w:szCs w:val="18"/>
                <w:color w:val="auto"/>
                <w:w w:val="93"/>
              </w:rPr>
              <w:t>Borrowing</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8"/>
                <w:szCs w:val="18"/>
                <w:color w:val="auto"/>
                <w:w w:val="86"/>
              </w:rPr>
              <w:t>Balance</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760" w:type="dxa"/>
            <w:vAlign w:val="bottom"/>
          </w:tcPr>
          <w:p>
            <w:pPr>
              <w:spacing w:after="0"/>
              <w:rPr>
                <w:sz w:val="19"/>
                <w:szCs w:val="19"/>
                <w:color w:val="auto"/>
              </w:rPr>
            </w:pPr>
          </w:p>
        </w:tc>
        <w:tc>
          <w:tcPr>
            <w:tcW w:w="1720" w:type="dxa"/>
            <w:vAlign w:val="bottom"/>
          </w:tcPr>
          <w:p>
            <w:pPr>
              <w:jc w:val="center"/>
              <w:spacing w:after="0"/>
              <w:rPr>
                <w:sz w:val="20"/>
                <w:szCs w:val="20"/>
                <w:color w:val="auto"/>
              </w:rPr>
            </w:pPr>
            <w:r>
              <w:rPr>
                <w:rFonts w:ascii="Arial" w:cs="Arial" w:eastAsia="Arial" w:hAnsi="Arial"/>
                <w:sz w:val="18"/>
                <w:szCs w:val="18"/>
                <w:color w:val="auto"/>
                <w:w w:val="90"/>
              </w:rPr>
              <w:t>Amortization Date</w:t>
            </w:r>
          </w:p>
        </w:tc>
        <w:tc>
          <w:tcPr>
            <w:tcW w:w="360" w:type="dxa"/>
            <w:vAlign w:val="bottom"/>
          </w:tcPr>
          <w:p>
            <w:pPr>
              <w:spacing w:after="0"/>
              <w:rPr>
                <w:sz w:val="19"/>
                <w:szCs w:val="19"/>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6"/>
              </w:rPr>
              <w:t>Maturity</w:t>
            </w: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center"/>
              <w:ind w:right="72"/>
              <w:spacing w:after="0"/>
              <w:rPr>
                <w:sz w:val="20"/>
                <w:szCs w:val="20"/>
                <w:color w:val="auto"/>
              </w:rPr>
            </w:pPr>
            <w:r>
              <w:rPr>
                <w:rFonts w:ascii="Arial" w:cs="Arial" w:eastAsia="Arial" w:hAnsi="Arial"/>
                <w:sz w:val="18"/>
                <w:szCs w:val="18"/>
                <w:color w:val="auto"/>
                <w:w w:val="90"/>
              </w:rPr>
              <w:t>Capacity (1)</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8"/>
                <w:szCs w:val="18"/>
                <w:color w:val="auto"/>
                <w:w w:val="88"/>
              </w:rPr>
              <w:t>Capacity</w:t>
            </w:r>
          </w:p>
        </w:tc>
        <w:tc>
          <w:tcPr>
            <w:tcW w:w="160" w:type="dxa"/>
            <w:vAlign w:val="bottom"/>
          </w:tcPr>
          <w:p>
            <w:pPr>
              <w:spacing w:after="0"/>
              <w:rPr>
                <w:sz w:val="19"/>
                <w:szCs w:val="19"/>
                <w:color w:val="auto"/>
              </w:rPr>
            </w:pPr>
          </w:p>
        </w:tc>
        <w:tc>
          <w:tcPr>
            <w:tcW w:w="1120" w:type="dxa"/>
            <w:vAlign w:val="bottom"/>
            <w:gridSpan w:val="3"/>
          </w:tcPr>
          <w:p>
            <w:pPr>
              <w:jc w:val="center"/>
              <w:ind w:right="100"/>
              <w:spacing w:after="0"/>
              <w:rPr>
                <w:sz w:val="20"/>
                <w:szCs w:val="20"/>
                <w:color w:val="auto"/>
              </w:rPr>
            </w:pPr>
            <w:r>
              <w:rPr>
                <w:rFonts w:ascii="Arial" w:cs="Arial" w:eastAsia="Arial" w:hAnsi="Arial"/>
                <w:sz w:val="18"/>
                <w:szCs w:val="18"/>
                <w:color w:val="auto"/>
                <w:w w:val="88"/>
              </w:rPr>
              <w:t>Outstanding</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3760" w:type="dxa"/>
            <w:vAlign w:val="bottom"/>
          </w:tcPr>
          <w:p>
            <w:pPr>
              <w:spacing w:after="0"/>
              <w:rPr>
                <w:sz w:val="21"/>
                <w:szCs w:val="21"/>
                <w:color w:val="auto"/>
              </w:rPr>
            </w:pPr>
          </w:p>
        </w:tc>
        <w:tc>
          <w:tcPr>
            <w:tcW w:w="1720" w:type="dxa"/>
            <w:vAlign w:val="bottom"/>
            <w:tcBorders>
              <w:bottom w:val="single" w:sz="8" w:color="auto"/>
            </w:tcBorders>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3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3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60" w:type="dxa"/>
            <w:vAlign w:val="bottom"/>
            <w:shd w:val="clear" w:color="auto" w:fill="EAF9E8"/>
          </w:tcPr>
          <w:p>
            <w:pPr>
              <w:spacing w:after="0"/>
              <w:rPr>
                <w:sz w:val="20"/>
                <w:szCs w:val="20"/>
                <w:color w:val="auto"/>
              </w:rPr>
            </w:pPr>
            <w:r>
              <w:rPr>
                <w:rFonts w:ascii="Arial" w:cs="Arial" w:eastAsia="Arial" w:hAnsi="Arial"/>
                <w:sz w:val="18"/>
                <w:szCs w:val="18"/>
                <w:color w:val="auto"/>
              </w:rPr>
              <w:t>Servicing:</w:t>
            </w:r>
          </w:p>
        </w:tc>
        <w:tc>
          <w:tcPr>
            <w:tcW w:w="1720" w:type="dxa"/>
            <w:vAlign w:val="bottom"/>
            <w:shd w:val="clear" w:color="auto" w:fill="EAF9E8"/>
          </w:tcPr>
          <w:p>
            <w:pPr>
              <w:spacing w:after="0"/>
              <w:rPr>
                <w:sz w:val="18"/>
                <w:szCs w:val="18"/>
                <w:color w:val="auto"/>
              </w:rPr>
            </w:pPr>
          </w:p>
        </w:tc>
        <w:tc>
          <w:tcPr>
            <w:tcW w:w="360" w:type="dxa"/>
            <w:vAlign w:val="bottom"/>
            <w:shd w:val="clear" w:color="auto" w:fill="EAF9E8"/>
          </w:tcPr>
          <w:p>
            <w:pPr>
              <w:spacing w:after="0"/>
              <w:rPr>
                <w:sz w:val="18"/>
                <w:szCs w:val="18"/>
                <w:color w:val="auto"/>
              </w:rPr>
            </w:pPr>
          </w:p>
        </w:tc>
        <w:tc>
          <w:tcPr>
            <w:tcW w:w="1140" w:type="dxa"/>
            <w:vAlign w:val="bottom"/>
            <w:shd w:val="clear" w:color="auto" w:fill="EAF9E8"/>
          </w:tcPr>
          <w:p>
            <w:pPr>
              <w:spacing w:after="0"/>
              <w:rPr>
                <w:sz w:val="18"/>
                <w:szCs w:val="18"/>
                <w:color w:val="auto"/>
              </w:rPr>
            </w:pPr>
          </w:p>
        </w:tc>
        <w:tc>
          <w:tcPr>
            <w:tcW w:w="36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12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90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86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ind w:left="140"/>
              <w:spacing w:after="0"/>
              <w:rPr>
                <w:sz w:val="20"/>
                <w:szCs w:val="20"/>
                <w:color w:val="auto"/>
              </w:rPr>
            </w:pPr>
            <w:r>
              <w:rPr>
                <w:rFonts w:ascii="Arial" w:cs="Arial" w:eastAsia="Arial" w:hAnsi="Arial"/>
                <w:sz w:val="18"/>
                <w:szCs w:val="18"/>
                <w:color w:val="auto"/>
              </w:rPr>
              <w:t>Match funded liability (2)</w:t>
            </w:r>
          </w:p>
        </w:tc>
        <w:tc>
          <w:tcPr>
            <w:tcW w:w="1720" w:type="dxa"/>
            <w:vAlign w:val="bottom"/>
          </w:tcPr>
          <w:p>
            <w:pPr>
              <w:jc w:val="center"/>
              <w:spacing w:after="0"/>
              <w:rPr>
                <w:sz w:val="20"/>
                <w:szCs w:val="20"/>
                <w:color w:val="auto"/>
              </w:rPr>
            </w:pPr>
            <w:r>
              <w:rPr>
                <w:rFonts w:ascii="Arial" w:cs="Arial" w:eastAsia="Arial" w:hAnsi="Arial"/>
                <w:sz w:val="18"/>
                <w:szCs w:val="18"/>
                <w:color w:val="auto"/>
                <w:w w:val="89"/>
              </w:rPr>
              <w:t>Nov. 2009 (2)</w:t>
            </w:r>
          </w:p>
        </w:tc>
        <w:tc>
          <w:tcPr>
            <w:tcW w:w="36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8"/>
              </w:rPr>
              <w:t>Dec. 2014 –</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EAF9E8"/>
          </w:tcPr>
          <w:p>
            <w:pPr>
              <w:spacing w:after="0"/>
              <w:rPr>
                <w:sz w:val="18"/>
                <w:szCs w:val="18"/>
                <w:color w:val="auto"/>
              </w:rPr>
            </w:pPr>
          </w:p>
        </w:tc>
        <w:tc>
          <w:tcPr>
            <w:tcW w:w="1720" w:type="dxa"/>
            <w:vAlign w:val="bottom"/>
            <w:shd w:val="clear" w:color="auto" w:fill="EAF9E8"/>
          </w:tcPr>
          <w:p>
            <w:pPr>
              <w:jc w:val="center"/>
              <w:spacing w:after="0"/>
              <w:rPr>
                <w:sz w:val="20"/>
                <w:szCs w:val="20"/>
                <w:color w:val="auto"/>
              </w:rPr>
            </w:pPr>
            <w:r>
              <w:rPr>
                <w:rFonts w:ascii="Arial" w:cs="Arial" w:eastAsia="Arial" w:hAnsi="Arial"/>
                <w:sz w:val="18"/>
                <w:szCs w:val="18"/>
                <w:color w:val="auto"/>
                <w:w w:val="88"/>
              </w:rPr>
              <w:t>– Dec. 2009</w:t>
            </w:r>
          </w:p>
        </w:tc>
        <w:tc>
          <w:tcPr>
            <w:tcW w:w="360" w:type="dxa"/>
            <w:vAlign w:val="bottom"/>
            <w:shd w:val="clear" w:color="auto" w:fill="EAF9E8"/>
          </w:tcPr>
          <w:p>
            <w:pPr>
              <w:spacing w:after="0"/>
              <w:rPr>
                <w:sz w:val="18"/>
                <w:szCs w:val="18"/>
                <w:color w:val="auto"/>
              </w:rPr>
            </w:pPr>
          </w:p>
        </w:tc>
        <w:tc>
          <w:tcPr>
            <w:tcW w:w="1140" w:type="dxa"/>
            <w:vAlign w:val="bottom"/>
            <w:shd w:val="clear" w:color="auto" w:fill="EAF9E8"/>
          </w:tcPr>
          <w:p>
            <w:pPr>
              <w:jc w:val="center"/>
              <w:spacing w:after="0"/>
              <w:rPr>
                <w:sz w:val="20"/>
                <w:szCs w:val="20"/>
                <w:color w:val="auto"/>
              </w:rPr>
            </w:pPr>
            <w:r>
              <w:rPr>
                <w:rFonts w:ascii="Arial" w:cs="Arial" w:eastAsia="Arial" w:hAnsi="Arial"/>
                <w:sz w:val="18"/>
                <w:szCs w:val="18"/>
                <w:color w:val="auto"/>
                <w:w w:val="90"/>
              </w:rPr>
              <w:t>Nov. 2015</w:t>
            </w:r>
          </w:p>
        </w:tc>
        <w:tc>
          <w:tcPr>
            <w:tcW w:w="50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465,000</w:t>
            </w:r>
          </w:p>
        </w:tc>
        <w:tc>
          <w:tcPr>
            <w:tcW w:w="44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195,225</w:t>
            </w:r>
          </w:p>
        </w:tc>
        <w:tc>
          <w:tcPr>
            <w:tcW w:w="32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269,775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ind w:left="140"/>
              <w:spacing w:after="0"/>
              <w:rPr>
                <w:sz w:val="20"/>
                <w:szCs w:val="20"/>
                <w:color w:val="auto"/>
              </w:rPr>
            </w:pPr>
            <w:r>
              <w:rPr>
                <w:rFonts w:ascii="Arial" w:cs="Arial" w:eastAsia="Arial" w:hAnsi="Arial"/>
                <w:sz w:val="18"/>
                <w:szCs w:val="18"/>
                <w:color w:val="auto"/>
              </w:rPr>
              <w:t>Match funded liability (3)</w:t>
            </w:r>
          </w:p>
        </w:tc>
        <w:tc>
          <w:tcPr>
            <w:tcW w:w="1720" w:type="dxa"/>
            <w:vAlign w:val="bottom"/>
          </w:tcPr>
          <w:p>
            <w:pPr>
              <w:jc w:val="center"/>
              <w:spacing w:after="0"/>
              <w:rPr>
                <w:sz w:val="20"/>
                <w:szCs w:val="20"/>
                <w:color w:val="auto"/>
              </w:rPr>
            </w:pPr>
            <w:r>
              <w:rPr>
                <w:rFonts w:ascii="Arial" w:cs="Arial" w:eastAsia="Arial" w:hAnsi="Arial"/>
                <w:sz w:val="18"/>
                <w:szCs w:val="18"/>
                <w:color w:val="auto"/>
                <w:w w:val="83"/>
              </w:rPr>
              <w:t>Jan. 2010</w:t>
            </w:r>
          </w:p>
        </w:tc>
        <w:tc>
          <w:tcPr>
            <w:tcW w:w="36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3"/>
              </w:rPr>
              <w:t>Jan. 2019</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200,000</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65,578</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134,422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EAF9E8"/>
          </w:tcPr>
          <w:p>
            <w:pPr>
              <w:ind w:left="140"/>
              <w:spacing w:after="0"/>
              <w:rPr>
                <w:sz w:val="20"/>
                <w:szCs w:val="20"/>
                <w:color w:val="auto"/>
              </w:rPr>
            </w:pPr>
            <w:r>
              <w:rPr>
                <w:rFonts w:ascii="Arial" w:cs="Arial" w:eastAsia="Arial" w:hAnsi="Arial"/>
                <w:sz w:val="18"/>
                <w:szCs w:val="18"/>
                <w:color w:val="auto"/>
              </w:rPr>
              <w:t>Match funded liability</w:t>
            </w:r>
          </w:p>
        </w:tc>
        <w:tc>
          <w:tcPr>
            <w:tcW w:w="1720" w:type="dxa"/>
            <w:vAlign w:val="bottom"/>
            <w:shd w:val="clear" w:color="auto" w:fill="EAF9E8"/>
          </w:tcPr>
          <w:p>
            <w:pPr>
              <w:jc w:val="center"/>
              <w:spacing w:after="0"/>
              <w:rPr>
                <w:sz w:val="20"/>
                <w:szCs w:val="20"/>
                <w:color w:val="auto"/>
              </w:rPr>
            </w:pPr>
            <w:r>
              <w:rPr>
                <w:rFonts w:ascii="Arial" w:cs="Arial" w:eastAsia="Arial" w:hAnsi="Arial"/>
                <w:sz w:val="18"/>
                <w:szCs w:val="18"/>
                <w:color w:val="auto"/>
                <w:w w:val="87"/>
              </w:rPr>
              <w:t>Dec. 2010</w:t>
            </w:r>
          </w:p>
        </w:tc>
        <w:tc>
          <w:tcPr>
            <w:tcW w:w="360" w:type="dxa"/>
            <w:vAlign w:val="bottom"/>
            <w:shd w:val="clear" w:color="auto" w:fill="EAF9E8"/>
          </w:tcPr>
          <w:p>
            <w:pPr>
              <w:spacing w:after="0"/>
              <w:rPr>
                <w:sz w:val="18"/>
                <w:szCs w:val="18"/>
                <w:color w:val="auto"/>
              </w:rPr>
            </w:pPr>
          </w:p>
        </w:tc>
        <w:tc>
          <w:tcPr>
            <w:tcW w:w="1140" w:type="dxa"/>
            <w:vAlign w:val="bottom"/>
            <w:shd w:val="clear" w:color="auto" w:fill="EAF9E8"/>
          </w:tcPr>
          <w:p>
            <w:pPr>
              <w:jc w:val="center"/>
              <w:spacing w:after="0"/>
              <w:rPr>
                <w:sz w:val="20"/>
                <w:szCs w:val="20"/>
                <w:color w:val="auto"/>
              </w:rPr>
            </w:pPr>
            <w:r>
              <w:rPr>
                <w:rFonts w:ascii="Arial" w:cs="Arial" w:eastAsia="Arial" w:hAnsi="Arial"/>
                <w:sz w:val="18"/>
                <w:szCs w:val="18"/>
                <w:color w:val="auto"/>
                <w:w w:val="90"/>
              </w:rPr>
              <w:t>Dec. 2013</w:t>
            </w:r>
          </w:p>
        </w:tc>
        <w:tc>
          <w:tcPr>
            <w:tcW w:w="36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1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250,000</w:t>
            </w:r>
          </w:p>
        </w:tc>
        <w:tc>
          <w:tcPr>
            <w:tcW w:w="32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08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66,403</w:t>
            </w:r>
          </w:p>
        </w:tc>
        <w:tc>
          <w:tcPr>
            <w:tcW w:w="16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96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183,597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760" w:type="dxa"/>
            <w:vAlign w:val="bottom"/>
          </w:tcPr>
          <w:p>
            <w:pPr>
              <w:ind w:left="140"/>
              <w:spacing w:after="0"/>
              <w:rPr>
                <w:sz w:val="20"/>
                <w:szCs w:val="20"/>
                <w:color w:val="auto"/>
              </w:rPr>
            </w:pPr>
            <w:r>
              <w:rPr>
                <w:rFonts w:ascii="Arial" w:cs="Arial" w:eastAsia="Arial" w:hAnsi="Arial"/>
                <w:sz w:val="18"/>
                <w:szCs w:val="18"/>
                <w:color w:val="auto"/>
              </w:rPr>
              <w:t>Match funded liability (4)</w:t>
            </w:r>
          </w:p>
        </w:tc>
        <w:tc>
          <w:tcPr>
            <w:tcW w:w="1720" w:type="dxa"/>
            <w:vAlign w:val="bottom"/>
          </w:tcPr>
          <w:p>
            <w:pPr>
              <w:jc w:val="center"/>
              <w:spacing w:after="0"/>
              <w:rPr>
                <w:sz w:val="20"/>
                <w:szCs w:val="20"/>
                <w:color w:val="auto"/>
              </w:rPr>
            </w:pPr>
            <w:r>
              <w:rPr>
                <w:rFonts w:ascii="Arial" w:cs="Arial" w:eastAsia="Arial" w:hAnsi="Arial"/>
                <w:sz w:val="18"/>
                <w:szCs w:val="18"/>
                <w:color w:val="auto"/>
                <w:w w:val="89"/>
              </w:rPr>
              <w:t>Apr. 2009</w:t>
            </w:r>
          </w:p>
        </w:tc>
        <w:tc>
          <w:tcPr>
            <w:tcW w:w="360" w:type="dxa"/>
            <w:vAlign w:val="bottom"/>
          </w:tcPr>
          <w:p>
            <w:pPr>
              <w:spacing w:after="0"/>
              <w:rPr>
                <w:sz w:val="19"/>
                <w:szCs w:val="19"/>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Apr. 2009</w:t>
            </w: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300,000</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101,484</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198,516</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2"/>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60" w:type="dxa"/>
            <w:vAlign w:val="bottom"/>
            <w:shd w:val="clear" w:color="auto" w:fill="EAF9E8"/>
          </w:tcPr>
          <w:p>
            <w:pPr>
              <w:spacing w:after="0"/>
              <w:rPr>
                <w:sz w:val="18"/>
                <w:szCs w:val="18"/>
                <w:color w:val="auto"/>
              </w:rPr>
            </w:pPr>
          </w:p>
        </w:tc>
        <w:tc>
          <w:tcPr>
            <w:tcW w:w="1720" w:type="dxa"/>
            <w:vAlign w:val="bottom"/>
            <w:shd w:val="clear" w:color="auto" w:fill="EAF9E8"/>
          </w:tcPr>
          <w:p>
            <w:pPr>
              <w:spacing w:after="0"/>
              <w:rPr>
                <w:sz w:val="18"/>
                <w:szCs w:val="18"/>
                <w:color w:val="auto"/>
              </w:rPr>
            </w:pPr>
          </w:p>
        </w:tc>
        <w:tc>
          <w:tcPr>
            <w:tcW w:w="360" w:type="dxa"/>
            <w:vAlign w:val="bottom"/>
            <w:shd w:val="clear" w:color="auto" w:fill="EAF9E8"/>
          </w:tcPr>
          <w:p>
            <w:pPr>
              <w:spacing w:after="0"/>
              <w:rPr>
                <w:sz w:val="18"/>
                <w:szCs w:val="18"/>
                <w:color w:val="auto"/>
              </w:rPr>
            </w:pPr>
          </w:p>
        </w:tc>
        <w:tc>
          <w:tcPr>
            <w:tcW w:w="1140" w:type="dxa"/>
            <w:vAlign w:val="bottom"/>
            <w:shd w:val="clear" w:color="auto" w:fill="EAF9E8"/>
          </w:tcPr>
          <w:p>
            <w:pPr>
              <w:spacing w:after="0"/>
              <w:rPr>
                <w:sz w:val="18"/>
                <w:szCs w:val="18"/>
                <w:color w:val="auto"/>
              </w:rPr>
            </w:pPr>
          </w:p>
        </w:tc>
        <w:tc>
          <w:tcPr>
            <w:tcW w:w="360" w:type="dxa"/>
            <w:vAlign w:val="bottom"/>
            <w:shd w:val="clear" w:color="auto" w:fill="EAF9E8"/>
          </w:tcPr>
          <w:p>
            <w:pPr>
              <w:spacing w:after="0"/>
              <w:rPr>
                <w:sz w:val="18"/>
                <w:szCs w:val="18"/>
                <w:color w:val="auto"/>
              </w:rPr>
            </w:pPr>
          </w:p>
        </w:tc>
        <w:tc>
          <w:tcPr>
            <w:tcW w:w="140" w:type="dxa"/>
            <w:vAlign w:val="bottom"/>
            <w:tcBorders>
              <w:top w:val="single" w:sz="8" w:color="auto"/>
            </w:tcBorders>
            <w:shd w:val="clear" w:color="auto" w:fill="EAF9E8"/>
          </w:tcPr>
          <w:p>
            <w:pPr>
              <w:spacing w:after="0"/>
              <w:rPr>
                <w:sz w:val="18"/>
                <w:szCs w:val="18"/>
                <w:color w:val="auto"/>
              </w:rPr>
            </w:pPr>
          </w:p>
        </w:tc>
        <w:tc>
          <w:tcPr>
            <w:tcW w:w="112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1,215,000</w:t>
            </w:r>
          </w:p>
        </w:tc>
        <w:tc>
          <w:tcPr>
            <w:tcW w:w="320" w:type="dxa"/>
            <w:vAlign w:val="bottom"/>
            <w:shd w:val="clear" w:color="auto" w:fill="EAF9E8"/>
          </w:tcPr>
          <w:p>
            <w:pPr>
              <w:spacing w:after="0"/>
              <w:rPr>
                <w:sz w:val="18"/>
                <w:szCs w:val="18"/>
                <w:color w:val="auto"/>
              </w:rPr>
            </w:pPr>
          </w:p>
        </w:tc>
        <w:tc>
          <w:tcPr>
            <w:tcW w:w="120" w:type="dxa"/>
            <w:vAlign w:val="bottom"/>
            <w:tcBorders>
              <w:top w:val="single" w:sz="8" w:color="auto"/>
            </w:tcBorders>
            <w:shd w:val="clear" w:color="auto" w:fill="EAF9E8"/>
          </w:tcPr>
          <w:p>
            <w:pPr>
              <w:spacing w:after="0"/>
              <w:rPr>
                <w:sz w:val="18"/>
                <w:szCs w:val="18"/>
                <w:color w:val="auto"/>
              </w:rPr>
            </w:pPr>
          </w:p>
        </w:tc>
        <w:tc>
          <w:tcPr>
            <w:tcW w:w="90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428,690</w:t>
            </w:r>
          </w:p>
        </w:tc>
        <w:tc>
          <w:tcPr>
            <w:tcW w:w="18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60" w:type="dxa"/>
            <w:vAlign w:val="bottom"/>
            <w:tcBorders>
              <w:top w:val="single" w:sz="8" w:color="auto"/>
            </w:tcBorders>
            <w:shd w:val="clear" w:color="auto" w:fill="EAF9E8"/>
          </w:tcPr>
          <w:p>
            <w:pPr>
              <w:spacing w:after="0"/>
              <w:rPr>
                <w:sz w:val="18"/>
                <w:szCs w:val="18"/>
                <w:color w:val="auto"/>
              </w:rPr>
            </w:pPr>
          </w:p>
        </w:tc>
        <w:tc>
          <w:tcPr>
            <w:tcW w:w="86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786,310</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760" w:type="dxa"/>
            <w:vAlign w:val="bottom"/>
            <w:vMerge w:val="restart"/>
          </w:tcPr>
          <w:p>
            <w:pPr>
              <w:ind w:left="140"/>
              <w:spacing w:after="0"/>
              <w:rPr>
                <w:sz w:val="20"/>
                <w:szCs w:val="20"/>
                <w:color w:val="auto"/>
              </w:rPr>
            </w:pPr>
            <w:r>
              <w:rPr>
                <w:rFonts w:ascii="Arial" w:cs="Arial" w:eastAsia="Arial" w:hAnsi="Arial"/>
                <w:sz w:val="18"/>
                <w:szCs w:val="18"/>
                <w:color w:val="auto"/>
              </w:rPr>
              <w:t>Secured credit agreement - Term note (5)</w:t>
            </w:r>
          </w:p>
        </w:tc>
        <w:tc>
          <w:tcPr>
            <w:tcW w:w="1720" w:type="dxa"/>
            <w:vAlign w:val="bottom"/>
            <w:vMerge w:val="restart"/>
          </w:tcPr>
          <w:p>
            <w:pPr>
              <w:jc w:val="center"/>
              <w:spacing w:after="0"/>
              <w:rPr>
                <w:sz w:val="20"/>
                <w:szCs w:val="20"/>
                <w:color w:val="auto"/>
              </w:rPr>
            </w:pPr>
            <w:r>
              <w:rPr>
                <w:rFonts w:ascii="Arial" w:cs="Arial" w:eastAsia="Arial" w:hAnsi="Arial"/>
                <w:sz w:val="18"/>
                <w:szCs w:val="18"/>
                <w:color w:val="auto"/>
                <w:w w:val="90"/>
              </w:rPr>
              <w:t>Aug. 2008</w:t>
            </w:r>
          </w:p>
        </w:tc>
        <w:tc>
          <w:tcPr>
            <w:tcW w:w="360" w:type="dxa"/>
            <w:vAlign w:val="bottom"/>
          </w:tcPr>
          <w:p>
            <w:pPr>
              <w:spacing w:after="0"/>
              <w:rPr>
                <w:sz w:val="21"/>
                <w:szCs w:val="21"/>
                <w:color w:val="auto"/>
              </w:rPr>
            </w:pPr>
          </w:p>
        </w:tc>
        <w:tc>
          <w:tcPr>
            <w:tcW w:w="1140" w:type="dxa"/>
            <w:vAlign w:val="bottom"/>
            <w:vMerge w:val="restart"/>
          </w:tcPr>
          <w:p>
            <w:pPr>
              <w:jc w:val="center"/>
              <w:spacing w:after="0"/>
              <w:rPr>
                <w:sz w:val="20"/>
                <w:szCs w:val="20"/>
                <w:color w:val="auto"/>
              </w:rPr>
            </w:pPr>
            <w:r>
              <w:rPr>
                <w:rFonts w:ascii="Arial" w:cs="Arial" w:eastAsia="Arial" w:hAnsi="Arial"/>
                <w:sz w:val="18"/>
                <w:szCs w:val="18"/>
                <w:color w:val="auto"/>
                <w:w w:val="86"/>
              </w:rPr>
              <w:t>Feb. 2010</w:t>
            </w:r>
          </w:p>
        </w:tc>
        <w:tc>
          <w:tcPr>
            <w:tcW w:w="3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gridSpan w:val="2"/>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gridSpan w:val="2"/>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60" w:type="dxa"/>
            <w:vAlign w:val="bottom"/>
            <w:vMerge w:val="continue"/>
          </w:tcPr>
          <w:p>
            <w:pPr>
              <w:spacing w:after="0"/>
              <w:rPr>
                <w:sz w:val="18"/>
                <w:szCs w:val="18"/>
                <w:color w:val="auto"/>
              </w:rPr>
            </w:pPr>
          </w:p>
        </w:tc>
        <w:tc>
          <w:tcPr>
            <w:tcW w:w="1720" w:type="dxa"/>
            <w:vAlign w:val="bottom"/>
            <w:vMerge w:val="continue"/>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76,990</w:t>
            </w:r>
          </w:p>
        </w:tc>
        <w:tc>
          <w:tcPr>
            <w:tcW w:w="3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76,990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EAF9E8"/>
          </w:tcPr>
          <w:p>
            <w:pPr>
              <w:ind w:left="140"/>
              <w:spacing w:after="0"/>
              <w:rPr>
                <w:sz w:val="20"/>
                <w:szCs w:val="20"/>
                <w:color w:val="auto"/>
              </w:rPr>
            </w:pPr>
            <w:r>
              <w:rPr>
                <w:rFonts w:ascii="Arial" w:cs="Arial" w:eastAsia="Arial" w:hAnsi="Arial"/>
                <w:sz w:val="18"/>
                <w:szCs w:val="18"/>
                <w:color w:val="auto"/>
              </w:rPr>
              <w:t>Advance fee reimbursement (6)</w:t>
            </w:r>
          </w:p>
        </w:tc>
        <w:tc>
          <w:tcPr>
            <w:tcW w:w="1720" w:type="dxa"/>
            <w:vAlign w:val="bottom"/>
            <w:shd w:val="clear" w:color="auto" w:fill="EAF9E8"/>
          </w:tcPr>
          <w:p>
            <w:pPr>
              <w:jc w:val="center"/>
              <w:spacing w:after="0"/>
              <w:rPr>
                <w:sz w:val="20"/>
                <w:szCs w:val="20"/>
                <w:color w:val="auto"/>
              </w:rPr>
            </w:pPr>
            <w:r>
              <w:rPr>
                <w:rFonts w:ascii="Arial" w:cs="Arial" w:eastAsia="Arial" w:hAnsi="Arial"/>
                <w:sz w:val="18"/>
                <w:szCs w:val="18"/>
                <w:color w:val="auto"/>
                <w:w w:val="88"/>
              </w:rPr>
              <w:t>Mar. 2010</w:t>
            </w:r>
          </w:p>
        </w:tc>
        <w:tc>
          <w:tcPr>
            <w:tcW w:w="360" w:type="dxa"/>
            <w:vAlign w:val="bottom"/>
            <w:shd w:val="clear" w:color="auto" w:fill="EAF9E8"/>
          </w:tcPr>
          <w:p>
            <w:pPr>
              <w:spacing w:after="0"/>
              <w:rPr>
                <w:sz w:val="18"/>
                <w:szCs w:val="18"/>
                <w:color w:val="auto"/>
              </w:rPr>
            </w:pPr>
          </w:p>
        </w:tc>
        <w:tc>
          <w:tcPr>
            <w:tcW w:w="1140" w:type="dxa"/>
            <w:vAlign w:val="bottom"/>
            <w:shd w:val="clear" w:color="auto" w:fill="EAF9E8"/>
          </w:tcPr>
          <w:p>
            <w:pPr>
              <w:jc w:val="center"/>
              <w:spacing w:after="0"/>
              <w:rPr>
                <w:sz w:val="20"/>
                <w:szCs w:val="20"/>
                <w:color w:val="auto"/>
              </w:rPr>
            </w:pPr>
            <w:r>
              <w:rPr>
                <w:rFonts w:ascii="Arial" w:cs="Arial" w:eastAsia="Arial" w:hAnsi="Arial"/>
                <w:sz w:val="18"/>
                <w:szCs w:val="18"/>
                <w:color w:val="auto"/>
                <w:w w:val="91"/>
              </w:rPr>
              <w:t>Mar. 2014</w:t>
            </w:r>
          </w:p>
        </w:tc>
        <w:tc>
          <w:tcPr>
            <w:tcW w:w="36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1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45,373</w:t>
            </w:r>
          </w:p>
        </w:tc>
        <w:tc>
          <w:tcPr>
            <w:tcW w:w="32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08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96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45,373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760" w:type="dxa"/>
            <w:vAlign w:val="bottom"/>
          </w:tcPr>
          <w:p>
            <w:pPr>
              <w:ind w:left="140"/>
              <w:spacing w:after="0"/>
              <w:rPr>
                <w:sz w:val="20"/>
                <w:szCs w:val="20"/>
                <w:color w:val="auto"/>
              </w:rPr>
            </w:pPr>
            <w:r>
              <w:rPr>
                <w:rFonts w:ascii="Arial" w:cs="Arial" w:eastAsia="Arial" w:hAnsi="Arial"/>
                <w:sz w:val="18"/>
                <w:szCs w:val="18"/>
                <w:color w:val="auto"/>
              </w:rPr>
              <w:t>Term note</w:t>
            </w:r>
          </w:p>
        </w:tc>
        <w:tc>
          <w:tcPr>
            <w:tcW w:w="1720" w:type="dxa"/>
            <w:vAlign w:val="bottom"/>
          </w:tcPr>
          <w:p>
            <w:pPr>
              <w:jc w:val="center"/>
              <w:spacing w:after="0"/>
              <w:rPr>
                <w:sz w:val="20"/>
                <w:szCs w:val="20"/>
                <w:color w:val="auto"/>
              </w:rPr>
            </w:pPr>
            <w:r>
              <w:rPr>
                <w:rFonts w:ascii="Arial" w:cs="Arial" w:eastAsia="Arial" w:hAnsi="Arial"/>
                <w:sz w:val="18"/>
                <w:szCs w:val="18"/>
                <w:color w:val="auto"/>
                <w:w w:val="88"/>
              </w:rPr>
              <w:t>Mar. 2014</w:t>
            </w:r>
          </w:p>
        </w:tc>
        <w:tc>
          <w:tcPr>
            <w:tcW w:w="360" w:type="dxa"/>
            <w:vAlign w:val="bottom"/>
          </w:tcPr>
          <w:p>
            <w:pPr>
              <w:spacing w:after="0"/>
              <w:rPr>
                <w:sz w:val="19"/>
                <w:szCs w:val="19"/>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Mar. 2014</w:t>
            </w: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7,000</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7,000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2"/>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60" w:type="dxa"/>
            <w:vAlign w:val="bottom"/>
            <w:shd w:val="clear" w:color="auto" w:fill="EAF9E8"/>
          </w:tcPr>
          <w:p>
            <w:pPr>
              <w:spacing w:after="0"/>
              <w:rPr>
                <w:sz w:val="18"/>
                <w:szCs w:val="18"/>
                <w:color w:val="auto"/>
              </w:rPr>
            </w:pPr>
          </w:p>
        </w:tc>
        <w:tc>
          <w:tcPr>
            <w:tcW w:w="1720" w:type="dxa"/>
            <w:vAlign w:val="bottom"/>
            <w:shd w:val="clear" w:color="auto" w:fill="EAF9E8"/>
          </w:tcPr>
          <w:p>
            <w:pPr>
              <w:spacing w:after="0"/>
              <w:rPr>
                <w:sz w:val="18"/>
                <w:szCs w:val="18"/>
                <w:color w:val="auto"/>
              </w:rPr>
            </w:pPr>
          </w:p>
        </w:tc>
        <w:tc>
          <w:tcPr>
            <w:tcW w:w="360" w:type="dxa"/>
            <w:vAlign w:val="bottom"/>
            <w:shd w:val="clear" w:color="auto" w:fill="EAF9E8"/>
          </w:tcPr>
          <w:p>
            <w:pPr>
              <w:spacing w:after="0"/>
              <w:rPr>
                <w:sz w:val="18"/>
                <w:szCs w:val="18"/>
                <w:color w:val="auto"/>
              </w:rPr>
            </w:pPr>
          </w:p>
        </w:tc>
        <w:tc>
          <w:tcPr>
            <w:tcW w:w="1140" w:type="dxa"/>
            <w:vAlign w:val="bottom"/>
            <w:shd w:val="clear" w:color="auto" w:fill="EAF9E8"/>
          </w:tcPr>
          <w:p>
            <w:pPr>
              <w:spacing w:after="0"/>
              <w:rPr>
                <w:sz w:val="18"/>
                <w:szCs w:val="18"/>
                <w:color w:val="auto"/>
              </w:rPr>
            </w:pPr>
          </w:p>
        </w:tc>
        <w:tc>
          <w:tcPr>
            <w:tcW w:w="360" w:type="dxa"/>
            <w:vAlign w:val="bottom"/>
            <w:shd w:val="clear" w:color="auto" w:fill="EAF9E8"/>
          </w:tcPr>
          <w:p>
            <w:pPr>
              <w:spacing w:after="0"/>
              <w:rPr>
                <w:sz w:val="18"/>
                <w:szCs w:val="18"/>
                <w:color w:val="auto"/>
              </w:rPr>
            </w:pPr>
          </w:p>
        </w:tc>
        <w:tc>
          <w:tcPr>
            <w:tcW w:w="140" w:type="dxa"/>
            <w:vAlign w:val="bottom"/>
            <w:tcBorders>
              <w:top w:val="single" w:sz="8" w:color="auto"/>
            </w:tcBorders>
            <w:shd w:val="clear" w:color="auto" w:fill="EAF9E8"/>
          </w:tcPr>
          <w:p>
            <w:pPr>
              <w:spacing w:after="0"/>
              <w:rPr>
                <w:sz w:val="18"/>
                <w:szCs w:val="18"/>
                <w:color w:val="auto"/>
              </w:rPr>
            </w:pPr>
          </w:p>
        </w:tc>
        <w:tc>
          <w:tcPr>
            <w:tcW w:w="112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129,363</w:t>
            </w:r>
          </w:p>
        </w:tc>
        <w:tc>
          <w:tcPr>
            <w:tcW w:w="320" w:type="dxa"/>
            <w:vAlign w:val="bottom"/>
            <w:shd w:val="clear" w:color="auto" w:fill="EAF9E8"/>
          </w:tcPr>
          <w:p>
            <w:pPr>
              <w:spacing w:after="0"/>
              <w:rPr>
                <w:sz w:val="18"/>
                <w:szCs w:val="18"/>
                <w:color w:val="auto"/>
              </w:rPr>
            </w:pPr>
          </w:p>
        </w:tc>
        <w:tc>
          <w:tcPr>
            <w:tcW w:w="120" w:type="dxa"/>
            <w:vAlign w:val="bottom"/>
            <w:tcBorders>
              <w:top w:val="single" w:sz="8" w:color="auto"/>
            </w:tcBorders>
            <w:shd w:val="clear" w:color="auto" w:fill="EAF9E8"/>
          </w:tcPr>
          <w:p>
            <w:pPr>
              <w:spacing w:after="0"/>
              <w:rPr>
                <w:sz w:val="18"/>
                <w:szCs w:val="18"/>
                <w:color w:val="auto"/>
              </w:rPr>
            </w:pPr>
          </w:p>
        </w:tc>
        <w:tc>
          <w:tcPr>
            <w:tcW w:w="90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60" w:type="dxa"/>
            <w:vAlign w:val="bottom"/>
            <w:tcBorders>
              <w:top w:val="single" w:sz="8" w:color="auto"/>
            </w:tcBorders>
            <w:shd w:val="clear" w:color="auto" w:fill="EAF9E8"/>
          </w:tcPr>
          <w:p>
            <w:pPr>
              <w:spacing w:after="0"/>
              <w:rPr>
                <w:sz w:val="18"/>
                <w:szCs w:val="18"/>
                <w:color w:val="auto"/>
              </w:rPr>
            </w:pPr>
          </w:p>
        </w:tc>
        <w:tc>
          <w:tcPr>
            <w:tcW w:w="86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129,363</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76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gridSpan w:val="2"/>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gridSpan w:val="2"/>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1,344,363</w:t>
            </w:r>
          </w:p>
        </w:tc>
        <w:tc>
          <w:tcPr>
            <w:tcW w:w="3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428,690</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915,673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780" w:type="dxa"/>
            <w:vAlign w:val="bottom"/>
            <w:gridSpan w:val="2"/>
          </w:tcPr>
          <w:p>
            <w:pPr>
              <w:spacing w:after="0"/>
              <w:rPr>
                <w:sz w:val="20"/>
                <w:szCs w:val="20"/>
                <w:color w:val="auto"/>
              </w:rPr>
            </w:pPr>
          </w:p>
        </w:tc>
        <w:tc>
          <w:tcPr>
            <w:tcW w:w="17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37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60" w:type="dxa"/>
            <w:vAlign w:val="bottom"/>
            <w:shd w:val="clear" w:color="auto" w:fill="EAF9E8"/>
          </w:tcPr>
          <w:p>
            <w:pPr>
              <w:spacing w:after="0"/>
              <w:rPr>
                <w:sz w:val="20"/>
                <w:szCs w:val="20"/>
                <w:color w:val="auto"/>
              </w:rPr>
            </w:pPr>
            <w:r>
              <w:rPr>
                <w:rFonts w:ascii="Arial" w:cs="Arial" w:eastAsia="Arial" w:hAnsi="Arial"/>
                <w:sz w:val="18"/>
                <w:szCs w:val="18"/>
                <w:color w:val="auto"/>
              </w:rPr>
              <w:t>Loans and Residuals:</w:t>
            </w:r>
          </w:p>
        </w:tc>
        <w:tc>
          <w:tcPr>
            <w:tcW w:w="1720" w:type="dxa"/>
            <w:vAlign w:val="bottom"/>
            <w:shd w:val="clear" w:color="auto" w:fill="EAF9E8"/>
          </w:tcPr>
          <w:p>
            <w:pPr>
              <w:spacing w:after="0"/>
              <w:rPr>
                <w:sz w:val="18"/>
                <w:szCs w:val="18"/>
                <w:color w:val="auto"/>
              </w:rPr>
            </w:pPr>
          </w:p>
        </w:tc>
        <w:tc>
          <w:tcPr>
            <w:tcW w:w="360" w:type="dxa"/>
            <w:vAlign w:val="bottom"/>
            <w:shd w:val="clear" w:color="auto" w:fill="EAF9E8"/>
          </w:tcPr>
          <w:p>
            <w:pPr>
              <w:spacing w:after="0"/>
              <w:rPr>
                <w:sz w:val="18"/>
                <w:szCs w:val="18"/>
                <w:color w:val="auto"/>
              </w:rPr>
            </w:pPr>
          </w:p>
        </w:tc>
        <w:tc>
          <w:tcPr>
            <w:tcW w:w="1140" w:type="dxa"/>
            <w:vAlign w:val="bottom"/>
            <w:shd w:val="clear" w:color="auto" w:fill="EAF9E8"/>
          </w:tcPr>
          <w:p>
            <w:pPr>
              <w:spacing w:after="0"/>
              <w:rPr>
                <w:sz w:val="18"/>
                <w:szCs w:val="18"/>
                <w:color w:val="auto"/>
              </w:rPr>
            </w:pPr>
          </w:p>
        </w:tc>
        <w:tc>
          <w:tcPr>
            <w:tcW w:w="36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12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90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86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760" w:type="dxa"/>
            <w:vAlign w:val="bottom"/>
          </w:tcPr>
          <w:p>
            <w:pPr>
              <w:ind w:left="140"/>
              <w:spacing w:after="0"/>
              <w:rPr>
                <w:sz w:val="20"/>
                <w:szCs w:val="20"/>
                <w:color w:val="auto"/>
              </w:rPr>
            </w:pPr>
            <w:r>
              <w:rPr>
                <w:rFonts w:ascii="Arial" w:cs="Arial" w:eastAsia="Arial" w:hAnsi="Arial"/>
                <w:sz w:val="18"/>
                <w:szCs w:val="18"/>
                <w:color w:val="auto"/>
              </w:rPr>
              <w:t>Class A-1 Note</w:t>
            </w:r>
          </w:p>
        </w:tc>
        <w:tc>
          <w:tcPr>
            <w:tcW w:w="1720" w:type="dxa"/>
            <w:vAlign w:val="bottom"/>
          </w:tcPr>
          <w:p>
            <w:pPr>
              <w:jc w:val="center"/>
              <w:spacing w:after="0"/>
              <w:rPr>
                <w:sz w:val="20"/>
                <w:szCs w:val="20"/>
                <w:color w:val="auto"/>
              </w:rPr>
            </w:pPr>
            <w:r>
              <w:rPr>
                <w:rFonts w:ascii="Arial" w:cs="Arial" w:eastAsia="Arial" w:hAnsi="Arial"/>
                <w:sz w:val="18"/>
                <w:szCs w:val="18"/>
                <w:color w:val="auto"/>
                <w:w w:val="99"/>
              </w:rPr>
              <w:t>N/A</w:t>
            </w:r>
          </w:p>
        </w:tc>
        <w:tc>
          <w:tcPr>
            <w:tcW w:w="360" w:type="dxa"/>
            <w:vAlign w:val="bottom"/>
          </w:tcPr>
          <w:p>
            <w:pPr>
              <w:spacing w:after="0"/>
              <w:rPr>
                <w:sz w:val="19"/>
                <w:szCs w:val="19"/>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Apr. 2037</w:t>
            </w: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14,702</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14,702</w:t>
            </w:r>
          </w:p>
        </w:tc>
        <w:tc>
          <w:tcPr>
            <w:tcW w:w="0" w:type="dxa"/>
            <w:vAlign w:val="bottom"/>
          </w:tcPr>
          <w:p>
            <w:pPr>
              <w:spacing w:after="0"/>
              <w:rPr>
                <w:sz w:val="1"/>
                <w:szCs w:val="1"/>
                <w:color w:val="auto"/>
              </w:rPr>
            </w:pPr>
          </w:p>
        </w:tc>
      </w:tr>
      <w:tr>
        <w:trPr>
          <w:trHeight w:val="237"/>
        </w:trPr>
        <w:tc>
          <w:tcPr>
            <w:tcW w:w="3780" w:type="dxa"/>
            <w:vAlign w:val="bottom"/>
            <w:gridSpan w:val="2"/>
          </w:tcPr>
          <w:p>
            <w:pPr>
              <w:spacing w:after="0"/>
              <w:rPr>
                <w:sz w:val="20"/>
                <w:szCs w:val="20"/>
                <w:color w:val="auto"/>
              </w:rPr>
            </w:pPr>
          </w:p>
        </w:tc>
        <w:tc>
          <w:tcPr>
            <w:tcW w:w="17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37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60" w:type="dxa"/>
            <w:vAlign w:val="bottom"/>
            <w:shd w:val="clear" w:color="auto" w:fill="EAF9E8"/>
          </w:tcPr>
          <w:p>
            <w:pPr>
              <w:spacing w:after="0"/>
              <w:rPr>
                <w:sz w:val="20"/>
                <w:szCs w:val="20"/>
                <w:color w:val="auto"/>
              </w:rPr>
            </w:pPr>
            <w:r>
              <w:rPr>
                <w:rFonts w:ascii="Arial" w:cs="Arial" w:eastAsia="Arial" w:hAnsi="Arial"/>
                <w:sz w:val="18"/>
                <w:szCs w:val="18"/>
                <w:color w:val="auto"/>
              </w:rPr>
              <w:t>Financial Services:</w:t>
            </w:r>
          </w:p>
        </w:tc>
        <w:tc>
          <w:tcPr>
            <w:tcW w:w="1720" w:type="dxa"/>
            <w:vAlign w:val="bottom"/>
            <w:shd w:val="clear" w:color="auto" w:fill="EAF9E8"/>
          </w:tcPr>
          <w:p>
            <w:pPr>
              <w:spacing w:after="0"/>
              <w:rPr>
                <w:sz w:val="18"/>
                <w:szCs w:val="18"/>
                <w:color w:val="auto"/>
              </w:rPr>
            </w:pPr>
          </w:p>
        </w:tc>
        <w:tc>
          <w:tcPr>
            <w:tcW w:w="360" w:type="dxa"/>
            <w:vAlign w:val="bottom"/>
            <w:shd w:val="clear" w:color="auto" w:fill="EAF9E8"/>
          </w:tcPr>
          <w:p>
            <w:pPr>
              <w:spacing w:after="0"/>
              <w:rPr>
                <w:sz w:val="18"/>
                <w:szCs w:val="18"/>
                <w:color w:val="auto"/>
              </w:rPr>
            </w:pPr>
          </w:p>
        </w:tc>
        <w:tc>
          <w:tcPr>
            <w:tcW w:w="1140" w:type="dxa"/>
            <w:vAlign w:val="bottom"/>
            <w:shd w:val="clear" w:color="auto" w:fill="EAF9E8"/>
          </w:tcPr>
          <w:p>
            <w:pPr>
              <w:spacing w:after="0"/>
              <w:rPr>
                <w:sz w:val="18"/>
                <w:szCs w:val="18"/>
                <w:color w:val="auto"/>
              </w:rPr>
            </w:pPr>
          </w:p>
        </w:tc>
        <w:tc>
          <w:tcPr>
            <w:tcW w:w="36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12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90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86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760" w:type="dxa"/>
            <w:vAlign w:val="bottom"/>
          </w:tcPr>
          <w:p>
            <w:pPr>
              <w:ind w:left="140"/>
              <w:spacing w:after="0"/>
              <w:rPr>
                <w:sz w:val="20"/>
                <w:szCs w:val="20"/>
                <w:color w:val="auto"/>
              </w:rPr>
            </w:pPr>
            <w:r>
              <w:rPr>
                <w:rFonts w:ascii="Arial" w:cs="Arial" w:eastAsia="Arial" w:hAnsi="Arial"/>
                <w:sz w:val="18"/>
                <w:szCs w:val="18"/>
                <w:color w:val="auto"/>
              </w:rPr>
              <w:t>Revolving note</w:t>
            </w:r>
          </w:p>
        </w:tc>
        <w:tc>
          <w:tcPr>
            <w:tcW w:w="1720" w:type="dxa"/>
            <w:vAlign w:val="bottom"/>
          </w:tcPr>
          <w:p>
            <w:pPr>
              <w:jc w:val="center"/>
              <w:spacing w:after="0"/>
              <w:rPr>
                <w:sz w:val="20"/>
                <w:szCs w:val="20"/>
                <w:color w:val="auto"/>
              </w:rPr>
            </w:pPr>
            <w:r>
              <w:rPr>
                <w:rFonts w:ascii="Arial" w:cs="Arial" w:eastAsia="Arial" w:hAnsi="Arial"/>
                <w:sz w:val="18"/>
                <w:szCs w:val="18"/>
                <w:color w:val="auto"/>
                <w:w w:val="99"/>
              </w:rPr>
              <w:t>N/A</w:t>
            </w:r>
          </w:p>
        </w:tc>
        <w:tc>
          <w:tcPr>
            <w:tcW w:w="360" w:type="dxa"/>
            <w:vAlign w:val="bottom"/>
          </w:tcPr>
          <w:p>
            <w:pPr>
              <w:spacing w:after="0"/>
              <w:rPr>
                <w:sz w:val="19"/>
                <w:szCs w:val="19"/>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4"/>
              </w:rPr>
              <w:t>Jul. 2011</w:t>
            </w: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10,000</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10,000</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3780" w:type="dxa"/>
            <w:vAlign w:val="bottom"/>
            <w:gridSpan w:val="2"/>
          </w:tcPr>
          <w:p>
            <w:pPr>
              <w:spacing w:after="0"/>
              <w:rPr>
                <w:sz w:val="20"/>
                <w:szCs w:val="20"/>
                <w:color w:val="auto"/>
              </w:rPr>
            </w:pPr>
          </w:p>
        </w:tc>
        <w:tc>
          <w:tcPr>
            <w:tcW w:w="17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37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60" w:type="dxa"/>
            <w:vAlign w:val="bottom"/>
            <w:shd w:val="clear" w:color="auto" w:fill="EAF9E8"/>
          </w:tcPr>
          <w:p>
            <w:pPr>
              <w:spacing w:after="0"/>
              <w:rPr>
                <w:sz w:val="20"/>
                <w:szCs w:val="20"/>
                <w:color w:val="auto"/>
              </w:rPr>
            </w:pPr>
            <w:r>
              <w:rPr>
                <w:rFonts w:ascii="Arial" w:cs="Arial" w:eastAsia="Arial" w:hAnsi="Arial"/>
                <w:sz w:val="18"/>
                <w:szCs w:val="18"/>
                <w:color w:val="auto"/>
              </w:rPr>
              <w:t>Corporate Items and Other:</w:t>
            </w:r>
          </w:p>
        </w:tc>
        <w:tc>
          <w:tcPr>
            <w:tcW w:w="1720" w:type="dxa"/>
            <w:vAlign w:val="bottom"/>
            <w:shd w:val="clear" w:color="auto" w:fill="EAF9E8"/>
          </w:tcPr>
          <w:p>
            <w:pPr>
              <w:spacing w:after="0"/>
              <w:rPr>
                <w:sz w:val="18"/>
                <w:szCs w:val="18"/>
                <w:color w:val="auto"/>
              </w:rPr>
            </w:pPr>
          </w:p>
        </w:tc>
        <w:tc>
          <w:tcPr>
            <w:tcW w:w="360" w:type="dxa"/>
            <w:vAlign w:val="bottom"/>
            <w:shd w:val="clear" w:color="auto" w:fill="EAF9E8"/>
          </w:tcPr>
          <w:p>
            <w:pPr>
              <w:spacing w:after="0"/>
              <w:rPr>
                <w:sz w:val="18"/>
                <w:szCs w:val="18"/>
                <w:color w:val="auto"/>
              </w:rPr>
            </w:pPr>
          </w:p>
        </w:tc>
        <w:tc>
          <w:tcPr>
            <w:tcW w:w="1140" w:type="dxa"/>
            <w:vAlign w:val="bottom"/>
            <w:shd w:val="clear" w:color="auto" w:fill="EAF9E8"/>
          </w:tcPr>
          <w:p>
            <w:pPr>
              <w:spacing w:after="0"/>
              <w:rPr>
                <w:sz w:val="18"/>
                <w:szCs w:val="18"/>
                <w:color w:val="auto"/>
              </w:rPr>
            </w:pPr>
          </w:p>
        </w:tc>
        <w:tc>
          <w:tcPr>
            <w:tcW w:w="36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12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90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86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ind w:left="140"/>
              <w:spacing w:after="0"/>
              <w:rPr>
                <w:sz w:val="20"/>
                <w:szCs w:val="20"/>
                <w:color w:val="auto"/>
              </w:rPr>
            </w:pPr>
            <w:r>
              <w:rPr>
                <w:rFonts w:ascii="Arial" w:cs="Arial" w:eastAsia="Arial" w:hAnsi="Arial"/>
                <w:sz w:val="18"/>
                <w:szCs w:val="18"/>
                <w:color w:val="auto"/>
              </w:rPr>
              <w:t>Convertible notes</w:t>
            </w:r>
          </w:p>
        </w:tc>
        <w:tc>
          <w:tcPr>
            <w:tcW w:w="1720" w:type="dxa"/>
            <w:vAlign w:val="bottom"/>
          </w:tcPr>
          <w:p>
            <w:pPr>
              <w:jc w:val="center"/>
              <w:spacing w:after="0"/>
              <w:rPr>
                <w:sz w:val="20"/>
                <w:szCs w:val="20"/>
                <w:color w:val="auto"/>
              </w:rPr>
            </w:pPr>
            <w:r>
              <w:rPr>
                <w:rFonts w:ascii="Arial" w:cs="Arial" w:eastAsia="Arial" w:hAnsi="Arial"/>
                <w:sz w:val="18"/>
                <w:szCs w:val="18"/>
                <w:color w:val="auto"/>
                <w:w w:val="99"/>
              </w:rPr>
              <w:t>N/A</w:t>
            </w:r>
          </w:p>
        </w:tc>
        <w:tc>
          <w:tcPr>
            <w:tcW w:w="36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Aug. 2024</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55,464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EAF9E8"/>
          </w:tcPr>
          <w:p>
            <w:pPr>
              <w:ind w:left="140"/>
              <w:spacing w:after="0"/>
              <w:rPr>
                <w:sz w:val="20"/>
                <w:szCs w:val="20"/>
                <w:color w:val="auto"/>
              </w:rPr>
            </w:pPr>
            <w:r>
              <w:rPr>
                <w:rFonts w:ascii="Arial" w:cs="Arial" w:eastAsia="Arial" w:hAnsi="Arial"/>
                <w:sz w:val="18"/>
                <w:szCs w:val="18"/>
                <w:color w:val="auto"/>
              </w:rPr>
              <w:t>Capital securities</w:t>
            </w:r>
          </w:p>
        </w:tc>
        <w:tc>
          <w:tcPr>
            <w:tcW w:w="1720" w:type="dxa"/>
            <w:vAlign w:val="bottom"/>
            <w:shd w:val="clear" w:color="auto" w:fill="EAF9E8"/>
          </w:tcPr>
          <w:p>
            <w:pPr>
              <w:jc w:val="center"/>
              <w:spacing w:after="0"/>
              <w:rPr>
                <w:sz w:val="20"/>
                <w:szCs w:val="20"/>
                <w:color w:val="auto"/>
              </w:rPr>
            </w:pPr>
            <w:r>
              <w:rPr>
                <w:rFonts w:ascii="Arial" w:cs="Arial" w:eastAsia="Arial" w:hAnsi="Arial"/>
                <w:sz w:val="18"/>
                <w:szCs w:val="18"/>
                <w:color w:val="auto"/>
                <w:w w:val="99"/>
              </w:rPr>
              <w:t>N/A</w:t>
            </w:r>
          </w:p>
        </w:tc>
        <w:tc>
          <w:tcPr>
            <w:tcW w:w="360" w:type="dxa"/>
            <w:vAlign w:val="bottom"/>
            <w:shd w:val="clear" w:color="auto" w:fill="EAF9E8"/>
          </w:tcPr>
          <w:p>
            <w:pPr>
              <w:spacing w:after="0"/>
              <w:rPr>
                <w:sz w:val="18"/>
                <w:szCs w:val="18"/>
                <w:color w:val="auto"/>
              </w:rPr>
            </w:pPr>
          </w:p>
        </w:tc>
        <w:tc>
          <w:tcPr>
            <w:tcW w:w="1140" w:type="dxa"/>
            <w:vAlign w:val="bottom"/>
            <w:shd w:val="clear" w:color="auto" w:fill="EAF9E8"/>
          </w:tcPr>
          <w:p>
            <w:pPr>
              <w:jc w:val="center"/>
              <w:spacing w:after="0"/>
              <w:rPr>
                <w:sz w:val="20"/>
                <w:szCs w:val="20"/>
                <w:color w:val="auto"/>
              </w:rPr>
            </w:pPr>
            <w:r>
              <w:rPr>
                <w:rFonts w:ascii="Arial" w:cs="Arial" w:eastAsia="Arial" w:hAnsi="Arial"/>
                <w:sz w:val="18"/>
                <w:szCs w:val="18"/>
                <w:color w:val="auto"/>
                <w:w w:val="90"/>
              </w:rPr>
              <w:t>Aug. 2027</w:t>
            </w:r>
          </w:p>
        </w:tc>
        <w:tc>
          <w:tcPr>
            <w:tcW w:w="36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1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08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96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53,379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76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gridSpan w:val="2"/>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gridSpan w:val="2"/>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108,843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780" w:type="dxa"/>
            <w:vAlign w:val="bottom"/>
            <w:gridSpan w:val="2"/>
          </w:tcPr>
          <w:p>
            <w:pPr>
              <w:spacing w:after="0"/>
              <w:rPr>
                <w:sz w:val="20"/>
                <w:szCs w:val="20"/>
                <w:color w:val="auto"/>
              </w:rPr>
            </w:pPr>
          </w:p>
        </w:tc>
        <w:tc>
          <w:tcPr>
            <w:tcW w:w="17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2"/>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60" w:type="dxa"/>
            <w:vAlign w:val="bottom"/>
            <w:shd w:val="clear" w:color="auto" w:fill="EAF9E8"/>
          </w:tcPr>
          <w:p>
            <w:pPr>
              <w:spacing w:after="0"/>
              <w:rPr>
                <w:sz w:val="20"/>
                <w:szCs w:val="20"/>
                <w:color w:val="auto"/>
              </w:rPr>
            </w:pPr>
            <w:r>
              <w:rPr>
                <w:rFonts w:ascii="Arial" w:cs="Arial" w:eastAsia="Arial" w:hAnsi="Arial"/>
                <w:sz w:val="18"/>
                <w:szCs w:val="18"/>
                <w:color w:val="auto"/>
              </w:rPr>
              <w:t>Total borrowings</w:t>
            </w:r>
          </w:p>
        </w:tc>
        <w:tc>
          <w:tcPr>
            <w:tcW w:w="1720" w:type="dxa"/>
            <w:vAlign w:val="bottom"/>
            <w:shd w:val="clear" w:color="auto" w:fill="EAF9E8"/>
          </w:tcPr>
          <w:p>
            <w:pPr>
              <w:spacing w:after="0"/>
              <w:rPr>
                <w:sz w:val="18"/>
                <w:szCs w:val="18"/>
                <w:color w:val="auto"/>
              </w:rPr>
            </w:pPr>
          </w:p>
        </w:tc>
        <w:tc>
          <w:tcPr>
            <w:tcW w:w="360" w:type="dxa"/>
            <w:vAlign w:val="bottom"/>
            <w:shd w:val="clear" w:color="auto" w:fill="EAF9E8"/>
          </w:tcPr>
          <w:p>
            <w:pPr>
              <w:spacing w:after="0"/>
              <w:rPr>
                <w:sz w:val="18"/>
                <w:szCs w:val="18"/>
                <w:color w:val="auto"/>
              </w:rPr>
            </w:pPr>
          </w:p>
        </w:tc>
        <w:tc>
          <w:tcPr>
            <w:tcW w:w="1140" w:type="dxa"/>
            <w:vAlign w:val="bottom"/>
            <w:shd w:val="clear" w:color="auto" w:fill="EAF9E8"/>
          </w:tcPr>
          <w:p>
            <w:pPr>
              <w:spacing w:after="0"/>
              <w:rPr>
                <w:sz w:val="18"/>
                <w:szCs w:val="18"/>
                <w:color w:val="auto"/>
              </w:rPr>
            </w:pPr>
          </w:p>
        </w:tc>
        <w:tc>
          <w:tcPr>
            <w:tcW w:w="360" w:type="dxa"/>
            <w:vAlign w:val="bottom"/>
            <w:shd w:val="clear" w:color="auto" w:fill="EAF9E8"/>
          </w:tcPr>
          <w:p>
            <w:pPr>
              <w:spacing w:after="0"/>
              <w:rPr>
                <w:sz w:val="18"/>
                <w:szCs w:val="18"/>
                <w:color w:val="auto"/>
              </w:rPr>
            </w:pPr>
          </w:p>
        </w:tc>
        <w:tc>
          <w:tcPr>
            <w:tcW w:w="140" w:type="dxa"/>
            <w:vAlign w:val="bottom"/>
            <w:tcBorders>
              <w:top w:val="single" w:sz="8" w:color="auto"/>
            </w:tcBorders>
            <w:shd w:val="clear" w:color="auto" w:fill="EAF9E8"/>
          </w:tcPr>
          <w:p>
            <w:pPr>
              <w:spacing w:after="0"/>
              <w:rPr>
                <w:sz w:val="18"/>
                <w:szCs w:val="18"/>
                <w:color w:val="auto"/>
              </w:rPr>
            </w:pPr>
          </w:p>
        </w:tc>
        <w:tc>
          <w:tcPr>
            <w:tcW w:w="112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1,369,065</w:t>
            </w:r>
          </w:p>
        </w:tc>
        <w:tc>
          <w:tcPr>
            <w:tcW w:w="320" w:type="dxa"/>
            <w:vAlign w:val="bottom"/>
            <w:shd w:val="clear" w:color="auto" w:fill="EAF9E8"/>
          </w:tcPr>
          <w:p>
            <w:pPr>
              <w:spacing w:after="0"/>
              <w:rPr>
                <w:sz w:val="18"/>
                <w:szCs w:val="18"/>
                <w:color w:val="auto"/>
              </w:rPr>
            </w:pPr>
          </w:p>
        </w:tc>
        <w:tc>
          <w:tcPr>
            <w:tcW w:w="120" w:type="dxa"/>
            <w:vAlign w:val="bottom"/>
            <w:tcBorders>
              <w:top w:val="single" w:sz="8" w:color="auto"/>
            </w:tcBorders>
            <w:shd w:val="clear" w:color="auto" w:fill="EAF9E8"/>
          </w:tcPr>
          <w:p>
            <w:pPr>
              <w:spacing w:after="0"/>
              <w:rPr>
                <w:sz w:val="18"/>
                <w:szCs w:val="18"/>
                <w:color w:val="auto"/>
              </w:rPr>
            </w:pPr>
          </w:p>
        </w:tc>
        <w:tc>
          <w:tcPr>
            <w:tcW w:w="90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438,690</w:t>
            </w:r>
          </w:p>
        </w:tc>
        <w:tc>
          <w:tcPr>
            <w:tcW w:w="18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60" w:type="dxa"/>
            <w:vAlign w:val="bottom"/>
            <w:tcBorders>
              <w:top w:val="single" w:sz="8" w:color="auto"/>
            </w:tcBorders>
            <w:shd w:val="clear" w:color="auto" w:fill="EAF9E8"/>
          </w:tcPr>
          <w:p>
            <w:pPr>
              <w:spacing w:after="0"/>
              <w:rPr>
                <w:sz w:val="18"/>
                <w:szCs w:val="18"/>
                <w:color w:val="auto"/>
              </w:rPr>
            </w:pPr>
          </w:p>
        </w:tc>
        <w:tc>
          <w:tcPr>
            <w:tcW w:w="86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1,039,218</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Basis adjustment (2)</w:t>
            </w:r>
          </w:p>
        </w:tc>
        <w:tc>
          <w:tcPr>
            <w:tcW w:w="17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3,990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00" w:type="dxa"/>
            <w:vAlign w:val="bottom"/>
            <w:gridSpan w:val="2"/>
          </w:tcPr>
          <w:p>
            <w:pPr>
              <w:spacing w:after="0"/>
              <w:rPr>
                <w:sz w:val="20"/>
                <w:szCs w:val="20"/>
                <w:color w:val="auto"/>
              </w:rPr>
            </w:pPr>
          </w:p>
        </w:tc>
        <w:tc>
          <w:tcPr>
            <w:tcW w:w="1120" w:type="dxa"/>
            <w:vAlign w:val="bottom"/>
          </w:tcPr>
          <w:p>
            <w:pPr>
              <w:spacing w:after="0"/>
              <w:rPr>
                <w:sz w:val="20"/>
                <w:szCs w:val="20"/>
                <w:color w:val="auto"/>
              </w:rPr>
            </w:pPr>
          </w:p>
        </w:tc>
        <w:tc>
          <w:tcPr>
            <w:tcW w:w="440" w:type="dxa"/>
            <w:vAlign w:val="bottom"/>
            <w:gridSpan w:val="2"/>
          </w:tcPr>
          <w:p>
            <w:pPr>
              <w:spacing w:after="0"/>
              <w:rPr>
                <w:sz w:val="20"/>
                <w:szCs w:val="20"/>
                <w:color w:val="auto"/>
              </w:rPr>
            </w:pPr>
          </w:p>
        </w:tc>
        <w:tc>
          <w:tcPr>
            <w:tcW w:w="1080" w:type="dxa"/>
            <w:vAlign w:val="bottom"/>
            <w:gridSpan w:val="2"/>
          </w:tcPr>
          <w:p>
            <w:pPr>
              <w:spacing w:after="0"/>
              <w:rPr>
                <w:sz w:val="20"/>
                <w:szCs w:val="20"/>
                <w:color w:val="auto"/>
              </w:rPr>
            </w:pPr>
          </w:p>
        </w:tc>
        <w:tc>
          <w:tcPr>
            <w:tcW w:w="320" w:type="dxa"/>
            <w:vAlign w:val="bottom"/>
            <w:gridSpan w:val="2"/>
          </w:tcPr>
          <w:p>
            <w:pPr>
              <w:spacing w:after="0"/>
              <w:rPr>
                <w:sz w:val="20"/>
                <w:szCs w:val="20"/>
                <w:color w:val="auto"/>
              </w:rPr>
            </w:pPr>
          </w:p>
        </w:tc>
        <w:tc>
          <w:tcPr>
            <w:tcW w:w="96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60" w:type="dxa"/>
            <w:vAlign w:val="bottom"/>
            <w:shd w:val="clear" w:color="auto" w:fill="EAF9E8"/>
          </w:tcPr>
          <w:p>
            <w:pPr>
              <w:spacing w:after="0"/>
              <w:rPr>
                <w:sz w:val="18"/>
                <w:szCs w:val="18"/>
                <w:color w:val="auto"/>
              </w:rPr>
            </w:pPr>
          </w:p>
        </w:tc>
        <w:tc>
          <w:tcPr>
            <w:tcW w:w="1720" w:type="dxa"/>
            <w:vAlign w:val="bottom"/>
            <w:shd w:val="clear" w:color="auto" w:fill="EAF9E8"/>
          </w:tcPr>
          <w:p>
            <w:pPr>
              <w:spacing w:after="0"/>
              <w:rPr>
                <w:sz w:val="18"/>
                <w:szCs w:val="18"/>
                <w:color w:val="auto"/>
              </w:rPr>
            </w:pPr>
          </w:p>
        </w:tc>
        <w:tc>
          <w:tcPr>
            <w:tcW w:w="360" w:type="dxa"/>
            <w:vAlign w:val="bottom"/>
            <w:shd w:val="clear" w:color="auto" w:fill="EAF9E8"/>
          </w:tcPr>
          <w:p>
            <w:pPr>
              <w:spacing w:after="0"/>
              <w:rPr>
                <w:sz w:val="18"/>
                <w:szCs w:val="18"/>
                <w:color w:val="auto"/>
              </w:rPr>
            </w:pPr>
          </w:p>
        </w:tc>
        <w:tc>
          <w:tcPr>
            <w:tcW w:w="1140" w:type="dxa"/>
            <w:vAlign w:val="bottom"/>
            <w:shd w:val="clear" w:color="auto" w:fill="EAF9E8"/>
          </w:tcPr>
          <w:p>
            <w:pPr>
              <w:spacing w:after="0"/>
              <w:rPr>
                <w:sz w:val="18"/>
                <w:szCs w:val="18"/>
                <w:color w:val="auto"/>
              </w:rPr>
            </w:pPr>
          </w:p>
        </w:tc>
        <w:tc>
          <w:tcPr>
            <w:tcW w:w="360" w:type="dxa"/>
            <w:vAlign w:val="bottom"/>
            <w:shd w:val="clear" w:color="auto" w:fill="EAF9E8"/>
          </w:tcPr>
          <w:p>
            <w:pPr>
              <w:spacing w:after="0"/>
              <w:rPr>
                <w:sz w:val="18"/>
                <w:szCs w:val="18"/>
                <w:color w:val="auto"/>
              </w:rPr>
            </w:pPr>
          </w:p>
        </w:tc>
        <w:tc>
          <w:tcPr>
            <w:tcW w:w="14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1,369,065</w:t>
            </w:r>
          </w:p>
        </w:tc>
        <w:tc>
          <w:tcPr>
            <w:tcW w:w="320" w:type="dxa"/>
            <w:vAlign w:val="bottom"/>
            <w:shd w:val="clear" w:color="auto" w:fill="EAF9E8"/>
          </w:tcPr>
          <w:p>
            <w:pPr>
              <w:spacing w:after="0"/>
              <w:rPr>
                <w:sz w:val="18"/>
                <w:szCs w:val="18"/>
                <w:color w:val="auto"/>
              </w:rPr>
            </w:pPr>
          </w:p>
        </w:tc>
        <w:tc>
          <w:tcPr>
            <w:tcW w:w="12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438,690</w:t>
            </w:r>
          </w:p>
        </w:tc>
        <w:tc>
          <w:tcPr>
            <w:tcW w:w="18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6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1,043,208</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76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3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jc w:val="both"/>
        <w:ind w:left="580" w:hanging="572"/>
        <w:spacing w:after="0" w:line="255" w:lineRule="auto"/>
        <w:tabs>
          <w:tab w:leader="none" w:pos="5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Unused borrowing capacity is available for use only to the extent that there are assets that have been pledged as collateral to a facility but against which no funds have been drawn. With respect to our match funded facilities, all eligible advances had been pledged to a facility at March 31, 2009. As a result, none of our available borrowing capacity was readily available because we had no additional assets pledged as collateral but not drawn under our facilities. With respect to the revolving note, at March 31, 2009, we had $4,096 of available borrowing capacity based on the amount of eligible collateral that was available.</w:t>
      </w:r>
    </w:p>
    <w:p>
      <w:pPr>
        <w:sectPr>
          <w:pgSz w:w="11900" w:h="16838" w:orient="portrait"/>
          <w:cols w:equalWidth="0" w:num="1">
            <w:col w:w="11420"/>
          </w:cols>
          <w:pgMar w:left="240" w:top="131" w:right="239" w:bottom="252"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67575"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31" w:right="239" w:bottom="252" w:gutter="0" w:footer="0" w:header="0"/>
          <w:type w:val="continuous"/>
        </w:sectPr>
      </w:pPr>
    </w:p>
    <w:bookmarkStart w:id="56" w:name="page57"/>
    <w:bookmarkEnd w:id="56"/>
    <w:p>
      <w:pPr>
        <w:jc w:val="both"/>
        <w:ind w:left="580" w:hanging="572"/>
        <w:spacing w:after="0" w:line="253" w:lineRule="auto"/>
        <w:tabs>
          <w:tab w:leader="none" w:pos="5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$165,000 fixed-rate term note issued in 2006 was carried on the balance sheet at fair value as the result of a designated fair value hedging relationship that we established through the use of an interest rate swap. We terminated the related interest rate swap in February 2008 and began amortizing the basis adjustment to interest expense over the remaining term of the note.</w:t>
      </w:r>
    </w:p>
    <w:p>
      <w:pPr>
        <w:ind w:left="580" w:hanging="572"/>
        <w:spacing w:after="0"/>
        <w:tabs>
          <w:tab w:leader="none" w:pos="5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 January 2009, we renewed this facility early and extended the amortization date to January 2010.</w:t>
      </w:r>
    </w:p>
    <w:p>
      <w:pPr>
        <w:spacing w:after="0" w:line="9" w:lineRule="exact"/>
        <w:rPr>
          <w:rFonts w:ascii="Arial" w:cs="Arial" w:eastAsia="Arial" w:hAnsi="Arial"/>
          <w:sz w:val="18"/>
          <w:szCs w:val="18"/>
          <w:color w:val="auto"/>
        </w:rPr>
      </w:pPr>
    </w:p>
    <w:p>
      <w:pPr>
        <w:ind w:left="580" w:hanging="572"/>
        <w:spacing w:after="0" w:line="250" w:lineRule="auto"/>
        <w:tabs>
          <w:tab w:leader="none" w:pos="5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 April 2009, the lender agreed to extend the amortization date for this facility to May 16, 2009. On May 5, 2009, we negotiated an increase in the borrowing capacity under this facility to $500,000 and extended the amortization date by one year to May 4, 2010.</w:t>
      </w:r>
    </w:p>
    <w:p>
      <w:pPr>
        <w:ind w:left="580" w:right="20" w:hanging="572"/>
        <w:spacing w:after="0" w:line="250" w:lineRule="auto"/>
        <w:tabs>
          <w:tab w:leader="none" w:pos="5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This facility contained the option of an 18-month term note to finance MSRs. Upon conversion to a term note, we repaid all borrowings under this facility that were secured by advances and moved the collateral to other, match funded advance facilities.</w:t>
      </w:r>
    </w:p>
    <w:p>
      <w:pPr>
        <w:jc w:val="both"/>
        <w:ind w:left="580" w:hanging="572"/>
        <w:spacing w:after="0" w:line="255" w:lineRule="auto"/>
        <w:tabs>
          <w:tab w:leader="none" w:pos="5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advance is payable annually in five installments of $12,000. The advance does not carry a stated rate of interest. However, we are compensating the lender for the advance of funds by forgoing payment of fees due from the lender over the five-year term of the advance. Accordingly, the advance has been recorded as a zero-coupon bond issued at an implied discount of $14,627.</w:t>
      </w:r>
    </w:p>
    <w:p>
      <w:pPr>
        <w:spacing w:after="0" w:line="198" w:lineRule="exact"/>
        <w:rPr>
          <w:sz w:val="20"/>
          <w:szCs w:val="20"/>
          <w:color w:val="auto"/>
        </w:rPr>
      </w:pPr>
    </w:p>
    <w:p>
      <w:pPr>
        <w:ind w:left="440"/>
        <w:spacing w:after="0"/>
        <w:rPr>
          <w:sz w:val="20"/>
          <w:szCs w:val="20"/>
          <w:color w:val="auto"/>
        </w:rPr>
      </w:pPr>
      <w:r>
        <w:rPr>
          <w:rFonts w:ascii="Arial" w:cs="Arial" w:eastAsia="Arial" w:hAnsi="Arial"/>
          <w:sz w:val="16"/>
          <w:szCs w:val="16"/>
          <w:color w:val="auto"/>
        </w:rPr>
        <w:t>Certain of our credit facilities require that we maintain minimum liquidity levels or borrowing capacity, and we are in compliance with these requirements.</w:t>
      </w:r>
    </w:p>
    <w:p>
      <w:pPr>
        <w:spacing w:after="0" w:line="248" w:lineRule="exact"/>
        <w:rPr>
          <w:sz w:val="20"/>
          <w:szCs w:val="20"/>
          <w:color w:val="auto"/>
        </w:rPr>
      </w:pPr>
    </w:p>
    <w:p>
      <w:pPr>
        <w:jc w:val="both"/>
        <w:ind w:firstLine="491"/>
        <w:spacing w:after="0" w:line="332" w:lineRule="auto"/>
        <w:rPr>
          <w:sz w:val="20"/>
          <w:szCs w:val="20"/>
          <w:color w:val="auto"/>
        </w:rPr>
      </w:pPr>
      <w:r>
        <w:rPr>
          <w:rFonts w:ascii="Arial" w:cs="Arial" w:eastAsia="Arial" w:hAnsi="Arial"/>
          <w:sz w:val="16"/>
          <w:szCs w:val="16"/>
          <w:color w:val="auto"/>
        </w:rPr>
        <w:t>We had an aggregate balance of $404,197 outstanding at March 31, 2009 (excluding the advance facility renewed subsequent to quarter end) under match funded financing facilities that are scheduled to enter their amortization period or reach their maturity date during the next twelve months.</w:t>
      </w:r>
    </w:p>
    <w:p>
      <w:pPr>
        <w:spacing w:after="0" w:line="139" w:lineRule="exact"/>
        <w:rPr>
          <w:sz w:val="20"/>
          <w:szCs w:val="20"/>
          <w:color w:val="auto"/>
        </w:rPr>
      </w:pPr>
    </w:p>
    <w:p>
      <w:pPr>
        <w:jc w:val="both"/>
        <w:ind w:firstLine="443"/>
        <w:spacing w:after="0" w:line="291" w:lineRule="auto"/>
        <w:rPr>
          <w:sz w:val="20"/>
          <w:szCs w:val="20"/>
          <w:color w:val="auto"/>
        </w:rPr>
      </w:pPr>
      <w:r>
        <w:rPr>
          <w:rFonts w:ascii="Arial" w:cs="Arial" w:eastAsia="Arial" w:hAnsi="Arial"/>
          <w:sz w:val="16"/>
          <w:szCs w:val="16"/>
          <w:color w:val="auto"/>
        </w:rPr>
        <w:t>Even with the expectation that advance balances will decline into the future, we will continue to pursue additional advance financing to increase our margin of safety and to provide the flexibility to acquire new servicing business. However, if advances do not continue to decline and the credit markets do not improve, we may need to increase our advance financing capacity at a cost that is significantly higher than under our current advance facilities. We will continue to work closely with current and prospective lenders as we monitor our operating results, financing capacity requirements and terms for advance funding available in the market. We are poised to take advantage of opportunities to increase financing at a reasonable cost or to act aggressively to ensure adequate liquidity if additional financing is needed and credit markets remain challenged.</w:t>
      </w:r>
    </w:p>
    <w:p>
      <w:pPr>
        <w:spacing w:after="0" w:line="17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have the following potential uses of cash:</w:t>
      </w:r>
    </w:p>
    <w:p>
      <w:pPr>
        <w:spacing w:after="0" w:line="239" w:lineRule="exact"/>
        <w:rPr>
          <w:sz w:val="20"/>
          <w:szCs w:val="20"/>
          <w:color w:val="auto"/>
        </w:rPr>
      </w:pPr>
    </w:p>
    <w:p>
      <w:pPr>
        <w:ind w:left="1160" w:hanging="571"/>
        <w:spacing w:after="0"/>
        <w:tabs>
          <w:tab w:leader="none" w:pos="11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Cash requirements to fund advances and the cash needs of our existing operations;</w:t>
      </w:r>
    </w:p>
    <w:p>
      <w:pPr>
        <w:spacing w:after="0" w:line="15" w:lineRule="exact"/>
        <w:rPr>
          <w:rFonts w:ascii="Arial" w:cs="Arial" w:eastAsia="Arial" w:hAnsi="Arial"/>
          <w:sz w:val="18"/>
          <w:szCs w:val="18"/>
          <w:color w:val="auto"/>
        </w:rPr>
      </w:pPr>
    </w:p>
    <w:p>
      <w:pPr>
        <w:ind w:left="1160" w:hanging="571"/>
        <w:spacing w:after="0"/>
        <w:tabs>
          <w:tab w:leader="none" w:pos="11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Commitment to invest up to an additional $33,902 in ONL and affiliates;</w:t>
      </w:r>
    </w:p>
    <w:p>
      <w:pPr>
        <w:spacing w:after="0" w:line="9" w:lineRule="exact"/>
        <w:rPr>
          <w:rFonts w:ascii="Arial" w:cs="Arial" w:eastAsia="Arial" w:hAnsi="Arial"/>
          <w:sz w:val="18"/>
          <w:szCs w:val="18"/>
          <w:color w:val="auto"/>
        </w:rPr>
      </w:pPr>
    </w:p>
    <w:p>
      <w:pPr>
        <w:ind w:left="1160" w:hanging="571"/>
        <w:spacing w:after="0"/>
        <w:tabs>
          <w:tab w:leader="none" w:pos="11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Retirement of our 3.25% Convertible Notes;</w:t>
      </w:r>
    </w:p>
    <w:p>
      <w:pPr>
        <w:spacing w:after="0" w:line="9" w:lineRule="exact"/>
        <w:rPr>
          <w:rFonts w:ascii="Arial" w:cs="Arial" w:eastAsia="Arial" w:hAnsi="Arial"/>
          <w:sz w:val="18"/>
          <w:szCs w:val="18"/>
          <w:color w:val="auto"/>
        </w:rPr>
      </w:pPr>
    </w:p>
    <w:p>
      <w:pPr>
        <w:ind w:left="1160" w:hanging="571"/>
        <w:spacing w:after="0" w:line="250" w:lineRule="auto"/>
        <w:tabs>
          <w:tab w:leader="none" w:pos="11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Repayment of the balance of the term note which finances our MSRs in the amount of $6,999 per month or more if necessary such that the borrowing balance does not exceed 65% of the appraised value; and</w:t>
      </w:r>
    </w:p>
    <w:p>
      <w:pPr>
        <w:ind w:left="1160" w:hanging="571"/>
        <w:spacing w:after="0"/>
        <w:tabs>
          <w:tab w:leader="none" w:pos="11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Repayment of advance borrowing should the advance rate decline or the collateral become ineligible.</w:t>
      </w:r>
    </w:p>
    <w:p>
      <w:pPr>
        <w:spacing w:after="0" w:line="219" w:lineRule="exact"/>
        <w:rPr>
          <w:sz w:val="20"/>
          <w:szCs w:val="20"/>
          <w:color w:val="auto"/>
        </w:rPr>
      </w:pPr>
    </w:p>
    <w:p>
      <w:pPr>
        <w:ind w:right="240" w:firstLine="436"/>
        <w:spacing w:after="0" w:line="268" w:lineRule="auto"/>
        <w:rPr>
          <w:sz w:val="20"/>
          <w:szCs w:val="20"/>
          <w:color w:val="auto"/>
        </w:rPr>
      </w:pPr>
      <w:r>
        <w:rPr>
          <w:rFonts w:ascii="Arial" w:cs="Arial" w:eastAsia="Arial" w:hAnsi="Arial"/>
          <w:sz w:val="18"/>
          <w:szCs w:val="18"/>
          <w:color w:val="auto"/>
        </w:rPr>
        <w:t>We may also evaluate the retirement of our 10.875% Capital Trust Securities. Regarding our investment in BMS Holdings, we are under no obligation to provide additional funding.</w:t>
      </w:r>
    </w:p>
    <w:p>
      <w:pPr>
        <w:spacing w:after="0" w:line="18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Cash totaled $158,855 at March 31, 2009.</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Significant uses of funds during the first quarter of 2009 included the following:</w:t>
      </w:r>
    </w:p>
    <w:p>
      <w:pPr>
        <w:spacing w:after="0" w:line="239" w:lineRule="exact"/>
        <w:rPr>
          <w:sz w:val="20"/>
          <w:szCs w:val="20"/>
          <w:color w:val="auto"/>
        </w:rPr>
      </w:pPr>
    </w:p>
    <w:p>
      <w:pPr>
        <w:ind w:left="1160" w:hanging="571"/>
        <w:spacing w:after="0"/>
        <w:tabs>
          <w:tab w:leader="none" w:pos="11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Net repayments under match funded advance financing facilities of $170,797;</w:t>
      </w:r>
    </w:p>
    <w:p>
      <w:pPr>
        <w:spacing w:after="0" w:line="15" w:lineRule="exact"/>
        <w:rPr>
          <w:rFonts w:ascii="Arial" w:cs="Arial" w:eastAsia="Arial" w:hAnsi="Arial"/>
          <w:sz w:val="18"/>
          <w:szCs w:val="18"/>
          <w:color w:val="auto"/>
        </w:rPr>
      </w:pPr>
    </w:p>
    <w:p>
      <w:pPr>
        <w:ind w:left="1160" w:hanging="571"/>
        <w:spacing w:after="0"/>
        <w:tabs>
          <w:tab w:leader="none" w:pos="11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Repayments on Investment Line term note of $14,151;</w:t>
      </w:r>
    </w:p>
    <w:p>
      <w:pPr>
        <w:spacing w:after="0" w:line="9" w:lineRule="exact"/>
        <w:rPr>
          <w:rFonts w:ascii="Arial" w:cs="Arial" w:eastAsia="Arial" w:hAnsi="Arial"/>
          <w:sz w:val="18"/>
          <w:szCs w:val="18"/>
          <w:color w:val="auto"/>
        </w:rPr>
      </w:pPr>
    </w:p>
    <w:p>
      <w:pPr>
        <w:ind w:left="1160" w:hanging="571"/>
        <w:spacing w:after="0"/>
        <w:tabs>
          <w:tab w:leader="none" w:pos="11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Reduction in servicer liabilities of $45,386;</w:t>
      </w:r>
    </w:p>
    <w:p>
      <w:pPr>
        <w:spacing w:after="0" w:line="9" w:lineRule="exact"/>
        <w:rPr>
          <w:rFonts w:ascii="Arial" w:cs="Arial" w:eastAsia="Arial" w:hAnsi="Arial"/>
          <w:sz w:val="18"/>
          <w:szCs w:val="18"/>
          <w:color w:val="auto"/>
        </w:rPr>
      </w:pPr>
    </w:p>
    <w:p>
      <w:pPr>
        <w:ind w:left="1160" w:hanging="571"/>
        <w:spacing w:after="0"/>
        <w:tabs>
          <w:tab w:leader="none" w:pos="11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Reduction in the MSR term note of $20,997;</w:t>
      </w:r>
    </w:p>
    <w:p>
      <w:pPr>
        <w:spacing w:after="0" w:line="9" w:lineRule="exact"/>
        <w:rPr>
          <w:rFonts w:ascii="Arial" w:cs="Arial" w:eastAsia="Arial" w:hAnsi="Arial"/>
          <w:sz w:val="18"/>
          <w:szCs w:val="18"/>
          <w:color w:val="auto"/>
        </w:rPr>
      </w:pPr>
    </w:p>
    <w:p>
      <w:pPr>
        <w:ind w:left="1160" w:hanging="571"/>
        <w:spacing w:after="0"/>
        <w:tabs>
          <w:tab w:leader="none" w:pos="11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Repurchase of $25,910 face amount of our 3.25% Convertible Notes for $24,602; and</w:t>
      </w:r>
    </w:p>
    <w:p>
      <w:pPr>
        <w:spacing w:after="0" w:line="9" w:lineRule="exact"/>
        <w:rPr>
          <w:rFonts w:ascii="Arial" w:cs="Arial" w:eastAsia="Arial" w:hAnsi="Arial"/>
          <w:sz w:val="18"/>
          <w:szCs w:val="18"/>
          <w:color w:val="auto"/>
        </w:rPr>
      </w:pPr>
    </w:p>
    <w:p>
      <w:pPr>
        <w:ind w:left="1160" w:hanging="571"/>
        <w:spacing w:after="0"/>
        <w:tabs>
          <w:tab w:leader="none" w:pos="11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Purchases of MSRs of $10,241.</w:t>
      </w:r>
    </w:p>
    <w:p>
      <w:pPr>
        <w:spacing w:after="0" w:line="21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Significant sources of funds during the first quarter of 2009 included the following:</w:t>
      </w:r>
    </w:p>
    <w:p>
      <w:pPr>
        <w:spacing w:after="0" w:line="59" w:lineRule="exact"/>
        <w:rPr>
          <w:sz w:val="20"/>
          <w:szCs w:val="20"/>
          <w:color w:val="auto"/>
        </w:rPr>
      </w:pPr>
    </w:p>
    <w:p>
      <w:pPr>
        <w:ind w:left="1160" w:hanging="571"/>
        <w:spacing w:after="0"/>
        <w:tabs>
          <w:tab w:leader="none" w:pos="1160" w:val="left"/>
        </w:tabs>
        <w:numPr>
          <w:ilvl w:val="0"/>
          <w:numId w:val="42"/>
        </w:numPr>
        <w:rPr>
          <w:rFonts w:ascii="Arial" w:cs="Arial" w:eastAsia="Arial" w:hAnsi="Arial"/>
          <w:sz w:val="35"/>
          <w:szCs w:val="35"/>
          <w:color w:val="auto"/>
          <w:vertAlign w:val="superscript"/>
        </w:rPr>
      </w:pPr>
      <w:r>
        <w:rPr>
          <w:rFonts w:ascii="Arial" w:cs="Arial" w:eastAsia="Arial" w:hAnsi="Arial"/>
          <w:sz w:val="18"/>
          <w:szCs w:val="18"/>
          <w:color w:val="auto"/>
        </w:rPr>
        <w:t>$41,822 of net proceeds from lines of credit and other secured borrowings, including $67,000 under two new facilities;</w:t>
      </w:r>
    </w:p>
    <w:p>
      <w:pPr>
        <w:spacing w:after="0" w:line="7" w:lineRule="exact"/>
        <w:rPr>
          <w:rFonts w:ascii="Arial" w:cs="Arial" w:eastAsia="Arial" w:hAnsi="Arial"/>
          <w:sz w:val="35"/>
          <w:szCs w:val="35"/>
          <w:color w:val="auto"/>
          <w:vertAlign w:val="superscript"/>
        </w:rPr>
      </w:pPr>
    </w:p>
    <w:p>
      <w:pPr>
        <w:ind w:left="1160" w:hanging="571"/>
        <w:spacing w:after="0"/>
        <w:tabs>
          <w:tab w:leader="none" w:pos="11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Cash flows from operating activities, including net cash collections on advances and match funded advances of $148,509; and</w:t>
      </w:r>
    </w:p>
    <w:p>
      <w:pPr>
        <w:spacing w:after="0" w:line="1" w:lineRule="exact"/>
        <w:rPr>
          <w:rFonts w:ascii="Arial" w:cs="Arial" w:eastAsia="Arial" w:hAnsi="Arial"/>
          <w:sz w:val="18"/>
          <w:szCs w:val="18"/>
          <w:color w:val="auto"/>
        </w:rPr>
      </w:pPr>
    </w:p>
    <w:p>
      <w:pPr>
        <w:ind w:left="1160" w:hanging="571"/>
        <w:spacing w:after="0"/>
        <w:tabs>
          <w:tab w:leader="none" w:pos="11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Distributions of $3,246 received from asset management entities.</w:t>
      </w:r>
    </w:p>
    <w:p>
      <w:pPr>
        <w:spacing w:after="0" w:line="219" w:lineRule="exact"/>
        <w:rPr>
          <w:sz w:val="20"/>
          <w:szCs w:val="20"/>
          <w:color w:val="auto"/>
        </w:rPr>
      </w:pPr>
    </w:p>
    <w:p>
      <w:pPr>
        <w:jc w:val="both"/>
        <w:ind w:firstLine="443"/>
        <w:spacing w:after="0" w:line="332" w:lineRule="auto"/>
        <w:rPr>
          <w:sz w:val="20"/>
          <w:szCs w:val="20"/>
          <w:color w:val="auto"/>
        </w:rPr>
      </w:pPr>
      <w:r>
        <w:rPr>
          <w:rFonts w:ascii="Arial" w:cs="Arial" w:eastAsia="Arial" w:hAnsi="Arial"/>
          <w:sz w:val="16"/>
          <w:szCs w:val="16"/>
          <w:color w:val="auto"/>
        </w:rPr>
        <w:t>Our operating activities provided (used) $130,094 and $(306,946) of cash flows during the first quarter of 2009 and 2008, respectively. The improvement in 2009 over 2008 primarily reflects a decline in net cash used by trading activities and a decline in the funding requirements of our Servicing operations.</w:t>
      </w:r>
    </w:p>
    <w:p>
      <w:pPr>
        <w:spacing w:after="0" w:line="139" w:lineRule="exact"/>
        <w:rPr>
          <w:sz w:val="20"/>
          <w:szCs w:val="20"/>
          <w:color w:val="auto"/>
        </w:rPr>
      </w:pPr>
    </w:p>
    <w:p>
      <w:pPr>
        <w:jc w:val="both"/>
        <w:ind w:firstLine="571"/>
        <w:spacing w:after="0" w:line="255" w:lineRule="auto"/>
        <w:rPr>
          <w:sz w:val="20"/>
          <w:szCs w:val="20"/>
          <w:color w:val="auto"/>
        </w:rPr>
      </w:pPr>
      <w:r>
        <w:rPr>
          <w:rFonts w:ascii="Arial" w:cs="Arial" w:eastAsia="Arial" w:hAnsi="Arial"/>
          <w:sz w:val="18"/>
          <w:szCs w:val="18"/>
          <w:color w:val="auto"/>
        </w:rPr>
        <w:t>The operating funding requirements of our Servicing business are primarily reflected in the change in servicing advances and servicer liabilities which collectively provided $103,123 of net cash during the first quarter of 2009. These same items used $45,790 of cash during the first quarter of 2008. We collected net cash of $148,509 on advances and match funded advances in the first quarter of 2009. This compares to net cash paid of $30,761 to fund advances and match funded advances during the first quarter of 2008. Servicer liabilities declined by $45,386 and $15,029 during the first quarter of 2009 and 2008, respectively, due to lower collections.</w:t>
      </w:r>
    </w:p>
    <w:p>
      <w:pPr>
        <w:sectPr>
          <w:pgSz w:w="11900" w:h="16838" w:orient="portrait"/>
          <w:cols w:equalWidth="0" w:num="1">
            <w:col w:w="11420"/>
          </w:cols>
          <w:pgMar w:left="240" w:top="388"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67575"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388" w:right="239" w:bottom="1440" w:gutter="0" w:footer="0" w:header="0"/>
          <w:type w:val="continuous"/>
        </w:sectPr>
      </w:pPr>
    </w:p>
    <w:bookmarkStart w:id="57" w:name="page58"/>
    <w:bookmarkEnd w:id="57"/>
    <w:p>
      <w:pPr>
        <w:jc w:val="both"/>
        <w:ind w:firstLine="554"/>
        <w:spacing w:after="0" w:line="259" w:lineRule="auto"/>
        <w:rPr>
          <w:sz w:val="20"/>
          <w:szCs w:val="20"/>
          <w:color w:val="auto"/>
        </w:rPr>
      </w:pPr>
      <w:r>
        <w:rPr>
          <w:rFonts w:ascii="Arial" w:cs="Arial" w:eastAsia="Arial" w:hAnsi="Arial"/>
          <w:sz w:val="18"/>
          <w:szCs w:val="18"/>
          <w:color w:val="auto"/>
        </w:rPr>
        <w:t>Trading activities provided (used) net cash of $1,100 and $(286,640) in first quarter of 2009 and 2008, respectively. Net cash used by trading activities during the first quarter of 2008 primarily reflects our net cash investment in auction rate securities of $299,964, offset in part by the sale or maturity of CMOs and other short-term investment grade securities.</w:t>
      </w:r>
    </w:p>
    <w:p>
      <w:pPr>
        <w:spacing w:after="0" w:line="194" w:lineRule="exact"/>
        <w:rPr>
          <w:sz w:val="20"/>
          <w:szCs w:val="20"/>
          <w:color w:val="auto"/>
        </w:rPr>
      </w:pPr>
    </w:p>
    <w:p>
      <w:pPr>
        <w:jc w:val="both"/>
        <w:ind w:firstLine="476"/>
        <w:spacing w:after="0" w:line="255" w:lineRule="auto"/>
        <w:rPr>
          <w:sz w:val="20"/>
          <w:szCs w:val="20"/>
          <w:color w:val="auto"/>
        </w:rPr>
      </w:pPr>
      <w:r>
        <w:rPr>
          <w:rFonts w:ascii="Arial" w:cs="Arial" w:eastAsia="Arial" w:hAnsi="Arial"/>
          <w:sz w:val="18"/>
          <w:szCs w:val="18"/>
          <w:color w:val="auto"/>
        </w:rPr>
        <w:t>Our investing activities provided (used) cash flows totaling $(6,648) and $162 during the first quarter of 2009 and 2008, respectively. The increase in cash used in the first quarter of 2009 over 2008 is primarily due to a $6,615 increase in purchases of MSRs. In the first quarter of 2009, our $10,241 of MSR purchases were partially offset by $3,246 of distributions we received from our asset management entities. In the first quarter of 2008, distributions of $3,875 received from the asset management entities and proceeds of $1,967 received from the sale of real estate were largely offset by purchases of residential MSRs of $3,626 and investments in asset management entities totaling $1,250.</w:t>
      </w:r>
    </w:p>
    <w:p>
      <w:pPr>
        <w:spacing w:after="0" w:line="197" w:lineRule="exact"/>
        <w:rPr>
          <w:sz w:val="20"/>
          <w:szCs w:val="20"/>
          <w:color w:val="auto"/>
        </w:rPr>
      </w:pPr>
    </w:p>
    <w:p>
      <w:pPr>
        <w:jc w:val="both"/>
        <w:ind w:firstLine="443"/>
        <w:spacing w:after="0" w:line="291" w:lineRule="auto"/>
        <w:rPr>
          <w:sz w:val="20"/>
          <w:szCs w:val="20"/>
          <w:color w:val="auto"/>
        </w:rPr>
      </w:pPr>
      <w:r>
        <w:rPr>
          <w:rFonts w:ascii="Arial" w:cs="Arial" w:eastAsia="Arial" w:hAnsi="Arial"/>
          <w:sz w:val="16"/>
          <w:szCs w:val="16"/>
          <w:color w:val="auto"/>
        </w:rPr>
        <w:t>Our financing activities provided (used) cash flows of $(165,616) and $367,225 during the first quarter of 2009 and 2008, respectively. The cash flows used by financing activities in the first quarter of 2009 primarily reflect the $170,797 net repayment of match funded liabilities as a result of the decline in servicing advances. Net proceeds of $67,000 from two new secured borrowings were largely offset by repayments on the Investment Line and repurchases of our 3.25% Convertible Notes. The cash flows provided by financing activities in the first quarter of 2008 primarily reflect the $283,836 of net borrowing under the Investment Line used to invest in auction rate securities and the utilization of unused borrowing capacity available under match funded advance facilities, offset in part by our repayment in full of a $100,000 term note that began its amortization period in January 2008.</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OFF-BALANCE SHEET ARRANGEMENTS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31" w:lineRule="exact"/>
        <w:rPr>
          <w:sz w:val="20"/>
          <w:szCs w:val="20"/>
          <w:color w:val="auto"/>
        </w:rPr>
      </w:pPr>
    </w:p>
    <w:p>
      <w:pPr>
        <w:jc w:val="both"/>
        <w:ind w:firstLine="440"/>
        <w:spacing w:after="0" w:line="306" w:lineRule="auto"/>
        <w:rPr>
          <w:sz w:val="20"/>
          <w:szCs w:val="20"/>
          <w:color w:val="auto"/>
        </w:rPr>
      </w:pPr>
      <w:r>
        <w:rPr>
          <w:rFonts w:ascii="Arial" w:cs="Arial" w:eastAsia="Arial" w:hAnsi="Arial"/>
          <w:sz w:val="16"/>
          <w:szCs w:val="16"/>
          <w:color w:val="auto"/>
        </w:rPr>
        <w:t>We believe that we have adequate resources to fund all unfunded commitments to the extent required and meet all contractual obligations as they come due. Such contractual obligations include our Convertible Notes, Capital Trust Securities, lines of credit and other secured borrowings, the Investment Line term note and operating leases. See Note 20 to the Interim Consolidated Financial Statements for additional information regarding commitments and contingencies.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31" w:lineRule="exact"/>
        <w:rPr>
          <w:sz w:val="20"/>
          <w:szCs w:val="20"/>
          <w:color w:val="auto"/>
        </w:rPr>
      </w:pPr>
    </w:p>
    <w:p>
      <w:pPr>
        <w:jc w:val="both"/>
        <w:ind w:firstLine="451"/>
        <w:spacing w:after="0" w:line="294" w:lineRule="auto"/>
        <w:rPr>
          <w:sz w:val="20"/>
          <w:szCs w:val="20"/>
          <w:color w:val="auto"/>
        </w:rPr>
      </w:pPr>
      <w:r>
        <w:rPr>
          <w:rFonts w:ascii="Arial" w:cs="Arial" w:eastAsia="Arial" w:hAnsi="Arial"/>
          <w:sz w:val="16"/>
          <w:szCs w:val="16"/>
          <w:color w:val="auto"/>
        </w:rPr>
        <w:t>In the normal course of business, we engage in transactions with a variety of financial institutions and other companies that are not reflected on our balance sheet. In addition, through our investment in subordinate and residual securities, we provide credit support to the senior classes of securities. We are subject to potential financial loss if the counterparties to our off-balance sheet transactions are unable to complete an agreed upon transaction. We seek to limit counterparty risk through financial analysis, dollar limits and other monitoring procedures. We have also entered into non-cancelable operating leases and have committed to invest up to an additional $33,902 in ONL and related entities.</w:t>
      </w:r>
    </w:p>
    <w:p>
      <w:pPr>
        <w:spacing w:after="0" w:line="170" w:lineRule="exact"/>
        <w:rPr>
          <w:sz w:val="20"/>
          <w:szCs w:val="20"/>
          <w:color w:val="auto"/>
        </w:rPr>
      </w:pPr>
    </w:p>
    <w:p>
      <w:pPr>
        <w:jc w:val="both"/>
        <w:ind w:firstLine="439"/>
        <w:spacing w:after="0" w:line="259" w:lineRule="auto"/>
        <w:rPr>
          <w:sz w:val="20"/>
          <w:szCs w:val="20"/>
          <w:color w:val="auto"/>
        </w:rPr>
      </w:pPr>
      <w:r>
        <w:rPr>
          <w:rFonts w:ascii="Arial" w:cs="Arial" w:eastAsia="Arial" w:hAnsi="Arial"/>
          <w:sz w:val="18"/>
          <w:szCs w:val="18"/>
          <w:i w:val="1"/>
          <w:iCs w:val="1"/>
          <w:color w:val="auto"/>
        </w:rPr>
        <w:t xml:space="preserve">Derivatives. </w:t>
      </w:r>
      <w:r>
        <w:rPr>
          <w:rFonts w:ascii="Arial" w:cs="Arial" w:eastAsia="Arial" w:hAnsi="Arial"/>
          <w:sz w:val="18"/>
          <w:szCs w:val="18"/>
          <w:color w:val="auto"/>
        </w:rPr>
        <w:t>We record all derivative transactions at fair value on our consolidated balance sheets. We use these derivatives primarily to manage our interest</w:t>
      </w:r>
      <w:r>
        <w:rPr>
          <w:rFonts w:ascii="Arial" w:cs="Arial" w:eastAsia="Arial" w:hAnsi="Arial"/>
          <w:sz w:val="18"/>
          <w:szCs w:val="18"/>
          <w:i w:val="1"/>
          <w:iCs w:val="1"/>
          <w:color w:val="auto"/>
        </w:rPr>
        <w:t xml:space="preserve"> </w:t>
      </w:r>
      <w:r>
        <w:rPr>
          <w:rFonts w:ascii="Arial" w:cs="Arial" w:eastAsia="Arial" w:hAnsi="Arial"/>
          <w:sz w:val="18"/>
          <w:szCs w:val="18"/>
          <w:color w:val="auto"/>
        </w:rPr>
        <w:t>rate risk and foreign exchange rate risk. The notional amounts of our derivative contracts do not reflect our exposure to credit loss. See Note 18 to our Interim Consolidated Financial Statements for additional information regarding derivatives.</w:t>
      </w:r>
    </w:p>
    <w:p>
      <w:pPr>
        <w:spacing w:after="0" w:line="194" w:lineRule="exact"/>
        <w:rPr>
          <w:sz w:val="20"/>
          <w:szCs w:val="20"/>
          <w:color w:val="auto"/>
        </w:rPr>
      </w:pPr>
    </w:p>
    <w:p>
      <w:pPr>
        <w:jc w:val="both"/>
        <w:ind w:right="20" w:firstLine="616"/>
        <w:spacing w:after="0" w:line="268" w:lineRule="auto"/>
        <w:rPr>
          <w:sz w:val="20"/>
          <w:szCs w:val="20"/>
          <w:color w:val="auto"/>
        </w:rPr>
      </w:pPr>
      <w:r>
        <w:rPr>
          <w:rFonts w:ascii="Arial" w:cs="Arial" w:eastAsia="Arial" w:hAnsi="Arial"/>
          <w:sz w:val="18"/>
          <w:szCs w:val="18"/>
          <w:i w:val="1"/>
          <w:iCs w:val="1"/>
          <w:color w:val="auto"/>
        </w:rPr>
        <w:t xml:space="preserve">Involvement with SPEs. </w:t>
      </w:r>
      <w:r>
        <w:rPr>
          <w:rFonts w:ascii="Arial" w:cs="Arial" w:eastAsia="Arial" w:hAnsi="Arial"/>
          <w:sz w:val="18"/>
          <w:szCs w:val="18"/>
          <w:color w:val="auto"/>
        </w:rPr>
        <w:t>We use SPEs for a variety of purposes but principally in the financing of our servicing advances and in the securitization of</w:t>
      </w:r>
      <w:r>
        <w:rPr>
          <w:rFonts w:ascii="Arial" w:cs="Arial" w:eastAsia="Arial" w:hAnsi="Arial"/>
          <w:sz w:val="18"/>
          <w:szCs w:val="18"/>
          <w:i w:val="1"/>
          <w:iCs w:val="1"/>
          <w:color w:val="auto"/>
        </w:rPr>
        <w:t xml:space="preserve"> </w:t>
      </w:r>
      <w:r>
        <w:rPr>
          <w:rFonts w:ascii="Arial" w:cs="Arial" w:eastAsia="Arial" w:hAnsi="Arial"/>
          <w:sz w:val="18"/>
          <w:szCs w:val="18"/>
          <w:color w:val="auto"/>
        </w:rPr>
        <w:t>mortgage loans.</w:t>
      </w:r>
    </w:p>
    <w:p>
      <w:pPr>
        <w:spacing w:after="0" w:line="186" w:lineRule="exact"/>
        <w:rPr>
          <w:sz w:val="20"/>
          <w:szCs w:val="20"/>
          <w:color w:val="auto"/>
        </w:rPr>
      </w:pPr>
    </w:p>
    <w:p>
      <w:pPr>
        <w:jc w:val="both"/>
        <w:ind w:firstLine="521"/>
        <w:spacing w:after="0" w:line="256" w:lineRule="auto"/>
        <w:rPr>
          <w:sz w:val="20"/>
          <w:szCs w:val="20"/>
          <w:color w:val="auto"/>
        </w:rPr>
      </w:pPr>
      <w:r>
        <w:rPr>
          <w:rFonts w:ascii="Arial" w:cs="Arial" w:eastAsia="Arial" w:hAnsi="Arial"/>
          <w:sz w:val="18"/>
          <w:szCs w:val="18"/>
          <w:color w:val="auto"/>
        </w:rPr>
        <w:t>Our securitizations of mortgage loans have been structured as sales and the SPEs to which we have transferred the mortgage loans are qualifying special purpose entities (QSPEs) and are therefore not currently subject to consolidation. We have retained both subordinated and residual interests in these QSPEs. Where we are the servicer of the securitized loans, we generally have the right to repurchase the mortgage loans from the QSPE when the costs exceed the benefits of servicing the remaining loans.</w:t>
      </w:r>
    </w:p>
    <w:p>
      <w:pPr>
        <w:spacing w:after="0" w:line="197" w:lineRule="exact"/>
        <w:rPr>
          <w:sz w:val="20"/>
          <w:szCs w:val="20"/>
          <w:color w:val="auto"/>
        </w:rPr>
      </w:pPr>
    </w:p>
    <w:p>
      <w:pPr>
        <w:jc w:val="both"/>
        <w:ind w:firstLine="710"/>
        <w:spacing w:after="0" w:line="291" w:lineRule="auto"/>
        <w:rPr>
          <w:sz w:val="20"/>
          <w:szCs w:val="20"/>
          <w:color w:val="auto"/>
        </w:rPr>
      </w:pPr>
      <w:r>
        <w:rPr>
          <w:rFonts w:ascii="Arial" w:cs="Arial" w:eastAsia="Arial" w:hAnsi="Arial"/>
          <w:sz w:val="16"/>
          <w:szCs w:val="16"/>
          <w:color w:val="auto"/>
        </w:rPr>
        <w:t>We generally use match funded securitization facilities to finance our servicing advances. The SPEs to which the advances are transferred in the securitization transaction are included in our consolidated financial statements either because the transfer did not qualify for sales accounting treatment or because the SPE is not a QSPE, and we have the majority equity interest in the SPE, or we are the primary beneficiary where the SPE is also a VIE. The holders of the debt of these SPEs can generally look only to the assets of the SPEs for satisfaction of the debt and have no recourse against OCN. However, OLS has guaranteed the payment of the obligations of the issuer under a match funded facility that closed in April 2008. The maximum amount payable under the guarantee is limited to 10% of the notes outstanding at the end of the facility’s revolving period.</w:t>
      </w:r>
    </w:p>
    <w:p>
      <w:pPr>
        <w:spacing w:after="0" w:line="174" w:lineRule="exact"/>
        <w:rPr>
          <w:sz w:val="20"/>
          <w:szCs w:val="20"/>
          <w:color w:val="auto"/>
        </w:rPr>
      </w:pPr>
    </w:p>
    <w:p>
      <w:pPr>
        <w:jc w:val="both"/>
        <w:ind w:firstLine="537"/>
        <w:spacing w:after="0" w:line="268" w:lineRule="auto"/>
        <w:rPr>
          <w:sz w:val="20"/>
          <w:szCs w:val="20"/>
          <w:color w:val="auto"/>
        </w:rPr>
      </w:pPr>
      <w:r>
        <w:rPr>
          <w:rFonts w:ascii="Arial" w:cs="Arial" w:eastAsia="Arial" w:hAnsi="Arial"/>
          <w:sz w:val="18"/>
          <w:szCs w:val="18"/>
          <w:i w:val="1"/>
          <w:iCs w:val="1"/>
          <w:color w:val="auto"/>
        </w:rPr>
        <w:t xml:space="preserve">VIEs. </w:t>
      </w:r>
      <w:r>
        <w:rPr>
          <w:rFonts w:ascii="Arial" w:cs="Arial" w:eastAsia="Arial" w:hAnsi="Arial"/>
          <w:sz w:val="18"/>
          <w:szCs w:val="18"/>
          <w:color w:val="auto"/>
        </w:rPr>
        <w:t>In addition to certain of our financing SPEs, we have invested in several other VIEs primarily in connection with purchases of whole loans. If we</w:t>
      </w:r>
      <w:r>
        <w:rPr>
          <w:rFonts w:ascii="Arial" w:cs="Arial" w:eastAsia="Arial" w:hAnsi="Arial"/>
          <w:sz w:val="18"/>
          <w:szCs w:val="18"/>
          <w:i w:val="1"/>
          <w:iCs w:val="1"/>
          <w:color w:val="auto"/>
        </w:rPr>
        <w:t xml:space="preserve"> </w:t>
      </w:r>
      <w:r>
        <w:rPr>
          <w:rFonts w:ascii="Arial" w:cs="Arial" w:eastAsia="Arial" w:hAnsi="Arial"/>
          <w:sz w:val="18"/>
          <w:szCs w:val="18"/>
          <w:color w:val="auto"/>
        </w:rPr>
        <w:t>determine that we are the primary beneficiary of a VIE, we report the VIE in our consolidated financial statements.</w:t>
      </w:r>
    </w:p>
    <w:p>
      <w:pPr>
        <w:spacing w:after="0" w:line="18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See Note 1 to our Interim Consolidated Financial Statements for additional information regarding our investment in SPEs and VIEs.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color w:val="auto"/>
        </w:rPr>
        <w:t>RECENT ACCOUNTING DEVELOPMENTS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31" w:lineRule="exact"/>
        <w:rPr>
          <w:sz w:val="20"/>
          <w:szCs w:val="20"/>
          <w:color w:val="auto"/>
        </w:rPr>
      </w:pPr>
    </w:p>
    <w:p>
      <w:pPr>
        <w:jc w:val="both"/>
        <w:ind w:firstLine="592"/>
        <w:spacing w:after="0" w:line="332" w:lineRule="auto"/>
        <w:rPr>
          <w:sz w:val="20"/>
          <w:szCs w:val="20"/>
          <w:color w:val="auto"/>
        </w:rPr>
      </w:pPr>
      <w:r>
        <w:rPr>
          <w:rFonts w:ascii="Arial" w:cs="Arial" w:eastAsia="Arial" w:hAnsi="Arial"/>
          <w:sz w:val="16"/>
          <w:szCs w:val="16"/>
          <w:color w:val="auto"/>
        </w:rPr>
        <w:t>Listed below are recent accounting pronouncements which did or are expected to have a significant impact upon adoption. For additional information regarding these and other recent accounting pronouncements, see Note 1 to our Interim Consolidated Financial Statements.</w:t>
      </w:r>
    </w:p>
    <w:p>
      <w:pPr>
        <w:spacing w:after="0" w:line="139" w:lineRule="exact"/>
        <w:rPr>
          <w:sz w:val="20"/>
          <w:szCs w:val="20"/>
          <w:color w:val="auto"/>
        </w:rPr>
      </w:pPr>
    </w:p>
    <w:p>
      <w:pPr>
        <w:jc w:val="both"/>
        <w:ind w:firstLine="444"/>
        <w:spacing w:after="0" w:line="323" w:lineRule="auto"/>
        <w:rPr>
          <w:sz w:val="20"/>
          <w:szCs w:val="20"/>
          <w:color w:val="auto"/>
        </w:rPr>
      </w:pPr>
      <w:r>
        <w:rPr>
          <w:rFonts w:ascii="Arial" w:cs="Arial" w:eastAsia="Arial" w:hAnsi="Arial"/>
          <w:sz w:val="15"/>
          <w:szCs w:val="15"/>
          <w:i w:val="1"/>
          <w:iCs w:val="1"/>
          <w:color w:val="auto"/>
        </w:rPr>
        <w:t xml:space="preserve">Proposed amendment of SFAS No. 140 and FIN 46(R) and issuance of FSP No. FAS 140-4 and FIN 46(R)-8. </w:t>
      </w:r>
      <w:r>
        <w:rPr>
          <w:rFonts w:ascii="Arial" w:cs="Arial" w:eastAsia="Arial" w:hAnsi="Arial"/>
          <w:sz w:val="15"/>
          <w:szCs w:val="15"/>
          <w:color w:val="auto"/>
        </w:rPr>
        <w:t>In April 2008, the FASB voted to eliminate the</w:t>
      </w:r>
      <w:r>
        <w:rPr>
          <w:rFonts w:ascii="Arial" w:cs="Arial" w:eastAsia="Arial" w:hAnsi="Arial"/>
          <w:sz w:val="15"/>
          <w:szCs w:val="15"/>
          <w:i w:val="1"/>
          <w:iCs w:val="1"/>
          <w:color w:val="auto"/>
        </w:rPr>
        <w:t xml:space="preserve"> </w:t>
      </w:r>
      <w:r>
        <w:rPr>
          <w:rFonts w:ascii="Arial" w:cs="Arial" w:eastAsia="Arial" w:hAnsi="Arial"/>
          <w:sz w:val="15"/>
          <w:szCs w:val="15"/>
          <w:color w:val="auto"/>
        </w:rPr>
        <w:t>QSPE concept from SFAS No. 140 and to remove the scope exception for QSPEs from FIN 46(R). During September 2008, the FASB issued three separate but related exposure drafts for public comment. The proposed FASB Statements address amendments to SFAS No. 140 and to FIN 46(R). The proposed changes will require an analysis of all QSPEs which are currently exempt from the consolidation provisions of FIN 46(R), to determine if consolidation as VIEs is required.</w:t>
      </w:r>
    </w:p>
    <w:p>
      <w:pPr>
        <w:spacing w:after="0" w:line="152" w:lineRule="exact"/>
        <w:rPr>
          <w:sz w:val="20"/>
          <w:szCs w:val="20"/>
          <w:color w:val="auto"/>
        </w:rPr>
      </w:pPr>
    </w:p>
    <w:p>
      <w:pPr>
        <w:jc w:val="both"/>
        <w:ind w:firstLine="439"/>
        <w:spacing w:after="0" w:line="294" w:lineRule="auto"/>
        <w:rPr>
          <w:sz w:val="20"/>
          <w:szCs w:val="20"/>
          <w:color w:val="auto"/>
        </w:rPr>
      </w:pPr>
      <w:r>
        <w:rPr>
          <w:rFonts w:ascii="Arial" w:cs="Arial" w:eastAsia="Arial" w:hAnsi="Arial"/>
          <w:sz w:val="16"/>
          <w:szCs w:val="16"/>
          <w:color w:val="auto"/>
        </w:rPr>
        <w:t>FSP FAS 140-4 and FIN 46(R)-8 was issued in December 2008 and requires improved disclosures by public entities until the pending amendments to SFAS No. 140 and FIN No. 46(R) are effective. This FSP amends SFAS No. 140 and FIN 46(R) to require enhanced disclosures by public entities about transfers of financial assets and interests in VIEs. Additionally, the FSP requires certain disclosures by a public entity that is (a) a sponsor that has a variable interest in a VIE (irrespective of the significance of the variable interest) and (b) an enterprise that holds a significant variable interest in a QSPE but was not the transferor of financial assets to the QSPE. The additional disclosures required by FSP FAS 140-4 and FIN 46(R)-8 are included in Note 1.</w:t>
      </w:r>
    </w:p>
    <w:p>
      <w:pPr>
        <w:spacing w:after="0" w:line="170" w:lineRule="exact"/>
        <w:rPr>
          <w:sz w:val="20"/>
          <w:szCs w:val="20"/>
          <w:color w:val="auto"/>
        </w:rPr>
      </w:pPr>
    </w:p>
    <w:p>
      <w:pPr>
        <w:jc w:val="both"/>
        <w:ind w:firstLine="566"/>
        <w:spacing w:after="0" w:line="332" w:lineRule="auto"/>
        <w:rPr>
          <w:sz w:val="20"/>
          <w:szCs w:val="20"/>
          <w:color w:val="auto"/>
        </w:rPr>
      </w:pPr>
      <w:r>
        <w:rPr>
          <w:rFonts w:ascii="Arial" w:cs="Arial" w:eastAsia="Arial" w:hAnsi="Arial"/>
          <w:sz w:val="16"/>
          <w:szCs w:val="16"/>
          <w:color w:val="auto"/>
        </w:rPr>
        <w:t>We have retained investments in certain subordinate and residual securities in connection with loan securitization transactions completed in prior years (primarily 2006). Our subordinate and residual securities at March 31, 2009 include retained interests with a fair value of $107.</w:t>
      </w:r>
    </w:p>
    <w:p>
      <w:pPr>
        <w:spacing w:after="0" w:line="139" w:lineRule="exact"/>
        <w:rPr>
          <w:sz w:val="20"/>
          <w:szCs w:val="20"/>
          <w:color w:val="auto"/>
        </w:rPr>
      </w:pPr>
    </w:p>
    <w:p>
      <w:pPr>
        <w:jc w:val="both"/>
        <w:ind w:firstLine="644"/>
        <w:spacing w:after="0" w:line="287" w:lineRule="auto"/>
        <w:rPr>
          <w:sz w:val="20"/>
          <w:szCs w:val="20"/>
          <w:color w:val="auto"/>
        </w:rPr>
      </w:pPr>
      <w:r>
        <w:rPr>
          <w:rFonts w:ascii="Arial" w:cs="Arial" w:eastAsia="Arial" w:hAnsi="Arial"/>
          <w:sz w:val="16"/>
          <w:szCs w:val="16"/>
          <w:color w:val="auto"/>
        </w:rPr>
        <w:t>FSP No. APB 14-1clarifies that convertible debt instruments that may be settled in cash upon conversion (including partial cash settlement) are not addressed by paragraph 12 of APB Opinion No. 14. Additionally, this FSP specifies that issuers of such instruments should separately account for the liability and equity components in a manner that will reflect the entity’s nonconvertible debt borrowing rate when interest cost is recognized in subsequent periods. Upon adoption of this FSP on January 1, 2009, we recognized a discount to reduce the carrying value of the 3.25% Convertible Notes and an offsetting increase to stockholders’ equity. The cumulative effect of adoption resulted in: (1) a reduction of retained earnings of $21,202 due to the retrospective accretion of the resulting debt discount to interest expense over the expected life of the notes; (2) adjustments to debt issue cost amortization and gains or losses recognized on previous redemptions; and (3) an increase in additional paid-in capital of $22,657. The adjustment to additional paid-in capital includes the recognized debt discount, adjusted for note redemptions, and the effect of deferred taxes. Interest expense for the quarter ended March 31, 2008 has been restated to include non-cash interest of $1,071. Prospectively, the consolidated statement of operations will recognize non-cash interest expense over the remaining estimated life of the notes.</w:t>
      </w:r>
    </w:p>
    <w:p>
      <w:pPr>
        <w:spacing w:after="0" w:line="17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For additional information regarding these and other recent accounting pronouncements, see Note 2 to our Interim Consolidated Financial Statements.</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 (Dollars in thousands)</w:t>
      </w:r>
    </w:p>
    <w:p>
      <w:pPr>
        <w:spacing w:after="0" w:line="231" w:lineRule="exact"/>
        <w:rPr>
          <w:sz w:val="20"/>
          <w:szCs w:val="20"/>
          <w:color w:val="auto"/>
        </w:rPr>
      </w:pPr>
    </w:p>
    <w:p>
      <w:pPr>
        <w:jc w:val="both"/>
        <w:ind w:firstLine="484"/>
        <w:spacing w:after="0" w:line="268" w:lineRule="auto"/>
        <w:rPr>
          <w:sz w:val="20"/>
          <w:szCs w:val="20"/>
          <w:color w:val="auto"/>
        </w:rPr>
      </w:pPr>
      <w:r>
        <w:rPr>
          <w:rFonts w:ascii="Arial" w:cs="Arial" w:eastAsia="Arial" w:hAnsi="Arial"/>
          <w:sz w:val="18"/>
          <w:szCs w:val="18"/>
          <w:color w:val="auto"/>
        </w:rPr>
        <w:t>Market risk includes liquidity risk, interest rate risk, prepayment risk and foreign currency exchange rate risk. Market risk also reflects the risk of declines in the valuation of trading securities, MSRs and in the value of the collateral underlying loans.</w:t>
      </w:r>
    </w:p>
    <w:p>
      <w:pPr>
        <w:spacing w:after="0" w:line="186" w:lineRule="exact"/>
        <w:rPr>
          <w:sz w:val="20"/>
          <w:szCs w:val="20"/>
          <w:color w:val="auto"/>
        </w:rPr>
      </w:pPr>
    </w:p>
    <w:p>
      <w:pPr>
        <w:jc w:val="both"/>
        <w:ind w:firstLine="710"/>
        <w:spacing w:after="0" w:line="291" w:lineRule="auto"/>
        <w:rPr>
          <w:sz w:val="20"/>
          <w:szCs w:val="20"/>
          <w:color w:val="auto"/>
        </w:rPr>
      </w:pPr>
      <w:r>
        <w:rPr>
          <w:rFonts w:ascii="Arial" w:cs="Arial" w:eastAsia="Arial" w:hAnsi="Arial"/>
          <w:sz w:val="16"/>
          <w:szCs w:val="16"/>
          <w:color w:val="auto"/>
        </w:rPr>
        <w:t>We are exposed to liquidity risk primarily because of the highly variable daily cash requirements to support the Servicing business including the requirement to make advances pursuant to servicing contracts and the process of remitting borrower payments to the custodial accounts. In general, we finance our operations through operating cash flows and various other sources of funding including match funded agreements, secured lines of credit and repurchase agreements. We believe that we have adequate financing for the next twelve months. On April 30, 2009, we were successful in negotiating a one-year extension of the Investment Line to June 30, 2010. However, because of the failed auctions, the market for investment grade auction rate securities is not currently liquid. In the event we need to liquidate our investment, we may not be able to do so without a loss of principal.</w:t>
      </w:r>
    </w:p>
    <w:p>
      <w:pPr>
        <w:spacing w:after="0" w:line="174" w:lineRule="exact"/>
        <w:rPr>
          <w:sz w:val="20"/>
          <w:szCs w:val="20"/>
          <w:color w:val="auto"/>
        </w:rPr>
      </w:pPr>
    </w:p>
    <w:p>
      <w:pPr>
        <w:jc w:val="both"/>
        <w:ind w:firstLine="607"/>
        <w:spacing w:after="0" w:line="256" w:lineRule="auto"/>
        <w:rPr>
          <w:sz w:val="20"/>
          <w:szCs w:val="20"/>
          <w:color w:val="auto"/>
        </w:rPr>
      </w:pPr>
      <w:r>
        <w:rPr>
          <w:rFonts w:ascii="Arial" w:cs="Arial" w:eastAsia="Arial" w:hAnsi="Arial"/>
          <w:sz w:val="18"/>
          <w:szCs w:val="18"/>
          <w:color w:val="auto"/>
        </w:rPr>
        <w:t>We are exposed to interest rate risk to the degree that our interest-bearing liabilities mature or reprice at different speeds, or different bases, than our interest-earning assets or when financed assets are not interest-bearing. Our Servicing business is characterized by non-interest earning assets financed by interest-bearing liabilities. Among the more significant non-interest earning assets are servicing advances and MSRs. At March 31, 2009, we had total advances and match funded advances of $1,053,703.</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9" w:name="page60"/>
    <w:bookmarkEnd w:id="59"/>
    <w:p>
      <w:pPr>
        <w:jc w:val="both"/>
        <w:ind w:firstLine="498"/>
        <w:spacing w:after="0" w:line="306" w:lineRule="auto"/>
        <w:rPr>
          <w:sz w:val="20"/>
          <w:szCs w:val="20"/>
          <w:color w:val="auto"/>
        </w:rPr>
      </w:pPr>
      <w:r>
        <w:rPr>
          <w:rFonts w:ascii="Arial" w:cs="Arial" w:eastAsia="Arial" w:hAnsi="Arial"/>
          <w:sz w:val="16"/>
          <w:szCs w:val="16"/>
          <w:color w:val="auto"/>
        </w:rPr>
        <w:t>We are also exposed to interest rate risk because a portion of our outstanding debt is variable rate. Rising interest rates may increase our interest expense. Nevertheless, earnings on float balances (assets) partially offset this variability. We have also entered into interest rate caps to hedge our exposure to rising interest rates on a $250,000 match funded advance facility and on a $200,000 match funded advance facility that both have variable rates of interest.</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9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ind w:right="92"/>
              <w:spacing w:after="0"/>
              <w:rPr>
                <w:sz w:val="20"/>
                <w:szCs w:val="20"/>
                <w:color w:val="auto"/>
              </w:rPr>
            </w:pPr>
            <w:r>
              <w:rPr>
                <w:rFonts w:ascii="Arial" w:cs="Arial" w:eastAsia="Arial" w:hAnsi="Arial"/>
                <w:sz w:val="18"/>
                <w:szCs w:val="18"/>
                <w:color w:val="auto"/>
                <w:w w:val="91"/>
              </w:rPr>
              <w:t>March 31, 2009</w:t>
            </w:r>
          </w:p>
        </w:tc>
        <w:tc>
          <w:tcPr>
            <w:tcW w:w="220" w:type="dxa"/>
            <w:vAlign w:val="bottom"/>
          </w:tcPr>
          <w:p>
            <w:pPr>
              <w:spacing w:after="0"/>
              <w:rPr>
                <w:sz w:val="19"/>
                <w:szCs w:val="19"/>
                <w:color w:val="auto"/>
              </w:rPr>
            </w:pPr>
          </w:p>
        </w:tc>
      </w:tr>
      <w:tr>
        <w:trPr>
          <w:trHeight w:val="245"/>
        </w:trPr>
        <w:tc>
          <w:tcPr>
            <w:tcW w:w="97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r>
      <w:tr>
        <w:trPr>
          <w:trHeight w:val="210"/>
        </w:trPr>
        <w:tc>
          <w:tcPr>
            <w:tcW w:w="9720" w:type="dxa"/>
            <w:vAlign w:val="bottom"/>
            <w:shd w:val="clear" w:color="auto" w:fill="EAF9E8"/>
          </w:tcPr>
          <w:p>
            <w:pPr>
              <w:spacing w:after="0"/>
              <w:rPr>
                <w:sz w:val="20"/>
                <w:szCs w:val="20"/>
                <w:color w:val="auto"/>
              </w:rPr>
            </w:pPr>
            <w:r>
              <w:rPr>
                <w:rFonts w:ascii="Arial" w:cs="Arial" w:eastAsia="Arial" w:hAnsi="Arial"/>
                <w:sz w:val="18"/>
                <w:szCs w:val="18"/>
                <w:color w:val="auto"/>
              </w:rPr>
              <w:t>Total borrowings outstanding</w:t>
            </w:r>
          </w:p>
        </w:tc>
        <w:tc>
          <w:tcPr>
            <w:tcW w:w="140" w:type="dxa"/>
            <w:vAlign w:val="bottom"/>
            <w:shd w:val="clear" w:color="auto" w:fill="EAF9E8"/>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1,225,786</w:t>
            </w:r>
          </w:p>
        </w:tc>
        <w:tc>
          <w:tcPr>
            <w:tcW w:w="220" w:type="dxa"/>
            <w:vAlign w:val="bottom"/>
            <w:shd w:val="clear" w:color="auto" w:fill="EAF9E8"/>
          </w:tcPr>
          <w:p>
            <w:pPr>
              <w:spacing w:after="0"/>
              <w:rPr>
                <w:sz w:val="18"/>
                <w:szCs w:val="18"/>
                <w:color w:val="auto"/>
              </w:rPr>
            </w:pPr>
          </w:p>
        </w:tc>
      </w:tr>
      <w:tr>
        <w:trPr>
          <w:trHeight w:val="216"/>
        </w:trPr>
        <w:tc>
          <w:tcPr>
            <w:tcW w:w="9720" w:type="dxa"/>
            <w:vAlign w:val="bottom"/>
          </w:tcPr>
          <w:p>
            <w:pPr>
              <w:ind w:left="160"/>
              <w:spacing w:after="0"/>
              <w:rPr>
                <w:sz w:val="20"/>
                <w:szCs w:val="20"/>
                <w:color w:val="auto"/>
              </w:rPr>
            </w:pPr>
            <w:r>
              <w:rPr>
                <w:rFonts w:ascii="Arial" w:cs="Arial" w:eastAsia="Arial" w:hAnsi="Arial"/>
                <w:sz w:val="18"/>
                <w:szCs w:val="18"/>
                <w:color w:val="auto"/>
              </w:rPr>
              <w:t>Fixed rate borrowings</w:t>
            </w: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319,216</w:t>
            </w:r>
          </w:p>
        </w:tc>
        <w:tc>
          <w:tcPr>
            <w:tcW w:w="220" w:type="dxa"/>
            <w:vAlign w:val="bottom"/>
          </w:tcPr>
          <w:p>
            <w:pPr>
              <w:spacing w:after="0"/>
              <w:rPr>
                <w:sz w:val="18"/>
                <w:szCs w:val="18"/>
                <w:color w:val="auto"/>
              </w:rPr>
            </w:pPr>
          </w:p>
        </w:tc>
      </w:tr>
      <w:tr>
        <w:trPr>
          <w:trHeight w:val="216"/>
        </w:trPr>
        <w:tc>
          <w:tcPr>
            <w:tcW w:w="9720" w:type="dxa"/>
            <w:vAlign w:val="bottom"/>
            <w:shd w:val="clear" w:color="auto" w:fill="EAF9E8"/>
          </w:tcPr>
          <w:p>
            <w:pPr>
              <w:ind w:left="160"/>
              <w:spacing w:after="0"/>
              <w:rPr>
                <w:sz w:val="20"/>
                <w:szCs w:val="20"/>
                <w:color w:val="auto"/>
              </w:rPr>
            </w:pPr>
            <w:r>
              <w:rPr>
                <w:rFonts w:ascii="Arial" w:cs="Arial" w:eastAsia="Arial" w:hAnsi="Arial"/>
                <w:sz w:val="18"/>
                <w:szCs w:val="18"/>
                <w:color w:val="auto"/>
              </w:rPr>
              <w:t>Variable rate borrowings</w:t>
            </w:r>
          </w:p>
        </w:tc>
        <w:tc>
          <w:tcPr>
            <w:tcW w:w="140" w:type="dxa"/>
            <w:vAlign w:val="bottom"/>
            <w:shd w:val="clear" w:color="auto" w:fill="EAF9E8"/>
          </w:tcPr>
          <w:p>
            <w:pPr>
              <w:spacing w:after="0"/>
              <w:rPr>
                <w:sz w:val="18"/>
                <w:szCs w:val="18"/>
                <w:color w:val="auto"/>
              </w:rPr>
            </w:pPr>
          </w:p>
        </w:tc>
        <w:tc>
          <w:tcPr>
            <w:tcW w:w="13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906,570</w:t>
            </w:r>
          </w:p>
        </w:tc>
        <w:tc>
          <w:tcPr>
            <w:tcW w:w="220" w:type="dxa"/>
            <w:vAlign w:val="bottom"/>
            <w:shd w:val="clear" w:color="auto" w:fill="EAF9E8"/>
          </w:tcPr>
          <w:p>
            <w:pPr>
              <w:spacing w:after="0"/>
              <w:rPr>
                <w:sz w:val="18"/>
                <w:szCs w:val="18"/>
                <w:color w:val="auto"/>
              </w:rPr>
            </w:pPr>
          </w:p>
        </w:tc>
      </w:tr>
      <w:tr>
        <w:trPr>
          <w:trHeight w:val="216"/>
        </w:trPr>
        <w:tc>
          <w:tcPr>
            <w:tcW w:w="9720" w:type="dxa"/>
            <w:vAlign w:val="bottom"/>
          </w:tcPr>
          <w:p>
            <w:pPr>
              <w:spacing w:after="0"/>
              <w:rPr>
                <w:sz w:val="20"/>
                <w:szCs w:val="20"/>
                <w:color w:val="auto"/>
              </w:rPr>
            </w:pPr>
            <w:r>
              <w:rPr>
                <w:rFonts w:ascii="Arial" w:cs="Arial" w:eastAsia="Arial" w:hAnsi="Arial"/>
                <w:sz w:val="18"/>
                <w:szCs w:val="18"/>
                <w:color w:val="auto"/>
              </w:rPr>
              <w:t>Float balances (held in custodial accounts, excluded from our balance sheet)</w:t>
            </w: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345,400</w:t>
            </w:r>
          </w:p>
        </w:tc>
        <w:tc>
          <w:tcPr>
            <w:tcW w:w="220" w:type="dxa"/>
            <w:vAlign w:val="bottom"/>
          </w:tcPr>
          <w:p>
            <w:pPr>
              <w:spacing w:after="0"/>
              <w:rPr>
                <w:sz w:val="18"/>
                <w:szCs w:val="18"/>
                <w:color w:val="auto"/>
              </w:rPr>
            </w:pPr>
          </w:p>
        </w:tc>
      </w:tr>
      <w:tr>
        <w:trPr>
          <w:trHeight w:val="216"/>
        </w:trPr>
        <w:tc>
          <w:tcPr>
            <w:tcW w:w="9720" w:type="dxa"/>
            <w:vAlign w:val="bottom"/>
            <w:shd w:val="clear" w:color="auto" w:fill="EAF9E8"/>
          </w:tcPr>
          <w:p>
            <w:pPr>
              <w:spacing w:after="0"/>
              <w:rPr>
                <w:sz w:val="20"/>
                <w:szCs w:val="20"/>
                <w:color w:val="auto"/>
              </w:rPr>
            </w:pPr>
            <w:r>
              <w:rPr>
                <w:rFonts w:ascii="Arial" w:cs="Arial" w:eastAsia="Arial" w:hAnsi="Arial"/>
                <w:sz w:val="18"/>
                <w:szCs w:val="18"/>
                <w:color w:val="auto"/>
              </w:rPr>
              <w:t>Notional balance of interest rate caps</w:t>
            </w:r>
          </w:p>
        </w:tc>
        <w:tc>
          <w:tcPr>
            <w:tcW w:w="140" w:type="dxa"/>
            <w:vAlign w:val="bottom"/>
            <w:shd w:val="clear" w:color="auto" w:fill="EAF9E8"/>
          </w:tcPr>
          <w:p>
            <w:pPr>
              <w:spacing w:after="0"/>
              <w:rPr>
                <w:sz w:val="18"/>
                <w:szCs w:val="18"/>
                <w:color w:val="auto"/>
              </w:rPr>
            </w:pPr>
          </w:p>
        </w:tc>
        <w:tc>
          <w:tcPr>
            <w:tcW w:w="13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450,000</w:t>
            </w:r>
          </w:p>
        </w:tc>
        <w:tc>
          <w:tcPr>
            <w:tcW w:w="220" w:type="dxa"/>
            <w:vAlign w:val="bottom"/>
            <w:shd w:val="clear" w:color="auto" w:fill="EAF9E8"/>
          </w:tcPr>
          <w:p>
            <w:pPr>
              <w:spacing w:after="0"/>
              <w:rPr>
                <w:sz w:val="18"/>
                <w:szCs w:val="18"/>
                <w:color w:val="auto"/>
              </w:rPr>
            </w:pPr>
          </w:p>
        </w:tc>
      </w:tr>
    </w:tbl>
    <w:p>
      <w:pPr>
        <w:spacing w:after="0" w:line="20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report float earnings, which totaled $1,850 for the first quarter of 2009, as a component of servicing and subservicing fees.</w:t>
      </w:r>
    </w:p>
    <w:p>
      <w:pPr>
        <w:spacing w:after="0" w:line="225" w:lineRule="exact"/>
        <w:rPr>
          <w:sz w:val="20"/>
          <w:szCs w:val="20"/>
          <w:color w:val="auto"/>
        </w:rPr>
      </w:pPr>
    </w:p>
    <w:p>
      <w:pPr>
        <w:jc w:val="both"/>
        <w:ind w:firstLine="569"/>
        <w:spacing w:after="0" w:line="268" w:lineRule="auto"/>
        <w:rPr>
          <w:sz w:val="20"/>
          <w:szCs w:val="20"/>
          <w:color w:val="auto"/>
        </w:rPr>
      </w:pPr>
      <w:r>
        <w:rPr>
          <w:rFonts w:ascii="Arial" w:cs="Arial" w:eastAsia="Arial" w:hAnsi="Arial"/>
          <w:sz w:val="18"/>
          <w:szCs w:val="18"/>
          <w:color w:val="auto"/>
        </w:rPr>
        <w:t>Our balance sheet at March 31, 2009 included interest-earning assets totaling $358,218 including $238,161 of investment grade auction rate securities, $58,440 of debt service accounts, $44,670 of loans held for resale and $5,000 of interest-earning collateral accounts.</w:t>
      </w:r>
    </w:p>
    <w:p>
      <w:pPr>
        <w:spacing w:after="0" w:line="186" w:lineRule="exact"/>
        <w:rPr>
          <w:sz w:val="20"/>
          <w:szCs w:val="20"/>
          <w:color w:val="auto"/>
        </w:rPr>
      </w:pPr>
    </w:p>
    <w:p>
      <w:pPr>
        <w:jc w:val="both"/>
        <w:ind w:firstLine="521"/>
        <w:spacing w:after="0" w:line="259" w:lineRule="auto"/>
        <w:rPr>
          <w:sz w:val="20"/>
          <w:szCs w:val="20"/>
          <w:color w:val="auto"/>
        </w:rPr>
      </w:pPr>
      <w:r>
        <w:rPr>
          <w:rFonts w:ascii="Arial" w:cs="Arial" w:eastAsia="Arial" w:hAnsi="Arial"/>
          <w:sz w:val="18"/>
          <w:szCs w:val="18"/>
          <w:color w:val="auto"/>
        </w:rPr>
        <w:t>Interest rates, prepayment speeds and the payment performance of the loans significantly affect both our initial and ongoing valuations of and the rate of amortization of MSRs. As of March 31, 2009, the carrying value and estimated fair value of our residential mortgage servicing rights were $140,603 and $146,876, respectively.</w:t>
      </w:r>
    </w:p>
    <w:p>
      <w:pPr>
        <w:spacing w:after="0" w:line="194" w:lineRule="exact"/>
        <w:rPr>
          <w:sz w:val="20"/>
          <w:szCs w:val="20"/>
          <w:color w:val="auto"/>
        </w:rPr>
      </w:pPr>
    </w:p>
    <w:p>
      <w:pPr>
        <w:jc w:val="both"/>
        <w:ind w:firstLine="526"/>
        <w:spacing w:after="0" w:line="298" w:lineRule="auto"/>
        <w:rPr>
          <w:sz w:val="20"/>
          <w:szCs w:val="20"/>
          <w:color w:val="auto"/>
        </w:rPr>
      </w:pPr>
      <w:r>
        <w:rPr>
          <w:rFonts w:ascii="Arial" w:cs="Arial" w:eastAsia="Arial" w:hAnsi="Arial"/>
          <w:sz w:val="16"/>
          <w:szCs w:val="16"/>
          <w:color w:val="auto"/>
        </w:rPr>
        <w:t>We face little market risk with regard to our advances and match funded advances on loans serviced for others. This is because we are obligated to fund advances only to the extent that we believe that they are recoverable and because advances generally are the first obligations to be satisfied when a securitization trust disburses funds. We are indirectly exposed to interest risk by our funding of advances because advances bear no interest, and approximately 80% of our total advances and match funded advances are funded through borrowings, most of which are variable rate debt.</w:t>
      </w:r>
    </w:p>
    <w:p>
      <w:pPr>
        <w:spacing w:after="0" w:line="167" w:lineRule="exact"/>
        <w:rPr>
          <w:sz w:val="20"/>
          <w:szCs w:val="20"/>
          <w:color w:val="auto"/>
        </w:rPr>
      </w:pPr>
    </w:p>
    <w:p>
      <w:pPr>
        <w:jc w:val="both"/>
        <w:ind w:firstLine="529"/>
        <w:spacing w:after="0" w:line="256" w:lineRule="auto"/>
        <w:rPr>
          <w:sz w:val="20"/>
          <w:szCs w:val="20"/>
          <w:color w:val="auto"/>
        </w:rPr>
      </w:pPr>
      <w:r>
        <w:rPr>
          <w:rFonts w:ascii="Arial" w:cs="Arial" w:eastAsia="Arial" w:hAnsi="Arial"/>
          <w:sz w:val="18"/>
          <w:szCs w:val="18"/>
          <w:color w:val="auto"/>
        </w:rPr>
        <w:t>We are exposed to foreign currency exchange rate risk in connection with our investment in non-U.S. dollar functional currency operations to the extent that our foreign exchange positions remain unhedged. Our operations in Canada, Germany, Uruguay and India expose us to foreign currency exchange rate risk, but we consider this risk to be insignificant. We have entered into foreign currency futures contracts to hedge the value of our net investment in BOK against adverse changes in the value of the Euro versus the U.S. Dollar.</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Changes in Interest Rates on the Net Value of Interest Rate-Sensitive Financial Instruments</w:t>
      </w:r>
    </w:p>
    <w:p>
      <w:pPr>
        <w:spacing w:after="0" w:line="225" w:lineRule="exact"/>
        <w:rPr>
          <w:sz w:val="20"/>
          <w:szCs w:val="20"/>
          <w:color w:val="auto"/>
        </w:rPr>
      </w:pPr>
    </w:p>
    <w:p>
      <w:pPr>
        <w:jc w:val="both"/>
        <w:ind w:firstLine="489"/>
        <w:spacing w:after="0" w:line="290" w:lineRule="auto"/>
        <w:rPr>
          <w:sz w:val="20"/>
          <w:szCs w:val="20"/>
          <w:color w:val="auto"/>
        </w:rPr>
      </w:pPr>
      <w:r>
        <w:rPr>
          <w:rFonts w:ascii="Arial" w:cs="Arial" w:eastAsia="Arial" w:hAnsi="Arial"/>
          <w:sz w:val="16"/>
          <w:szCs w:val="16"/>
          <w:color w:val="auto"/>
        </w:rPr>
        <w:t>We perform an interest rate sensitivity analysis of our portfolio of MSRs every quarter</w:t>
      </w:r>
      <w:r>
        <w:rPr>
          <w:rFonts w:ascii="Arial" w:cs="Arial" w:eastAsia="Arial" w:hAnsi="Arial"/>
          <w:sz w:val="16"/>
          <w:szCs w:val="16"/>
          <w:b w:val="1"/>
          <w:bCs w:val="1"/>
          <w:color w:val="auto"/>
        </w:rPr>
        <w:t>.</w:t>
      </w:r>
      <w:r>
        <w:rPr>
          <w:rFonts w:ascii="Arial" w:cs="Arial" w:eastAsia="Arial" w:hAnsi="Arial"/>
          <w:sz w:val="16"/>
          <w:szCs w:val="16"/>
          <w:color w:val="auto"/>
        </w:rPr>
        <w:t xml:space="preserve"> We currently estimate that the fair value of the portfolio decreases or increases by approximately 6.1% or 5.8%, respectively for every 50 basis point increase or decrease in interest rates</w:t>
      </w:r>
      <w:r>
        <w:rPr>
          <w:rFonts w:ascii="Arial" w:cs="Arial" w:eastAsia="Arial" w:hAnsi="Arial"/>
          <w:sz w:val="16"/>
          <w:szCs w:val="16"/>
          <w:b w:val="1"/>
          <w:bCs w:val="1"/>
          <w:color w:val="auto"/>
        </w:rPr>
        <w:t>.</w:t>
      </w:r>
      <w:r>
        <w:rPr>
          <w:rFonts w:ascii="Arial" w:cs="Arial" w:eastAsia="Arial" w:hAnsi="Arial"/>
          <w:sz w:val="16"/>
          <w:szCs w:val="16"/>
          <w:color w:val="auto"/>
        </w:rPr>
        <w:t xml:space="preserve"> This sensitivity analysis is limited in that it is performed at a particular point in time; only contemplates certain movements in interest rates; does not incorporate changes in interest rate volatility; is subject to the accuracy of various assumptions used, including prepayment forecasts and discount rates; and does not incorporate other factors that would impact our overall financial performance in such scenarios. We carry MSRs at the lower of amortized cost or fair value by strata. To the extent that fair value declines below amortized cost, we record an impairment charge to earnings and establish a valuation allowance. A subsequent increase in fair value could result in the recovery of some or all of a previously established valuation allowance. However, an increase in fair value of a particular stratum above its amortized cost would not be reflected in current earnings. For these reasons, this interest rate sensitivity estimate should not be viewed as an earnings forecast.</w:t>
      </w:r>
    </w:p>
    <w:p>
      <w:pPr>
        <w:spacing w:after="0" w:line="172" w:lineRule="exact"/>
        <w:rPr>
          <w:sz w:val="20"/>
          <w:szCs w:val="20"/>
          <w:color w:val="auto"/>
        </w:rPr>
      </w:pPr>
    </w:p>
    <w:p>
      <w:pPr>
        <w:jc w:val="both"/>
        <w:ind w:firstLine="443"/>
        <w:spacing w:after="0" w:line="291" w:lineRule="auto"/>
        <w:rPr>
          <w:sz w:val="20"/>
          <w:szCs w:val="20"/>
          <w:color w:val="auto"/>
        </w:rPr>
      </w:pPr>
      <w:r>
        <w:rPr>
          <w:rFonts w:ascii="Arial" w:cs="Arial" w:eastAsia="Arial" w:hAnsi="Arial"/>
          <w:sz w:val="16"/>
          <w:szCs w:val="16"/>
          <w:color w:val="auto"/>
        </w:rPr>
        <w:t>Our Investment Committee is authorized to utilize a wide variety of off-balance sheet financial techniques to assist it in the management of interest rate risk and foreign currency exchange rate risk. At March 31, 2009, we had interest rate caps with a notional amount of $250,000 to protect us against the effects of rising interest rates related to a variable-rate match funded note issued in December 2007 and $183,333 to protect us against the effects of rising interest rates on a variable-rate match funded note that was renewed on February 2008. We also sold short foreign currency futures with a notional amount of $9,605 to hedge against the foreign exchange rate risk represented by our investment in BOK. See Note 18 to our Interim Consolidated Financial Statements for additional information regarding our management of interest rate and foreign currency exchange rate risk.</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31" w:lineRule="exact"/>
        <w:rPr>
          <w:sz w:val="20"/>
          <w:szCs w:val="20"/>
          <w:color w:val="auto"/>
        </w:rPr>
      </w:pPr>
    </w:p>
    <w:p>
      <w:pPr>
        <w:jc w:val="both"/>
        <w:ind w:firstLine="478"/>
        <w:spacing w:after="0" w:line="289" w:lineRule="auto"/>
        <w:rPr>
          <w:sz w:val="20"/>
          <w:szCs w:val="20"/>
          <w:color w:val="auto"/>
        </w:rPr>
      </w:pPr>
      <w:r>
        <w:rPr>
          <w:rFonts w:ascii="Arial" w:cs="Arial" w:eastAsia="Arial" w:hAnsi="Arial"/>
          <w:sz w:val="16"/>
          <w:szCs w:val="16"/>
          <w:color w:val="auto"/>
        </w:rPr>
        <w:t>Our management, with the participation of our chief executive officer and chief financial officer, evaluated the effectiveness of our disclosure controls and procedures (as defined in Rules 13a-15(e) and 15d-15(e) under the Securities Exchange Act) as of September 30, 2008. Based on this evaluation, our chief executive officer and chief financial officer concluded that, as of March 31, 2009, our disclosure controls and procedures (1) were designed and functioning effectively to ensure that material information relating to OCN, including its consolidated subsidiaries, is made known to our chief executive officer and chief financial officer by others within those entities, particularly during the period in which this report was being prepared and (2) were operating effectively in that they provided reasonable assurance that information required to be disclosed by OCN in the reports that it files or submits under the Securities Exchange Act of 1934 (i) is recorded, processed, summarized and reported within the time periods specified in the SEC’s rules and forms and (ii) accumulated and communicated to management, including the chief executive officer or chief financial officer, as appropriate, to allow timely decisions regarding disclosure.</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0" w:name="page61"/>
    <w:bookmarkEnd w:id="60"/>
    <w:p>
      <w:pPr>
        <w:ind w:firstLine="464"/>
        <w:spacing w:after="0" w:line="332" w:lineRule="auto"/>
        <w:rPr>
          <w:sz w:val="20"/>
          <w:szCs w:val="20"/>
          <w:color w:val="auto"/>
        </w:rPr>
      </w:pPr>
      <w:r>
        <w:rPr>
          <w:rFonts w:ascii="Arial" w:cs="Arial" w:eastAsia="Arial" w:hAnsi="Arial"/>
          <w:sz w:val="16"/>
          <w:szCs w:val="16"/>
          <w:color w:val="auto"/>
        </w:rPr>
        <w:t>No change in our internal control over financial reporting (as defined in Rules 13a-15(f) and 15d-15(f) under the Securities Exchange Act) occurred during the fiscal quarter ended March 31, 2009 that has materially affected, or is reasonably likely to materially affect, our internal control over financial reporting.</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See “Note 20, Commitments and Contingencies” of the Interim Consolidated Financial Statements for information regarding legal proceedings.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31" w:lineRule="exact"/>
        <w:rPr>
          <w:sz w:val="20"/>
          <w:szCs w:val="20"/>
          <w:color w:val="auto"/>
        </w:rPr>
      </w:pPr>
    </w:p>
    <w:p>
      <w:pPr>
        <w:ind w:firstLine="466"/>
        <w:spacing w:after="0" w:line="268" w:lineRule="auto"/>
        <w:rPr>
          <w:sz w:val="20"/>
          <w:szCs w:val="20"/>
          <w:color w:val="auto"/>
        </w:rPr>
      </w:pPr>
      <w:r>
        <w:rPr>
          <w:rFonts w:ascii="Arial" w:cs="Arial" w:eastAsia="Arial" w:hAnsi="Arial"/>
          <w:sz w:val="18"/>
          <w:szCs w:val="18"/>
          <w:color w:val="auto"/>
        </w:rPr>
        <w:t>We include a discussion of the principal risks and uncertainties that affect or could affect our business operations under Item 1A on pages 11 through 15 of our Annual Report on Form 10-K for the year ended December 31, 2008.</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39" w:lineRule="exact"/>
        <w:rPr>
          <w:sz w:val="20"/>
          <w:szCs w:val="20"/>
          <w:color w:val="auto"/>
        </w:rPr>
      </w:pPr>
    </w:p>
    <w:p>
      <w:pPr>
        <w:ind w:left="580" w:hanging="572"/>
        <w:spacing w:after="0"/>
        <w:tabs>
          <w:tab w:leader="none" w:pos="580"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21" w:lineRule="exact"/>
        <w:rPr>
          <w:sz w:val="20"/>
          <w:szCs w:val="20"/>
          <w:color w:val="auto"/>
        </w:rPr>
      </w:pPr>
    </w:p>
    <w:tbl>
      <w:tblPr>
        <w:tblLayout w:type="fixed"/>
        <w:tblInd w:w="580" w:type="dxa"/>
        <w:tblCellMar>
          <w:top w:w="0" w:type="dxa"/>
          <w:left w:w="0" w:type="dxa"/>
          <w:bottom w:w="0" w:type="dxa"/>
          <w:right w:w="0" w:type="dxa"/>
        </w:tblCellMar>
      </w:tblPr>
      <w:tr>
        <w:trPr>
          <w:trHeight w:val="210"/>
        </w:trPr>
        <w:tc>
          <w:tcPr>
            <w:tcW w:w="720" w:type="dxa"/>
            <w:vAlign w:val="bottom"/>
          </w:tcPr>
          <w:p>
            <w:pPr>
              <w:spacing w:after="0"/>
              <w:rPr>
                <w:sz w:val="20"/>
                <w:szCs w:val="20"/>
                <w:color w:val="auto"/>
              </w:rPr>
            </w:pPr>
            <w:r>
              <w:rPr>
                <w:rFonts w:ascii="Arial" w:cs="Arial" w:eastAsia="Arial" w:hAnsi="Arial"/>
                <w:sz w:val="18"/>
                <w:szCs w:val="18"/>
                <w:color w:val="auto"/>
              </w:rPr>
              <w:t>3.1</w:t>
            </w:r>
          </w:p>
        </w:tc>
        <w:tc>
          <w:tcPr>
            <w:tcW w:w="10120" w:type="dxa"/>
            <w:vAlign w:val="bottom"/>
          </w:tcPr>
          <w:p>
            <w:pPr>
              <w:ind w:left="420"/>
              <w:spacing w:after="0"/>
              <w:rPr>
                <w:sz w:val="20"/>
                <w:szCs w:val="20"/>
                <w:color w:val="auto"/>
              </w:rPr>
            </w:pPr>
            <w:r>
              <w:rPr>
                <w:rFonts w:ascii="Arial" w:cs="Arial" w:eastAsia="Arial" w:hAnsi="Arial"/>
                <w:sz w:val="18"/>
                <w:szCs w:val="18"/>
                <w:color w:val="auto"/>
              </w:rPr>
              <w:t>Amended and Restated Articles of Incorporation (1)</w:t>
            </w:r>
          </w:p>
        </w:tc>
      </w:tr>
      <w:tr>
        <w:trPr>
          <w:trHeight w:val="216"/>
        </w:trPr>
        <w:tc>
          <w:tcPr>
            <w:tcW w:w="720" w:type="dxa"/>
            <w:vAlign w:val="bottom"/>
          </w:tcPr>
          <w:p>
            <w:pPr>
              <w:spacing w:after="0"/>
              <w:rPr>
                <w:sz w:val="20"/>
                <w:szCs w:val="20"/>
                <w:color w:val="auto"/>
              </w:rPr>
            </w:pPr>
            <w:r>
              <w:rPr>
                <w:rFonts w:ascii="Arial" w:cs="Arial" w:eastAsia="Arial" w:hAnsi="Arial"/>
                <w:sz w:val="18"/>
                <w:szCs w:val="18"/>
                <w:color w:val="auto"/>
              </w:rPr>
              <w:t>3.2</w:t>
            </w:r>
          </w:p>
        </w:tc>
        <w:tc>
          <w:tcPr>
            <w:tcW w:w="10120" w:type="dxa"/>
            <w:vAlign w:val="bottom"/>
          </w:tcPr>
          <w:p>
            <w:pPr>
              <w:ind w:left="420"/>
              <w:spacing w:after="0"/>
              <w:rPr>
                <w:sz w:val="20"/>
                <w:szCs w:val="20"/>
                <w:color w:val="auto"/>
              </w:rPr>
            </w:pPr>
            <w:r>
              <w:rPr>
                <w:rFonts w:ascii="Arial" w:cs="Arial" w:eastAsia="Arial" w:hAnsi="Arial"/>
                <w:sz w:val="18"/>
                <w:szCs w:val="18"/>
                <w:color w:val="auto"/>
              </w:rPr>
              <w:t>Amended and Restated Bylaws (2)</w:t>
            </w:r>
          </w:p>
        </w:tc>
      </w:tr>
      <w:tr>
        <w:trPr>
          <w:trHeight w:val="216"/>
        </w:trPr>
        <w:tc>
          <w:tcPr>
            <w:tcW w:w="720" w:type="dxa"/>
            <w:vAlign w:val="bottom"/>
          </w:tcPr>
          <w:p>
            <w:pPr>
              <w:spacing w:after="0"/>
              <w:rPr>
                <w:sz w:val="20"/>
                <w:szCs w:val="20"/>
                <w:color w:val="auto"/>
              </w:rPr>
            </w:pPr>
            <w:r>
              <w:rPr>
                <w:rFonts w:ascii="Arial" w:cs="Arial" w:eastAsia="Arial" w:hAnsi="Arial"/>
                <w:sz w:val="18"/>
                <w:szCs w:val="18"/>
                <w:color w:val="auto"/>
              </w:rPr>
              <w:t>4.0</w:t>
            </w:r>
          </w:p>
        </w:tc>
        <w:tc>
          <w:tcPr>
            <w:tcW w:w="10120" w:type="dxa"/>
            <w:vAlign w:val="bottom"/>
          </w:tcPr>
          <w:p>
            <w:pPr>
              <w:ind w:left="420"/>
              <w:spacing w:after="0"/>
              <w:rPr>
                <w:sz w:val="20"/>
                <w:szCs w:val="20"/>
                <w:color w:val="auto"/>
              </w:rPr>
            </w:pPr>
            <w:r>
              <w:rPr>
                <w:rFonts w:ascii="Arial" w:cs="Arial" w:eastAsia="Arial" w:hAnsi="Arial"/>
                <w:sz w:val="18"/>
                <w:szCs w:val="18"/>
                <w:color w:val="auto"/>
              </w:rPr>
              <w:t>Form of Certificate of Common Stock (1)</w:t>
            </w:r>
          </w:p>
        </w:tc>
      </w:tr>
      <w:tr>
        <w:trPr>
          <w:trHeight w:val="216"/>
        </w:trPr>
        <w:tc>
          <w:tcPr>
            <w:tcW w:w="720" w:type="dxa"/>
            <w:vAlign w:val="bottom"/>
          </w:tcPr>
          <w:p>
            <w:pPr>
              <w:spacing w:after="0"/>
              <w:rPr>
                <w:sz w:val="20"/>
                <w:szCs w:val="20"/>
                <w:color w:val="auto"/>
              </w:rPr>
            </w:pPr>
            <w:r>
              <w:rPr>
                <w:rFonts w:ascii="Arial" w:cs="Arial" w:eastAsia="Arial" w:hAnsi="Arial"/>
                <w:sz w:val="18"/>
                <w:szCs w:val="18"/>
                <w:color w:val="auto"/>
              </w:rPr>
              <w:t>4.1</w:t>
            </w:r>
          </w:p>
        </w:tc>
        <w:tc>
          <w:tcPr>
            <w:tcW w:w="10120" w:type="dxa"/>
            <w:vAlign w:val="bottom"/>
          </w:tcPr>
          <w:p>
            <w:pPr>
              <w:ind w:left="420"/>
              <w:spacing w:after="0"/>
              <w:rPr>
                <w:sz w:val="20"/>
                <w:szCs w:val="20"/>
                <w:color w:val="auto"/>
              </w:rPr>
            </w:pPr>
            <w:r>
              <w:rPr>
                <w:rFonts w:ascii="Arial" w:cs="Arial" w:eastAsia="Arial" w:hAnsi="Arial"/>
                <w:sz w:val="18"/>
                <w:szCs w:val="18"/>
                <w:color w:val="auto"/>
              </w:rPr>
              <w:t>Certificate of Trust of Ocwen Capital Trust I (3)</w:t>
            </w:r>
          </w:p>
        </w:tc>
      </w:tr>
      <w:tr>
        <w:trPr>
          <w:trHeight w:val="216"/>
        </w:trPr>
        <w:tc>
          <w:tcPr>
            <w:tcW w:w="720" w:type="dxa"/>
            <w:vAlign w:val="bottom"/>
          </w:tcPr>
          <w:p>
            <w:pPr>
              <w:spacing w:after="0"/>
              <w:rPr>
                <w:sz w:val="20"/>
                <w:szCs w:val="20"/>
                <w:color w:val="auto"/>
              </w:rPr>
            </w:pPr>
            <w:r>
              <w:rPr>
                <w:rFonts w:ascii="Arial" w:cs="Arial" w:eastAsia="Arial" w:hAnsi="Arial"/>
                <w:sz w:val="18"/>
                <w:szCs w:val="18"/>
                <w:color w:val="auto"/>
              </w:rPr>
              <w:t>4.2</w:t>
            </w:r>
          </w:p>
        </w:tc>
        <w:tc>
          <w:tcPr>
            <w:tcW w:w="10120" w:type="dxa"/>
            <w:vAlign w:val="bottom"/>
          </w:tcPr>
          <w:p>
            <w:pPr>
              <w:ind w:left="420"/>
              <w:spacing w:after="0"/>
              <w:rPr>
                <w:sz w:val="20"/>
                <w:szCs w:val="20"/>
                <w:color w:val="auto"/>
              </w:rPr>
            </w:pPr>
            <w:r>
              <w:rPr>
                <w:rFonts w:ascii="Arial" w:cs="Arial" w:eastAsia="Arial" w:hAnsi="Arial"/>
                <w:sz w:val="18"/>
                <w:szCs w:val="18"/>
                <w:color w:val="auto"/>
              </w:rPr>
              <w:t>Amended and Restated Declaration of Trust of Ocwen Capital Trust I (3)</w:t>
            </w:r>
          </w:p>
        </w:tc>
      </w:tr>
      <w:tr>
        <w:trPr>
          <w:trHeight w:val="216"/>
        </w:trPr>
        <w:tc>
          <w:tcPr>
            <w:tcW w:w="720" w:type="dxa"/>
            <w:vAlign w:val="bottom"/>
          </w:tcPr>
          <w:p>
            <w:pPr>
              <w:spacing w:after="0"/>
              <w:rPr>
                <w:sz w:val="20"/>
                <w:szCs w:val="20"/>
                <w:color w:val="auto"/>
              </w:rPr>
            </w:pPr>
            <w:r>
              <w:rPr>
                <w:rFonts w:ascii="Arial" w:cs="Arial" w:eastAsia="Arial" w:hAnsi="Arial"/>
                <w:sz w:val="18"/>
                <w:szCs w:val="18"/>
                <w:color w:val="auto"/>
              </w:rPr>
              <w:t>4.3</w:t>
            </w:r>
          </w:p>
        </w:tc>
        <w:tc>
          <w:tcPr>
            <w:tcW w:w="10120" w:type="dxa"/>
            <w:vAlign w:val="bottom"/>
          </w:tcPr>
          <w:p>
            <w:pPr>
              <w:ind w:left="420"/>
              <w:spacing w:after="0"/>
              <w:rPr>
                <w:sz w:val="20"/>
                <w:szCs w:val="20"/>
                <w:color w:val="auto"/>
              </w:rPr>
            </w:pPr>
            <w:r>
              <w:rPr>
                <w:rFonts w:ascii="Arial" w:cs="Arial" w:eastAsia="Arial" w:hAnsi="Arial"/>
                <w:sz w:val="18"/>
                <w:szCs w:val="18"/>
                <w:color w:val="auto"/>
              </w:rPr>
              <w:t>Form of Capital Security of Ocwen Capital Trust I (included in Exhibit 4.4) (3)</w:t>
            </w:r>
          </w:p>
        </w:tc>
      </w:tr>
      <w:tr>
        <w:trPr>
          <w:trHeight w:val="216"/>
        </w:trPr>
        <w:tc>
          <w:tcPr>
            <w:tcW w:w="720" w:type="dxa"/>
            <w:vAlign w:val="bottom"/>
          </w:tcPr>
          <w:p>
            <w:pPr>
              <w:spacing w:after="0"/>
              <w:rPr>
                <w:sz w:val="20"/>
                <w:szCs w:val="20"/>
                <w:color w:val="auto"/>
              </w:rPr>
            </w:pPr>
            <w:r>
              <w:rPr>
                <w:rFonts w:ascii="Arial" w:cs="Arial" w:eastAsia="Arial" w:hAnsi="Arial"/>
                <w:sz w:val="18"/>
                <w:szCs w:val="18"/>
                <w:color w:val="auto"/>
              </w:rPr>
              <w:t>4.4</w:t>
            </w:r>
          </w:p>
        </w:tc>
        <w:tc>
          <w:tcPr>
            <w:tcW w:w="10120" w:type="dxa"/>
            <w:vAlign w:val="bottom"/>
          </w:tcPr>
          <w:p>
            <w:pPr>
              <w:ind w:left="420"/>
              <w:spacing w:after="0"/>
              <w:rPr>
                <w:sz w:val="20"/>
                <w:szCs w:val="20"/>
                <w:color w:val="auto"/>
              </w:rPr>
            </w:pPr>
            <w:r>
              <w:rPr>
                <w:rFonts w:ascii="Arial" w:cs="Arial" w:eastAsia="Arial" w:hAnsi="Arial"/>
                <w:sz w:val="18"/>
                <w:szCs w:val="18"/>
                <w:color w:val="auto"/>
              </w:rPr>
              <w:t>Form of Indenture relating to 10.875% Junior Subordinated Debentures due 2027 of OCN (3)</w:t>
            </w:r>
          </w:p>
        </w:tc>
      </w:tr>
      <w:tr>
        <w:trPr>
          <w:trHeight w:val="216"/>
        </w:trPr>
        <w:tc>
          <w:tcPr>
            <w:tcW w:w="720" w:type="dxa"/>
            <w:vAlign w:val="bottom"/>
          </w:tcPr>
          <w:p>
            <w:pPr>
              <w:spacing w:after="0"/>
              <w:rPr>
                <w:sz w:val="20"/>
                <w:szCs w:val="20"/>
                <w:color w:val="auto"/>
              </w:rPr>
            </w:pPr>
            <w:r>
              <w:rPr>
                <w:rFonts w:ascii="Arial" w:cs="Arial" w:eastAsia="Arial" w:hAnsi="Arial"/>
                <w:sz w:val="18"/>
                <w:szCs w:val="18"/>
                <w:color w:val="auto"/>
              </w:rPr>
              <w:t>4.5</w:t>
            </w:r>
          </w:p>
        </w:tc>
        <w:tc>
          <w:tcPr>
            <w:tcW w:w="10120" w:type="dxa"/>
            <w:vAlign w:val="bottom"/>
          </w:tcPr>
          <w:p>
            <w:pPr>
              <w:ind w:left="420"/>
              <w:spacing w:after="0"/>
              <w:rPr>
                <w:sz w:val="20"/>
                <w:szCs w:val="20"/>
                <w:color w:val="auto"/>
              </w:rPr>
            </w:pPr>
            <w:r>
              <w:rPr>
                <w:rFonts w:ascii="Arial" w:cs="Arial" w:eastAsia="Arial" w:hAnsi="Arial"/>
                <w:sz w:val="18"/>
                <w:szCs w:val="18"/>
                <w:color w:val="auto"/>
              </w:rPr>
              <w:t>Form of 10.875% Junior Subordinated Debentures due 2027 of OCN (included in Exhibit 4.6) (3)</w:t>
            </w:r>
          </w:p>
        </w:tc>
      </w:tr>
      <w:tr>
        <w:trPr>
          <w:trHeight w:val="216"/>
        </w:trPr>
        <w:tc>
          <w:tcPr>
            <w:tcW w:w="720" w:type="dxa"/>
            <w:vAlign w:val="bottom"/>
          </w:tcPr>
          <w:p>
            <w:pPr>
              <w:spacing w:after="0"/>
              <w:rPr>
                <w:sz w:val="20"/>
                <w:szCs w:val="20"/>
                <w:color w:val="auto"/>
              </w:rPr>
            </w:pPr>
            <w:r>
              <w:rPr>
                <w:rFonts w:ascii="Arial" w:cs="Arial" w:eastAsia="Arial" w:hAnsi="Arial"/>
                <w:sz w:val="18"/>
                <w:szCs w:val="18"/>
                <w:color w:val="auto"/>
              </w:rPr>
              <w:t>4.6</w:t>
            </w:r>
          </w:p>
        </w:tc>
        <w:tc>
          <w:tcPr>
            <w:tcW w:w="10120" w:type="dxa"/>
            <w:vAlign w:val="bottom"/>
          </w:tcPr>
          <w:p>
            <w:pPr>
              <w:ind w:left="420"/>
              <w:spacing w:after="0"/>
              <w:rPr>
                <w:sz w:val="20"/>
                <w:szCs w:val="20"/>
                <w:color w:val="auto"/>
              </w:rPr>
            </w:pPr>
            <w:r>
              <w:rPr>
                <w:rFonts w:ascii="Arial" w:cs="Arial" w:eastAsia="Arial" w:hAnsi="Arial"/>
                <w:sz w:val="18"/>
                <w:szCs w:val="18"/>
                <w:color w:val="auto"/>
              </w:rPr>
              <w:t>Form of Guarantee of OCN relating to the Capital Securities of Ocwen Capital Trust I (3)</w:t>
            </w:r>
          </w:p>
        </w:tc>
      </w:tr>
      <w:tr>
        <w:trPr>
          <w:trHeight w:val="216"/>
        </w:trPr>
        <w:tc>
          <w:tcPr>
            <w:tcW w:w="720" w:type="dxa"/>
            <w:vAlign w:val="bottom"/>
          </w:tcPr>
          <w:p>
            <w:pPr>
              <w:spacing w:after="0"/>
              <w:rPr>
                <w:sz w:val="20"/>
                <w:szCs w:val="20"/>
                <w:color w:val="auto"/>
              </w:rPr>
            </w:pPr>
            <w:r>
              <w:rPr>
                <w:rFonts w:ascii="Arial" w:cs="Arial" w:eastAsia="Arial" w:hAnsi="Arial"/>
                <w:sz w:val="18"/>
                <w:szCs w:val="18"/>
                <w:color w:val="auto"/>
              </w:rPr>
              <w:t>4.7</w:t>
            </w:r>
          </w:p>
        </w:tc>
        <w:tc>
          <w:tcPr>
            <w:tcW w:w="10120" w:type="dxa"/>
            <w:vAlign w:val="bottom"/>
          </w:tcPr>
          <w:p>
            <w:pPr>
              <w:ind w:left="420"/>
              <w:spacing w:after="0"/>
              <w:rPr>
                <w:sz w:val="20"/>
                <w:szCs w:val="20"/>
                <w:color w:val="auto"/>
              </w:rPr>
            </w:pPr>
            <w:r>
              <w:rPr>
                <w:rFonts w:ascii="Arial" w:cs="Arial" w:eastAsia="Arial" w:hAnsi="Arial"/>
                <w:sz w:val="18"/>
                <w:szCs w:val="18"/>
                <w:color w:val="auto"/>
              </w:rPr>
              <w:t>Indenture dated as of July 28, 2004, between OCN and the Bank of New York Trust Company, N.A., as trustee (4)</w:t>
            </w:r>
          </w:p>
        </w:tc>
      </w:tr>
      <w:tr>
        <w:trPr>
          <w:trHeight w:val="216"/>
        </w:trPr>
        <w:tc>
          <w:tcPr>
            <w:tcW w:w="720" w:type="dxa"/>
            <w:vAlign w:val="bottom"/>
          </w:tcPr>
          <w:p>
            <w:pPr>
              <w:spacing w:after="0"/>
              <w:rPr>
                <w:sz w:val="20"/>
                <w:szCs w:val="20"/>
                <w:color w:val="auto"/>
              </w:rPr>
            </w:pPr>
            <w:r>
              <w:rPr>
                <w:rFonts w:ascii="Arial" w:cs="Arial" w:eastAsia="Arial" w:hAnsi="Arial"/>
                <w:sz w:val="18"/>
                <w:szCs w:val="18"/>
                <w:color w:val="auto"/>
              </w:rPr>
              <w:t>31.1</w:t>
            </w:r>
          </w:p>
        </w:tc>
        <w:tc>
          <w:tcPr>
            <w:tcW w:w="10120" w:type="dxa"/>
            <w:vAlign w:val="bottom"/>
          </w:tcPr>
          <w:p>
            <w:pPr>
              <w:ind w:left="420"/>
              <w:spacing w:after="0"/>
              <w:rPr>
                <w:sz w:val="20"/>
                <w:szCs w:val="20"/>
                <w:color w:val="auto"/>
              </w:rPr>
            </w:pPr>
            <w:r>
              <w:rPr>
                <w:rFonts w:ascii="Arial" w:cs="Arial" w:eastAsia="Arial" w:hAnsi="Arial"/>
                <w:sz w:val="18"/>
                <w:szCs w:val="18"/>
                <w:color w:val="auto"/>
              </w:rPr>
              <w:t>Certification of the Chief Executive Officer pursuant to Section 302 of the Sarbanes-Oxley Act of 2002 (filed herewith)</w:t>
            </w:r>
          </w:p>
        </w:tc>
      </w:tr>
      <w:tr>
        <w:trPr>
          <w:trHeight w:val="216"/>
        </w:trPr>
        <w:tc>
          <w:tcPr>
            <w:tcW w:w="720" w:type="dxa"/>
            <w:vAlign w:val="bottom"/>
          </w:tcPr>
          <w:p>
            <w:pPr>
              <w:spacing w:after="0"/>
              <w:rPr>
                <w:sz w:val="20"/>
                <w:szCs w:val="20"/>
                <w:color w:val="auto"/>
              </w:rPr>
            </w:pPr>
            <w:r>
              <w:rPr>
                <w:rFonts w:ascii="Arial" w:cs="Arial" w:eastAsia="Arial" w:hAnsi="Arial"/>
                <w:sz w:val="18"/>
                <w:szCs w:val="18"/>
                <w:color w:val="auto"/>
              </w:rPr>
              <w:t>31.2</w:t>
            </w:r>
          </w:p>
        </w:tc>
        <w:tc>
          <w:tcPr>
            <w:tcW w:w="10120" w:type="dxa"/>
            <w:vAlign w:val="bottom"/>
          </w:tcPr>
          <w:p>
            <w:pPr>
              <w:ind w:left="420"/>
              <w:spacing w:after="0"/>
              <w:rPr>
                <w:sz w:val="20"/>
                <w:szCs w:val="20"/>
                <w:color w:val="auto"/>
              </w:rPr>
            </w:pPr>
            <w:r>
              <w:rPr>
                <w:rFonts w:ascii="Arial" w:cs="Arial" w:eastAsia="Arial" w:hAnsi="Arial"/>
                <w:sz w:val="18"/>
                <w:szCs w:val="18"/>
                <w:color w:val="auto"/>
              </w:rPr>
              <w:t>Certification of the Chief Financial Officer pursuant to Section 302 of the Sarbanes-Oxley Act of 2002 (filed herewith)</w:t>
            </w:r>
          </w:p>
        </w:tc>
      </w:tr>
      <w:tr>
        <w:trPr>
          <w:trHeight w:val="216"/>
        </w:trPr>
        <w:tc>
          <w:tcPr>
            <w:tcW w:w="720" w:type="dxa"/>
            <w:vAlign w:val="bottom"/>
          </w:tcPr>
          <w:p>
            <w:pPr>
              <w:spacing w:after="0"/>
              <w:rPr>
                <w:sz w:val="20"/>
                <w:szCs w:val="20"/>
                <w:color w:val="auto"/>
              </w:rPr>
            </w:pPr>
            <w:r>
              <w:rPr>
                <w:rFonts w:ascii="Arial" w:cs="Arial" w:eastAsia="Arial" w:hAnsi="Arial"/>
                <w:sz w:val="18"/>
                <w:szCs w:val="18"/>
                <w:color w:val="auto"/>
              </w:rPr>
              <w:t>32.1</w:t>
            </w:r>
          </w:p>
        </w:tc>
        <w:tc>
          <w:tcPr>
            <w:tcW w:w="10120" w:type="dxa"/>
            <w:vAlign w:val="bottom"/>
          </w:tcPr>
          <w:p>
            <w:pPr>
              <w:ind w:left="420"/>
              <w:spacing w:after="0"/>
              <w:rPr>
                <w:sz w:val="20"/>
                <w:szCs w:val="20"/>
                <w:color w:val="auto"/>
              </w:rPr>
            </w:pPr>
            <w:r>
              <w:rPr>
                <w:rFonts w:ascii="Arial" w:cs="Arial" w:eastAsia="Arial" w:hAnsi="Arial"/>
                <w:sz w:val="18"/>
                <w:szCs w:val="18"/>
                <w:color w:val="auto"/>
                <w:w w:val="91"/>
              </w:rPr>
              <w:t>Certification of the Chief Executive Officer pursuant to 18 U.S.C. Section 1350, as adopted pursuant to Section 906 of the Sarbanes-</w:t>
            </w:r>
          </w:p>
        </w:tc>
      </w:tr>
      <w:tr>
        <w:trPr>
          <w:trHeight w:val="216"/>
        </w:trPr>
        <w:tc>
          <w:tcPr>
            <w:tcW w:w="720" w:type="dxa"/>
            <w:vAlign w:val="bottom"/>
          </w:tcPr>
          <w:p>
            <w:pPr>
              <w:spacing w:after="0"/>
              <w:rPr>
                <w:sz w:val="18"/>
                <w:szCs w:val="18"/>
                <w:color w:val="auto"/>
              </w:rPr>
            </w:pPr>
          </w:p>
        </w:tc>
        <w:tc>
          <w:tcPr>
            <w:tcW w:w="10120" w:type="dxa"/>
            <w:vAlign w:val="bottom"/>
          </w:tcPr>
          <w:p>
            <w:pPr>
              <w:ind w:left="420"/>
              <w:spacing w:after="0"/>
              <w:rPr>
                <w:sz w:val="20"/>
                <w:szCs w:val="20"/>
                <w:color w:val="auto"/>
              </w:rPr>
            </w:pPr>
            <w:r>
              <w:rPr>
                <w:rFonts w:ascii="Arial" w:cs="Arial" w:eastAsia="Arial" w:hAnsi="Arial"/>
                <w:sz w:val="18"/>
                <w:szCs w:val="18"/>
                <w:color w:val="auto"/>
              </w:rPr>
              <w:t>Oxley Act of 2002 (filed herewith)</w:t>
            </w:r>
          </w:p>
        </w:tc>
      </w:tr>
      <w:tr>
        <w:trPr>
          <w:trHeight w:val="216"/>
        </w:trPr>
        <w:tc>
          <w:tcPr>
            <w:tcW w:w="720" w:type="dxa"/>
            <w:vAlign w:val="bottom"/>
          </w:tcPr>
          <w:p>
            <w:pPr>
              <w:spacing w:after="0"/>
              <w:rPr>
                <w:sz w:val="20"/>
                <w:szCs w:val="20"/>
                <w:color w:val="auto"/>
              </w:rPr>
            </w:pPr>
            <w:r>
              <w:rPr>
                <w:rFonts w:ascii="Arial" w:cs="Arial" w:eastAsia="Arial" w:hAnsi="Arial"/>
                <w:sz w:val="18"/>
                <w:szCs w:val="18"/>
                <w:color w:val="auto"/>
              </w:rPr>
              <w:t>32.2</w:t>
            </w:r>
          </w:p>
        </w:tc>
        <w:tc>
          <w:tcPr>
            <w:tcW w:w="10120" w:type="dxa"/>
            <w:vAlign w:val="bottom"/>
          </w:tcPr>
          <w:p>
            <w:pPr>
              <w:ind w:left="420"/>
              <w:spacing w:after="0"/>
              <w:rPr>
                <w:sz w:val="20"/>
                <w:szCs w:val="20"/>
                <w:color w:val="auto"/>
              </w:rPr>
            </w:pPr>
            <w:r>
              <w:rPr>
                <w:rFonts w:ascii="Arial" w:cs="Arial" w:eastAsia="Arial" w:hAnsi="Arial"/>
                <w:sz w:val="18"/>
                <w:szCs w:val="18"/>
                <w:color w:val="auto"/>
                <w:w w:val="92"/>
              </w:rPr>
              <w:t>Certification of the Chief Financial Officer pursuant to 18 U.S.C. Section 1350, as adopted pursuant to Section 906 of the Sarbanes-</w:t>
            </w:r>
          </w:p>
        </w:tc>
      </w:tr>
      <w:tr>
        <w:trPr>
          <w:trHeight w:val="222"/>
        </w:trPr>
        <w:tc>
          <w:tcPr>
            <w:tcW w:w="720" w:type="dxa"/>
            <w:vAlign w:val="bottom"/>
          </w:tcPr>
          <w:p>
            <w:pPr>
              <w:spacing w:after="0"/>
              <w:rPr>
                <w:sz w:val="19"/>
                <w:szCs w:val="19"/>
                <w:color w:val="auto"/>
              </w:rPr>
            </w:pPr>
          </w:p>
        </w:tc>
        <w:tc>
          <w:tcPr>
            <w:tcW w:w="10120" w:type="dxa"/>
            <w:vAlign w:val="bottom"/>
          </w:tcPr>
          <w:p>
            <w:pPr>
              <w:ind w:left="420"/>
              <w:spacing w:after="0"/>
              <w:rPr>
                <w:sz w:val="20"/>
                <w:szCs w:val="20"/>
                <w:color w:val="auto"/>
              </w:rPr>
            </w:pPr>
            <w:r>
              <w:rPr>
                <w:rFonts w:ascii="Arial" w:cs="Arial" w:eastAsia="Arial" w:hAnsi="Arial"/>
                <w:sz w:val="18"/>
                <w:szCs w:val="18"/>
                <w:color w:val="auto"/>
              </w:rPr>
              <w:t>Oxley Act of 2002 (filed herewith)</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309880</wp:posOffset>
            </wp:positionV>
            <wp:extent cx="72466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87" w:lineRule="exact"/>
        <w:rPr>
          <w:sz w:val="20"/>
          <w:szCs w:val="20"/>
          <w:color w:val="auto"/>
        </w:rPr>
      </w:pPr>
    </w:p>
    <w:p>
      <w:pPr>
        <w:ind w:left="580" w:hanging="572"/>
        <w:spacing w:after="0" w:line="254" w:lineRule="auto"/>
        <w:tabs>
          <w:tab w:leader="none" w:pos="5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Incorporated by reference from the similarly described exhibit filed in connection with the Registrant’s Registration Statement on Form S-1 (File No. 333-5153) as amended, declared effective by the commission on September 25, 1996.</w:t>
      </w:r>
    </w:p>
    <w:p>
      <w:pPr>
        <w:ind w:left="580" w:hanging="572"/>
        <w:spacing w:after="0" w:line="250" w:lineRule="auto"/>
        <w:tabs>
          <w:tab w:leader="none" w:pos="5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Incorporated by reference from the similarly described exhibit included with the Registrant’s Annual Report on Form 10-K for the year ended December 31, 2007.</w:t>
      </w:r>
    </w:p>
    <w:p>
      <w:pPr>
        <w:ind w:left="580" w:hanging="572"/>
        <w:spacing w:after="0" w:line="250" w:lineRule="auto"/>
        <w:tabs>
          <w:tab w:leader="none" w:pos="5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Incorporated by reference from the similarly described exhibit filed in connection with our Registration Statement on Form S-1 (File No. 333-28889), as amended, declared effective by the Commission on August 6, 1997.</w:t>
      </w:r>
    </w:p>
    <w:p>
      <w:pPr>
        <w:ind w:left="580" w:hanging="572"/>
        <w:spacing w:after="0" w:line="261" w:lineRule="auto"/>
        <w:tabs>
          <w:tab w:leader="none" w:pos="5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Incorporated by reference from the similarly described exhibit included with Registrant’s Quarterly Report on Form 10-Q for the quarterly period ended June 30, 2004.</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1" w:name="page62"/>
    <w:bookmarkEnd w:id="61"/>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Section 13 or 15(d) of the Securities Exchange Act of 1934, as amended, the Registrant has duly caused this report to be signed on its behalf by the undersigned, thereunto duly authorized.</w:t>
      </w:r>
    </w:p>
    <w:p>
      <w:pPr>
        <w:spacing w:after="0" w:line="193"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auto"/>
        </w:rPr>
        <w:t>OCWEN FINANCIAL CORPORATION</w:t>
      </w:r>
    </w:p>
    <w:p>
      <w:pPr>
        <w:spacing w:after="0" w:line="164" w:lineRule="exact"/>
        <w:rPr>
          <w:sz w:val="20"/>
          <w:szCs w:val="20"/>
          <w:color w:val="auto"/>
        </w:rPr>
      </w:pPr>
    </w:p>
    <w:p>
      <w:pPr>
        <w:spacing w:after="0"/>
        <w:tabs>
          <w:tab w:leader="none" w:pos="680" w:val="left"/>
          <w:tab w:leader="none" w:pos="41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May 7, 2009</w:t>
      </w:r>
      <w:r>
        <w:rPr>
          <w:sz w:val="20"/>
          <w:szCs w:val="20"/>
          <w:color w:val="auto"/>
        </w:rPr>
        <w:tab/>
      </w:r>
      <w:r>
        <w:rPr>
          <w:rFonts w:ascii="Arial" w:cs="Arial" w:eastAsia="Arial" w:hAnsi="Arial"/>
          <w:sz w:val="16"/>
          <w:szCs w:val="16"/>
          <w:color w:val="auto"/>
        </w:rPr>
        <w:t>By: /s/ David J. Gunter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2620645</wp:posOffset>
            </wp:positionH>
            <wp:positionV relativeFrom="paragraph">
              <wp:posOffset>165735</wp:posOffset>
            </wp:positionV>
            <wp:extent cx="376491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764915" cy="8890"/>
                    </a:xfrm>
                    <a:prstGeom prst="rect">
                      <a:avLst/>
                    </a:prstGeom>
                    <a:noFill/>
                  </pic:spPr>
                </pic:pic>
              </a:graphicData>
            </a:graphic>
          </wp:anchor>
        </w:drawing>
      </w:r>
    </w:p>
    <w:p>
      <w:pPr>
        <w:spacing w:after="0" w:line="246"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David J. Gunter,</w:t>
      </w:r>
    </w:p>
    <w:p>
      <w:pPr>
        <w:spacing w:after="0" w:line="15"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Executive Vice President and</w:t>
      </w:r>
    </w:p>
    <w:p>
      <w:pPr>
        <w:spacing w:after="0" w:line="9"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(On behalf of the Registrant and as its principal financial officer)</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2" w:name="page63"/>
    <w:bookmarkEnd w:id="62"/>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15 U.S.C. SECTION 7241,</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I, William C. Erbey, certify that:</w:t>
      </w:r>
    </w:p>
    <w:p>
      <w:pPr>
        <w:spacing w:after="0" w:line="158" w:lineRule="exact"/>
        <w:rPr>
          <w:sz w:val="20"/>
          <w:szCs w:val="20"/>
          <w:color w:val="auto"/>
        </w:rPr>
      </w:pPr>
    </w:p>
    <w:p>
      <w:pPr>
        <w:ind w:left="580" w:hanging="572"/>
        <w:spacing w:after="0"/>
        <w:tabs>
          <w:tab w:leader="none" w:pos="5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Ocwen Financial Corporation;</w:t>
      </w:r>
    </w:p>
    <w:p>
      <w:pPr>
        <w:spacing w:after="0" w:line="157" w:lineRule="exact"/>
        <w:rPr>
          <w:rFonts w:ascii="Arial" w:cs="Arial" w:eastAsia="Arial" w:hAnsi="Arial"/>
          <w:sz w:val="18"/>
          <w:szCs w:val="18"/>
          <w:color w:val="auto"/>
        </w:rPr>
      </w:pPr>
    </w:p>
    <w:p>
      <w:pPr>
        <w:ind w:left="580" w:hanging="572"/>
        <w:spacing w:after="0" w:line="332" w:lineRule="auto"/>
        <w:tabs>
          <w:tab w:leader="none" w:pos="580" w:val="left"/>
        </w:tabs>
        <w:numPr>
          <w:ilvl w:val="0"/>
          <w:numId w:val="4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1" w:lineRule="exact"/>
        <w:rPr>
          <w:rFonts w:ascii="Arial" w:cs="Arial" w:eastAsia="Arial" w:hAnsi="Arial"/>
          <w:sz w:val="16"/>
          <w:szCs w:val="16"/>
          <w:color w:val="auto"/>
        </w:rPr>
      </w:pPr>
    </w:p>
    <w:p>
      <w:pPr>
        <w:ind w:left="580" w:hanging="572"/>
        <w:spacing w:after="0" w:line="268" w:lineRule="auto"/>
        <w:tabs>
          <w:tab w:leader="none" w:pos="5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8" w:lineRule="exact"/>
        <w:rPr>
          <w:rFonts w:ascii="Arial" w:cs="Arial" w:eastAsia="Arial" w:hAnsi="Arial"/>
          <w:sz w:val="18"/>
          <w:szCs w:val="18"/>
          <w:color w:val="auto"/>
        </w:rPr>
      </w:pPr>
    </w:p>
    <w:p>
      <w:pPr>
        <w:jc w:val="both"/>
        <w:ind w:left="580" w:right="20" w:hanging="572"/>
        <w:spacing w:after="0" w:line="259" w:lineRule="auto"/>
        <w:tabs>
          <w:tab w:leader="none" w:pos="5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 – 15(e) and 15d – 15(e)) and internal control over financial reporting (as defined in Exchange Act Rules 13a – 15(f) and 15d – 15(f)) for the registrant and have:</w:t>
      </w:r>
    </w:p>
    <w:p>
      <w:pPr>
        <w:spacing w:after="0" w:line="126" w:lineRule="exact"/>
        <w:rPr>
          <w:rFonts w:ascii="Arial" w:cs="Arial" w:eastAsia="Arial" w:hAnsi="Arial"/>
          <w:sz w:val="18"/>
          <w:szCs w:val="18"/>
          <w:color w:val="auto"/>
        </w:rPr>
      </w:pPr>
    </w:p>
    <w:p>
      <w:pPr>
        <w:jc w:val="both"/>
        <w:ind w:left="1720" w:hanging="564"/>
        <w:spacing w:after="0" w:line="259" w:lineRule="auto"/>
        <w:tabs>
          <w:tab w:leader="none" w:pos="1720" w:val="left"/>
        </w:tabs>
        <w:numPr>
          <w:ilvl w:val="1"/>
          <w:numId w:val="4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6" w:lineRule="exact"/>
        <w:rPr>
          <w:rFonts w:ascii="Arial" w:cs="Arial" w:eastAsia="Arial" w:hAnsi="Arial"/>
          <w:sz w:val="18"/>
          <w:szCs w:val="18"/>
          <w:color w:val="auto"/>
        </w:rPr>
      </w:pPr>
    </w:p>
    <w:p>
      <w:pPr>
        <w:jc w:val="both"/>
        <w:ind w:left="1720" w:hanging="564"/>
        <w:spacing w:after="0" w:line="259" w:lineRule="auto"/>
        <w:tabs>
          <w:tab w:leader="none" w:pos="1720" w:val="left"/>
        </w:tabs>
        <w:numPr>
          <w:ilvl w:val="1"/>
          <w:numId w:val="4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6" w:lineRule="exact"/>
        <w:rPr>
          <w:rFonts w:ascii="Arial" w:cs="Arial" w:eastAsia="Arial" w:hAnsi="Arial"/>
          <w:sz w:val="18"/>
          <w:szCs w:val="18"/>
          <w:color w:val="auto"/>
        </w:rPr>
      </w:pPr>
    </w:p>
    <w:p>
      <w:pPr>
        <w:ind w:left="1720" w:hanging="564"/>
        <w:spacing w:after="0" w:line="332" w:lineRule="auto"/>
        <w:tabs>
          <w:tab w:leader="none" w:pos="1720" w:val="left"/>
        </w:tabs>
        <w:numPr>
          <w:ilvl w:val="1"/>
          <w:numId w:val="4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1" w:lineRule="exact"/>
        <w:rPr>
          <w:rFonts w:ascii="Arial" w:cs="Arial" w:eastAsia="Arial" w:hAnsi="Arial"/>
          <w:sz w:val="16"/>
          <w:szCs w:val="16"/>
          <w:color w:val="auto"/>
        </w:rPr>
      </w:pPr>
    </w:p>
    <w:p>
      <w:pPr>
        <w:jc w:val="both"/>
        <w:ind w:left="1720" w:hanging="564"/>
        <w:spacing w:after="0" w:line="259" w:lineRule="auto"/>
        <w:tabs>
          <w:tab w:leader="none" w:pos="1720" w:val="left"/>
        </w:tabs>
        <w:numPr>
          <w:ilvl w:val="1"/>
          <w:numId w:val="45"/>
        </w:numPr>
        <w:rPr>
          <w:rFonts w:ascii="Arial" w:cs="Arial" w:eastAsia="Arial" w:hAnsi="Arial"/>
          <w:sz w:val="18"/>
          <w:szCs w:val="18"/>
          <w:color w:val="auto"/>
        </w:rPr>
      </w:pPr>
      <w:r>
        <w:rPr>
          <w:rFonts w:ascii="Arial" w:cs="Arial" w:eastAsia="Arial" w:hAnsi="Arial"/>
          <w:sz w:val="18"/>
          <w:szCs w:val="18"/>
          <w:color w:val="auto"/>
        </w:rPr>
        <w:t>Disclosed in this report any changes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26" w:lineRule="exact"/>
        <w:rPr>
          <w:rFonts w:ascii="Arial" w:cs="Arial" w:eastAsia="Arial" w:hAnsi="Arial"/>
          <w:sz w:val="18"/>
          <w:szCs w:val="18"/>
          <w:color w:val="auto"/>
        </w:rPr>
      </w:pPr>
    </w:p>
    <w:p>
      <w:pPr>
        <w:ind w:left="580" w:right="20" w:hanging="572"/>
        <w:spacing w:after="0" w:line="332" w:lineRule="auto"/>
        <w:tabs>
          <w:tab w:leader="none" w:pos="580"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71" w:lineRule="exact"/>
        <w:rPr>
          <w:rFonts w:ascii="Arial" w:cs="Arial" w:eastAsia="Arial" w:hAnsi="Arial"/>
          <w:sz w:val="16"/>
          <w:szCs w:val="16"/>
          <w:color w:val="auto"/>
        </w:rPr>
      </w:pPr>
    </w:p>
    <w:p>
      <w:pPr>
        <w:ind w:left="1720" w:right="20" w:hanging="564"/>
        <w:spacing w:after="0" w:line="332" w:lineRule="auto"/>
        <w:tabs>
          <w:tab w:leader="none" w:pos="1720" w:val="left"/>
        </w:tabs>
        <w:numPr>
          <w:ilvl w:val="1"/>
          <w:numId w:val="4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1" w:lineRule="exact"/>
        <w:rPr>
          <w:rFonts w:ascii="Arial" w:cs="Arial" w:eastAsia="Arial" w:hAnsi="Arial"/>
          <w:sz w:val="16"/>
          <w:szCs w:val="16"/>
          <w:color w:val="auto"/>
        </w:rPr>
      </w:pPr>
    </w:p>
    <w:p>
      <w:pPr>
        <w:ind w:left="1720" w:hanging="564"/>
        <w:spacing w:after="0" w:line="268" w:lineRule="auto"/>
        <w:tabs>
          <w:tab w:leader="none" w:pos="1720" w:val="left"/>
        </w:tabs>
        <w:numPr>
          <w:ilvl w:val="1"/>
          <w:numId w:val="4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7" w:lineRule="exact"/>
        <w:rPr>
          <w:sz w:val="20"/>
          <w:szCs w:val="20"/>
          <w:color w:val="auto"/>
        </w:rPr>
      </w:pPr>
    </w:p>
    <w:p>
      <w:pPr>
        <w:spacing w:after="0"/>
        <w:tabs>
          <w:tab w:leader="none" w:pos="600" w:val="left"/>
          <w:tab w:leader="none" w:pos="3780" w:val="left"/>
        </w:tabs>
        <w:rPr>
          <w:sz w:val="20"/>
          <w:szCs w:val="20"/>
          <w:color w:val="auto"/>
        </w:rPr>
      </w:pPr>
      <w:r>
        <w:rPr>
          <w:rFonts w:ascii="Arial" w:cs="Arial" w:eastAsia="Arial" w:hAnsi="Arial"/>
          <w:sz w:val="18"/>
          <w:szCs w:val="18"/>
          <w:color w:val="auto"/>
        </w:rPr>
        <w:t>Date:</w:t>
        <w:tab/>
        <w:t>May 7, 2009</w:t>
      </w:r>
      <w:r>
        <w:rPr>
          <w:sz w:val="20"/>
          <w:szCs w:val="20"/>
          <w:color w:val="auto"/>
        </w:rPr>
        <w:tab/>
      </w:r>
      <w:r>
        <w:rPr>
          <w:rFonts w:ascii="Arial" w:cs="Arial" w:eastAsia="Arial" w:hAnsi="Arial"/>
          <w:sz w:val="16"/>
          <w:szCs w:val="16"/>
          <w:color w:val="auto"/>
        </w:rPr>
        <w:t>/s/ William C. Erbey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2414905</wp:posOffset>
            </wp:positionH>
            <wp:positionV relativeFrom="paragraph">
              <wp:posOffset>165735</wp:posOffset>
            </wp:positionV>
            <wp:extent cx="281305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813050" cy="8890"/>
                    </a:xfrm>
                    <a:prstGeom prst="rect">
                      <a:avLst/>
                    </a:prstGeom>
                    <a:noFill/>
                  </pic:spPr>
                </pic:pic>
              </a:graphicData>
            </a:graphic>
          </wp:anchor>
        </w:drawing>
      </w:r>
    </w:p>
    <w:p>
      <w:pPr>
        <w:spacing w:after="0" w:line="246" w:lineRule="exact"/>
        <w:rPr>
          <w:sz w:val="20"/>
          <w:szCs w:val="20"/>
          <w:color w:val="auto"/>
        </w:rPr>
      </w:pPr>
    </w:p>
    <w:p>
      <w:pPr>
        <w:ind w:left="3800"/>
        <w:spacing w:after="0"/>
        <w:rPr>
          <w:sz w:val="20"/>
          <w:szCs w:val="20"/>
          <w:color w:val="auto"/>
        </w:rPr>
      </w:pPr>
      <w:r>
        <w:rPr>
          <w:rFonts w:ascii="Arial" w:cs="Arial" w:eastAsia="Arial" w:hAnsi="Arial"/>
          <w:sz w:val="18"/>
          <w:szCs w:val="18"/>
          <w:color w:val="auto"/>
        </w:rPr>
        <w:t>William C. Erbey</w:t>
      </w:r>
    </w:p>
    <w:p>
      <w:pPr>
        <w:spacing w:after="0" w:line="15" w:lineRule="exact"/>
        <w:rPr>
          <w:sz w:val="20"/>
          <w:szCs w:val="20"/>
          <w:color w:val="auto"/>
        </w:rPr>
      </w:pPr>
    </w:p>
    <w:p>
      <w:pPr>
        <w:ind w:left="3800"/>
        <w:spacing w:after="0"/>
        <w:rPr>
          <w:sz w:val="20"/>
          <w:szCs w:val="20"/>
          <w:color w:val="auto"/>
        </w:rPr>
      </w:pPr>
      <w:r>
        <w:rPr>
          <w:rFonts w:ascii="Arial" w:cs="Arial" w:eastAsia="Arial" w:hAnsi="Arial"/>
          <w:sz w:val="18"/>
          <w:szCs w:val="18"/>
          <w:color w:val="auto"/>
        </w:rPr>
        <w:t>Chairman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227965</wp:posOffset>
            </wp:positionV>
            <wp:extent cx="7267575"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3" w:name="page64"/>
    <w:bookmarkEnd w:id="63"/>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15 U.S.C. SECTION 7241,</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I, David J. Gunter, certify that:</w:t>
      </w:r>
    </w:p>
    <w:p>
      <w:pPr>
        <w:spacing w:after="0" w:line="158" w:lineRule="exact"/>
        <w:rPr>
          <w:sz w:val="20"/>
          <w:szCs w:val="20"/>
          <w:color w:val="auto"/>
        </w:rPr>
      </w:pPr>
    </w:p>
    <w:p>
      <w:pPr>
        <w:ind w:left="580" w:hanging="572"/>
        <w:spacing w:after="0"/>
        <w:tabs>
          <w:tab w:leader="none" w:pos="5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Ocwen Financial Corporation;</w:t>
      </w:r>
    </w:p>
    <w:p>
      <w:pPr>
        <w:spacing w:after="0" w:line="157" w:lineRule="exact"/>
        <w:rPr>
          <w:rFonts w:ascii="Arial" w:cs="Arial" w:eastAsia="Arial" w:hAnsi="Arial"/>
          <w:sz w:val="18"/>
          <w:szCs w:val="18"/>
          <w:color w:val="auto"/>
        </w:rPr>
      </w:pPr>
    </w:p>
    <w:p>
      <w:pPr>
        <w:ind w:left="580" w:hanging="572"/>
        <w:spacing w:after="0" w:line="332" w:lineRule="auto"/>
        <w:tabs>
          <w:tab w:leader="none" w:pos="580" w:val="left"/>
        </w:tabs>
        <w:numPr>
          <w:ilvl w:val="0"/>
          <w:numId w:val="4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1" w:lineRule="exact"/>
        <w:rPr>
          <w:rFonts w:ascii="Arial" w:cs="Arial" w:eastAsia="Arial" w:hAnsi="Arial"/>
          <w:sz w:val="16"/>
          <w:szCs w:val="16"/>
          <w:color w:val="auto"/>
        </w:rPr>
      </w:pPr>
    </w:p>
    <w:p>
      <w:pPr>
        <w:ind w:left="580" w:hanging="572"/>
        <w:spacing w:after="0" w:line="268" w:lineRule="auto"/>
        <w:tabs>
          <w:tab w:leader="none" w:pos="5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8" w:lineRule="exact"/>
        <w:rPr>
          <w:rFonts w:ascii="Arial" w:cs="Arial" w:eastAsia="Arial" w:hAnsi="Arial"/>
          <w:sz w:val="18"/>
          <w:szCs w:val="18"/>
          <w:color w:val="auto"/>
        </w:rPr>
      </w:pPr>
    </w:p>
    <w:p>
      <w:pPr>
        <w:jc w:val="both"/>
        <w:ind w:left="580" w:right="20" w:hanging="572"/>
        <w:spacing w:after="0" w:line="259" w:lineRule="auto"/>
        <w:tabs>
          <w:tab w:leader="none" w:pos="5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 – 15(e) and 15d – 15(e)) and internal control over financial reporting (as defined in Exchange Act Rules 13a – 15(f) and 15d – 15(f)) for the registrant and have:</w:t>
      </w:r>
    </w:p>
    <w:p>
      <w:pPr>
        <w:spacing w:after="0" w:line="126" w:lineRule="exact"/>
        <w:rPr>
          <w:rFonts w:ascii="Arial" w:cs="Arial" w:eastAsia="Arial" w:hAnsi="Arial"/>
          <w:sz w:val="18"/>
          <w:szCs w:val="18"/>
          <w:color w:val="auto"/>
        </w:rPr>
      </w:pPr>
    </w:p>
    <w:p>
      <w:pPr>
        <w:jc w:val="both"/>
        <w:ind w:left="1720" w:hanging="564"/>
        <w:spacing w:after="0" w:line="259" w:lineRule="auto"/>
        <w:tabs>
          <w:tab w:leader="none" w:pos="1720" w:val="left"/>
        </w:tabs>
        <w:numPr>
          <w:ilvl w:val="1"/>
          <w:numId w:val="4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6" w:lineRule="exact"/>
        <w:rPr>
          <w:rFonts w:ascii="Arial" w:cs="Arial" w:eastAsia="Arial" w:hAnsi="Arial"/>
          <w:sz w:val="18"/>
          <w:szCs w:val="18"/>
          <w:color w:val="auto"/>
        </w:rPr>
      </w:pPr>
    </w:p>
    <w:p>
      <w:pPr>
        <w:jc w:val="both"/>
        <w:ind w:left="1720" w:hanging="564"/>
        <w:spacing w:after="0" w:line="259" w:lineRule="auto"/>
        <w:tabs>
          <w:tab w:leader="none" w:pos="1720" w:val="left"/>
        </w:tabs>
        <w:numPr>
          <w:ilvl w:val="1"/>
          <w:numId w:val="4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6" w:lineRule="exact"/>
        <w:rPr>
          <w:rFonts w:ascii="Arial" w:cs="Arial" w:eastAsia="Arial" w:hAnsi="Arial"/>
          <w:sz w:val="18"/>
          <w:szCs w:val="18"/>
          <w:color w:val="auto"/>
        </w:rPr>
      </w:pPr>
    </w:p>
    <w:p>
      <w:pPr>
        <w:ind w:left="1720" w:hanging="564"/>
        <w:spacing w:after="0" w:line="332" w:lineRule="auto"/>
        <w:tabs>
          <w:tab w:leader="none" w:pos="1720" w:val="left"/>
        </w:tabs>
        <w:numPr>
          <w:ilvl w:val="1"/>
          <w:numId w:val="4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1" w:lineRule="exact"/>
        <w:rPr>
          <w:rFonts w:ascii="Arial" w:cs="Arial" w:eastAsia="Arial" w:hAnsi="Arial"/>
          <w:sz w:val="16"/>
          <w:szCs w:val="16"/>
          <w:color w:val="auto"/>
        </w:rPr>
      </w:pPr>
    </w:p>
    <w:p>
      <w:pPr>
        <w:jc w:val="both"/>
        <w:ind w:left="1720" w:hanging="564"/>
        <w:spacing w:after="0" w:line="259" w:lineRule="auto"/>
        <w:tabs>
          <w:tab w:leader="none" w:pos="1720" w:val="left"/>
        </w:tabs>
        <w:numPr>
          <w:ilvl w:val="1"/>
          <w:numId w:val="46"/>
        </w:numPr>
        <w:rPr>
          <w:rFonts w:ascii="Arial" w:cs="Arial" w:eastAsia="Arial" w:hAnsi="Arial"/>
          <w:sz w:val="18"/>
          <w:szCs w:val="18"/>
          <w:color w:val="auto"/>
        </w:rPr>
      </w:pPr>
      <w:r>
        <w:rPr>
          <w:rFonts w:ascii="Arial" w:cs="Arial" w:eastAsia="Arial" w:hAnsi="Arial"/>
          <w:sz w:val="18"/>
          <w:szCs w:val="18"/>
          <w:color w:val="auto"/>
        </w:rPr>
        <w:t>Disclosed in this report any changes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26" w:lineRule="exact"/>
        <w:rPr>
          <w:rFonts w:ascii="Arial" w:cs="Arial" w:eastAsia="Arial" w:hAnsi="Arial"/>
          <w:sz w:val="18"/>
          <w:szCs w:val="18"/>
          <w:color w:val="auto"/>
        </w:rPr>
      </w:pPr>
    </w:p>
    <w:p>
      <w:pPr>
        <w:ind w:left="580" w:right="20" w:hanging="572"/>
        <w:spacing w:after="0" w:line="332" w:lineRule="auto"/>
        <w:tabs>
          <w:tab w:leader="none" w:pos="580"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71" w:lineRule="exact"/>
        <w:rPr>
          <w:rFonts w:ascii="Arial" w:cs="Arial" w:eastAsia="Arial" w:hAnsi="Arial"/>
          <w:sz w:val="16"/>
          <w:szCs w:val="16"/>
          <w:color w:val="auto"/>
        </w:rPr>
      </w:pPr>
    </w:p>
    <w:p>
      <w:pPr>
        <w:ind w:left="1720" w:right="20" w:hanging="564"/>
        <w:spacing w:after="0" w:line="332" w:lineRule="auto"/>
        <w:tabs>
          <w:tab w:leader="none" w:pos="1720" w:val="left"/>
        </w:tabs>
        <w:numPr>
          <w:ilvl w:val="1"/>
          <w:numId w:val="4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1" w:lineRule="exact"/>
        <w:rPr>
          <w:rFonts w:ascii="Arial" w:cs="Arial" w:eastAsia="Arial" w:hAnsi="Arial"/>
          <w:sz w:val="16"/>
          <w:szCs w:val="16"/>
          <w:color w:val="auto"/>
        </w:rPr>
      </w:pPr>
    </w:p>
    <w:p>
      <w:pPr>
        <w:ind w:left="1720" w:hanging="564"/>
        <w:spacing w:after="0" w:line="268" w:lineRule="auto"/>
        <w:tabs>
          <w:tab w:leader="none" w:pos="1720" w:val="left"/>
        </w:tabs>
        <w:numPr>
          <w:ilvl w:val="1"/>
          <w:numId w:val="4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7" w:lineRule="exact"/>
        <w:rPr>
          <w:sz w:val="20"/>
          <w:szCs w:val="20"/>
          <w:color w:val="auto"/>
        </w:rPr>
      </w:pPr>
    </w:p>
    <w:p>
      <w:pPr>
        <w:spacing w:after="0"/>
        <w:tabs>
          <w:tab w:leader="none" w:pos="600" w:val="left"/>
          <w:tab w:leader="none" w:pos="3780" w:val="left"/>
        </w:tabs>
        <w:rPr>
          <w:sz w:val="20"/>
          <w:szCs w:val="20"/>
          <w:color w:val="auto"/>
        </w:rPr>
      </w:pPr>
      <w:r>
        <w:rPr>
          <w:rFonts w:ascii="Arial" w:cs="Arial" w:eastAsia="Arial" w:hAnsi="Arial"/>
          <w:sz w:val="18"/>
          <w:szCs w:val="18"/>
          <w:color w:val="auto"/>
        </w:rPr>
        <w:t>Date:</w:t>
        <w:tab/>
        <w:t>May 7, 2009</w:t>
      </w:r>
      <w:r>
        <w:rPr>
          <w:sz w:val="20"/>
          <w:szCs w:val="20"/>
          <w:color w:val="auto"/>
        </w:rPr>
        <w:tab/>
      </w:r>
      <w:r>
        <w:rPr>
          <w:rFonts w:ascii="Arial" w:cs="Arial" w:eastAsia="Arial" w:hAnsi="Arial"/>
          <w:sz w:val="15"/>
          <w:szCs w:val="15"/>
          <w:color w:val="auto"/>
        </w:rPr>
        <w:t>/s/ David J. Gunter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2414905</wp:posOffset>
            </wp:positionH>
            <wp:positionV relativeFrom="paragraph">
              <wp:posOffset>165735</wp:posOffset>
            </wp:positionV>
            <wp:extent cx="281305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2813050" cy="8890"/>
                    </a:xfrm>
                    <a:prstGeom prst="rect">
                      <a:avLst/>
                    </a:prstGeom>
                    <a:noFill/>
                  </pic:spPr>
                </pic:pic>
              </a:graphicData>
            </a:graphic>
          </wp:anchor>
        </w:drawing>
      </w:r>
    </w:p>
    <w:p>
      <w:pPr>
        <w:spacing w:after="0" w:line="246" w:lineRule="exact"/>
        <w:rPr>
          <w:sz w:val="20"/>
          <w:szCs w:val="20"/>
          <w:color w:val="auto"/>
        </w:rPr>
      </w:pPr>
    </w:p>
    <w:p>
      <w:pPr>
        <w:ind w:left="3800"/>
        <w:spacing w:after="0"/>
        <w:rPr>
          <w:sz w:val="20"/>
          <w:szCs w:val="20"/>
          <w:color w:val="auto"/>
        </w:rPr>
      </w:pPr>
      <w:r>
        <w:rPr>
          <w:rFonts w:ascii="Arial" w:cs="Arial" w:eastAsia="Arial" w:hAnsi="Arial"/>
          <w:sz w:val="18"/>
          <w:szCs w:val="18"/>
          <w:color w:val="auto"/>
        </w:rPr>
        <w:t>David J. Gunter,</w:t>
      </w:r>
    </w:p>
    <w:p>
      <w:pPr>
        <w:spacing w:after="0" w:line="15" w:lineRule="exact"/>
        <w:rPr>
          <w:sz w:val="20"/>
          <w:szCs w:val="20"/>
          <w:color w:val="auto"/>
        </w:rPr>
      </w:pPr>
    </w:p>
    <w:p>
      <w:pPr>
        <w:ind w:left="3800"/>
        <w:spacing w:after="0"/>
        <w:rPr>
          <w:sz w:val="20"/>
          <w:szCs w:val="20"/>
          <w:color w:val="auto"/>
        </w:rPr>
      </w:pPr>
      <w:r>
        <w:rPr>
          <w:rFonts w:ascii="Arial" w:cs="Arial" w:eastAsia="Arial" w:hAnsi="Arial"/>
          <w:sz w:val="18"/>
          <w:szCs w:val="18"/>
          <w:color w:val="auto"/>
        </w:rPr>
        <w:t>Executive Vice President and</w:t>
      </w:r>
    </w:p>
    <w:p>
      <w:pPr>
        <w:spacing w:after="0" w:line="9" w:lineRule="exact"/>
        <w:rPr>
          <w:sz w:val="20"/>
          <w:szCs w:val="20"/>
          <w:color w:val="auto"/>
        </w:rPr>
      </w:pPr>
    </w:p>
    <w:p>
      <w:pPr>
        <w:ind w:left="380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227965</wp:posOffset>
            </wp:positionV>
            <wp:extent cx="7267575"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4" w:name="page65"/>
    <w:bookmarkEnd w:id="64"/>
    <w:p>
      <w:pPr>
        <w:jc w:val="right"/>
        <w:ind w:right="20"/>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AS ADOPTED PURSUANT TO SECTION 906</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OF THE SARBANES OXLEY ACT OF 2002</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I, William C. Erbey, state and attest that:</w:t>
      </w:r>
    </w:p>
    <w:p>
      <w:pPr>
        <w:spacing w:after="0" w:line="158" w:lineRule="exact"/>
        <w:rPr>
          <w:sz w:val="20"/>
          <w:szCs w:val="20"/>
          <w:color w:val="auto"/>
        </w:rPr>
      </w:pPr>
    </w:p>
    <w:p>
      <w:pPr>
        <w:ind w:left="580" w:hanging="572"/>
        <w:spacing w:after="0"/>
        <w:tabs>
          <w:tab w:leader="none" w:pos="5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 am the Chief Executive Officer of Ocwen Financial Corporation (the “Registrant”).</w:t>
      </w:r>
    </w:p>
    <w:p>
      <w:pPr>
        <w:spacing w:after="0" w:line="157" w:lineRule="exact"/>
        <w:rPr>
          <w:rFonts w:ascii="Arial" w:cs="Arial" w:eastAsia="Arial" w:hAnsi="Arial"/>
          <w:sz w:val="18"/>
          <w:szCs w:val="18"/>
          <w:color w:val="auto"/>
        </w:rPr>
      </w:pPr>
    </w:p>
    <w:p>
      <w:pPr>
        <w:ind w:left="580" w:hanging="572"/>
        <w:spacing w:after="0"/>
        <w:tabs>
          <w:tab w:leader="none" w:pos="5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 hereby certify, pursuant to 18 U.S.C. Section 1350, as adopted pursuant to Section 906 of the Sarbanes-Oxley Act of 2002, that</w:t>
      </w:r>
    </w:p>
    <w:p>
      <w:pPr>
        <w:spacing w:after="0" w:line="157" w:lineRule="exact"/>
        <w:rPr>
          <w:rFonts w:ascii="Arial" w:cs="Arial" w:eastAsia="Arial" w:hAnsi="Arial"/>
          <w:sz w:val="18"/>
          <w:szCs w:val="18"/>
          <w:color w:val="auto"/>
        </w:rPr>
      </w:pPr>
    </w:p>
    <w:p>
      <w:pPr>
        <w:jc w:val="both"/>
        <w:ind w:left="1160" w:right="20" w:hanging="571"/>
        <w:spacing w:after="0" w:line="259" w:lineRule="auto"/>
        <w:tabs>
          <w:tab w:leader="none" w:pos="1160" w:val="left"/>
        </w:tabs>
        <w:numPr>
          <w:ilvl w:val="1"/>
          <w:numId w:val="47"/>
        </w:numPr>
        <w:rPr>
          <w:rFonts w:ascii="Arial" w:cs="Arial" w:eastAsia="Arial" w:hAnsi="Arial"/>
          <w:sz w:val="18"/>
          <w:szCs w:val="18"/>
          <w:color w:val="auto"/>
        </w:rPr>
      </w:pPr>
      <w:r>
        <w:rPr>
          <w:rFonts w:ascii="Arial" w:cs="Arial" w:eastAsia="Arial" w:hAnsi="Arial"/>
          <w:sz w:val="18"/>
          <w:szCs w:val="18"/>
          <w:color w:val="auto"/>
        </w:rPr>
        <w:t>the Quarterly Report on Form 10-Q of the Registrant for the quarter ended March 31, 2009 (the “periodic report”) containing financial statements fully complies with the requirements of Section 13(a) or 15(d), as applicable, of the Securities Exchange Act of 1934 (15 U.S.C. 78m or 78o(d)); and</w:t>
      </w:r>
    </w:p>
    <w:p>
      <w:pPr>
        <w:spacing w:after="0" w:line="126" w:lineRule="exact"/>
        <w:rPr>
          <w:rFonts w:ascii="Arial" w:cs="Arial" w:eastAsia="Arial" w:hAnsi="Arial"/>
          <w:sz w:val="18"/>
          <w:szCs w:val="18"/>
          <w:color w:val="auto"/>
        </w:rPr>
      </w:pPr>
    </w:p>
    <w:p>
      <w:pPr>
        <w:ind w:left="1160" w:right="20" w:hanging="571"/>
        <w:spacing w:after="0" w:line="268" w:lineRule="auto"/>
        <w:tabs>
          <w:tab w:leader="none" w:pos="1160" w:val="left"/>
        </w:tabs>
        <w:numPr>
          <w:ilvl w:val="1"/>
          <w:numId w:val="47"/>
        </w:numPr>
        <w:rPr>
          <w:rFonts w:ascii="Arial" w:cs="Arial" w:eastAsia="Arial" w:hAnsi="Arial"/>
          <w:sz w:val="18"/>
          <w:szCs w:val="18"/>
          <w:color w:val="auto"/>
        </w:rPr>
      </w:pPr>
      <w:r>
        <w:rPr>
          <w:rFonts w:ascii="Arial" w:cs="Arial" w:eastAsia="Arial" w:hAnsi="Arial"/>
          <w:sz w:val="18"/>
          <w:szCs w:val="18"/>
          <w:color w:val="auto"/>
        </w:rPr>
        <w:t>the information contained in the periodic report fairly represents, in all material respects, the financial condition and results of operations of the Registrant for the periods presented.</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920" w:type="dxa"/>
            <w:vAlign w:val="bottom"/>
          </w:tcPr>
          <w:p>
            <w:pPr>
              <w:spacing w:after="0"/>
              <w:rPr>
                <w:sz w:val="20"/>
                <w:szCs w:val="20"/>
                <w:color w:val="auto"/>
              </w:rPr>
            </w:pPr>
            <w:r>
              <w:rPr>
                <w:rFonts w:ascii="Arial" w:cs="Arial" w:eastAsia="Arial" w:hAnsi="Arial"/>
                <w:sz w:val="18"/>
                <w:szCs w:val="18"/>
                <w:color w:val="auto"/>
              </w:rPr>
              <w:t>Name:</w:t>
            </w:r>
          </w:p>
        </w:tc>
        <w:tc>
          <w:tcPr>
            <w:tcW w:w="4000" w:type="dxa"/>
            <w:vAlign w:val="bottom"/>
          </w:tcPr>
          <w:p>
            <w:pPr>
              <w:spacing w:after="0"/>
              <w:rPr>
                <w:sz w:val="20"/>
                <w:szCs w:val="20"/>
                <w:color w:val="auto"/>
              </w:rPr>
            </w:pPr>
            <w:r>
              <w:rPr>
                <w:rFonts w:ascii="Arial" w:cs="Arial" w:eastAsia="Arial" w:hAnsi="Arial"/>
                <w:sz w:val="18"/>
                <w:szCs w:val="18"/>
                <w:color w:val="auto"/>
              </w:rPr>
              <w:t>/s/ William C. Erbey</w:t>
            </w:r>
          </w:p>
        </w:tc>
        <w:tc>
          <w:tcPr>
            <w:tcW w:w="6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920" w:type="dxa"/>
            <w:vAlign w:val="bottom"/>
            <w:vMerge w:val="restart"/>
          </w:tcPr>
          <w:p>
            <w:pPr>
              <w:spacing w:after="0"/>
              <w:rPr>
                <w:sz w:val="20"/>
                <w:szCs w:val="20"/>
                <w:color w:val="auto"/>
              </w:rPr>
            </w:pPr>
            <w:r>
              <w:rPr>
                <w:rFonts w:ascii="Arial" w:cs="Arial" w:eastAsia="Arial" w:hAnsi="Arial"/>
                <w:sz w:val="18"/>
                <w:szCs w:val="18"/>
                <w:color w:val="auto"/>
              </w:rPr>
              <w:t>Title:</w:t>
            </w:r>
          </w:p>
        </w:tc>
        <w:tc>
          <w:tcPr>
            <w:tcW w:w="4000" w:type="dxa"/>
            <w:vAlign w:val="bottom"/>
            <w:tcBorders>
              <w:bottom w:val="single" w:sz="8" w:color="auto"/>
            </w:tcBorders>
          </w:tcPr>
          <w:p>
            <w:pPr>
              <w:spacing w:after="0"/>
              <w:rPr>
                <w:sz w:val="21"/>
                <w:szCs w:val="21"/>
                <w:color w:val="auto"/>
              </w:rPr>
            </w:pPr>
          </w:p>
        </w:tc>
        <w:tc>
          <w:tcPr>
            <w:tcW w:w="6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1"/>
        </w:trPr>
        <w:tc>
          <w:tcPr>
            <w:tcW w:w="920" w:type="dxa"/>
            <w:vAlign w:val="bottom"/>
            <w:vMerge w:val="continue"/>
          </w:tcPr>
          <w:p>
            <w:pPr>
              <w:spacing w:after="0"/>
              <w:rPr>
                <w:sz w:val="17"/>
                <w:szCs w:val="17"/>
                <w:color w:val="auto"/>
              </w:rPr>
            </w:pPr>
          </w:p>
        </w:tc>
        <w:tc>
          <w:tcPr>
            <w:tcW w:w="4000" w:type="dxa"/>
            <w:vAlign w:val="bottom"/>
          </w:tcPr>
          <w:p>
            <w:pPr>
              <w:spacing w:after="0" w:line="201" w:lineRule="exact"/>
              <w:rPr>
                <w:sz w:val="20"/>
                <w:szCs w:val="20"/>
                <w:color w:val="auto"/>
              </w:rPr>
            </w:pPr>
            <w:r>
              <w:rPr>
                <w:rFonts w:ascii="Arial" w:cs="Arial" w:eastAsia="Arial" w:hAnsi="Arial"/>
                <w:sz w:val="18"/>
                <w:szCs w:val="18"/>
                <w:color w:val="auto"/>
              </w:rPr>
              <w:t>Chairman and Chief Executive Officer</w:t>
            </w:r>
          </w:p>
        </w:tc>
        <w:tc>
          <w:tcPr>
            <w:tcW w:w="6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920" w:type="dxa"/>
            <w:vAlign w:val="bottom"/>
          </w:tcPr>
          <w:p>
            <w:pPr>
              <w:spacing w:after="0"/>
              <w:rPr>
                <w:sz w:val="20"/>
                <w:szCs w:val="20"/>
                <w:color w:val="auto"/>
              </w:rPr>
            </w:pPr>
            <w:r>
              <w:rPr>
                <w:rFonts w:ascii="Arial" w:cs="Arial" w:eastAsia="Arial" w:hAnsi="Arial"/>
                <w:sz w:val="18"/>
                <w:szCs w:val="18"/>
                <w:color w:val="auto"/>
              </w:rPr>
              <w:t>Date:</w:t>
            </w:r>
          </w:p>
        </w:tc>
        <w:tc>
          <w:tcPr>
            <w:tcW w:w="4000" w:type="dxa"/>
            <w:vAlign w:val="bottom"/>
          </w:tcPr>
          <w:p>
            <w:pPr>
              <w:spacing w:after="0"/>
              <w:rPr>
                <w:sz w:val="20"/>
                <w:szCs w:val="20"/>
                <w:color w:val="auto"/>
              </w:rPr>
            </w:pPr>
            <w:r>
              <w:rPr>
                <w:rFonts w:ascii="Arial" w:cs="Arial" w:eastAsia="Arial" w:hAnsi="Arial"/>
                <w:sz w:val="18"/>
                <w:szCs w:val="18"/>
                <w:color w:val="auto"/>
              </w:rPr>
              <w:t>May 7, 2009</w:t>
            </w:r>
          </w:p>
        </w:tc>
        <w:tc>
          <w:tcPr>
            <w:tcW w:w="6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3"/>
        </w:trPr>
        <w:tc>
          <w:tcPr>
            <w:tcW w:w="920" w:type="dxa"/>
            <w:vAlign w:val="bottom"/>
            <w:tcBorders>
              <w:bottom w:val="single" w:sz="8" w:color="808080"/>
            </w:tcBorders>
          </w:tcPr>
          <w:p>
            <w:pPr>
              <w:spacing w:after="0"/>
              <w:rPr>
                <w:sz w:val="24"/>
                <w:szCs w:val="24"/>
                <w:color w:val="auto"/>
              </w:rPr>
            </w:pPr>
          </w:p>
        </w:tc>
        <w:tc>
          <w:tcPr>
            <w:tcW w:w="4000" w:type="dxa"/>
            <w:vAlign w:val="bottom"/>
            <w:tcBorders>
              <w:bottom w:val="single" w:sz="8" w:color="808080"/>
            </w:tcBorders>
          </w:tcPr>
          <w:p>
            <w:pPr>
              <w:spacing w:after="0"/>
              <w:rPr>
                <w:sz w:val="24"/>
                <w:szCs w:val="24"/>
                <w:color w:val="auto"/>
              </w:rPr>
            </w:pPr>
          </w:p>
        </w:tc>
        <w:tc>
          <w:tcPr>
            <w:tcW w:w="652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bookmarkStart w:id="65" w:name="page66"/>
    <w:bookmarkEnd w:id="65"/>
    <w:p>
      <w:pPr>
        <w:ind w:left="10320"/>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AS ADOPTED PURSUANT TO SECTION 906</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OF THE SARBANES-OXLEY ACT OF 2002</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I, David J. Gunter, state and attest that:</w:t>
      </w:r>
    </w:p>
    <w:p>
      <w:pPr>
        <w:spacing w:after="0" w:line="158" w:lineRule="exact"/>
        <w:rPr>
          <w:sz w:val="20"/>
          <w:szCs w:val="20"/>
          <w:color w:val="auto"/>
        </w:rPr>
      </w:pPr>
    </w:p>
    <w:p>
      <w:pPr>
        <w:ind w:left="580" w:hanging="572"/>
        <w:spacing w:after="0"/>
        <w:tabs>
          <w:tab w:leader="none" w:pos="5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 am the Chief Financial Officer of Ocwen Financial Corporation (the “Registrant”).</w:t>
      </w:r>
    </w:p>
    <w:p>
      <w:pPr>
        <w:spacing w:after="0" w:line="157" w:lineRule="exact"/>
        <w:rPr>
          <w:rFonts w:ascii="Arial" w:cs="Arial" w:eastAsia="Arial" w:hAnsi="Arial"/>
          <w:sz w:val="18"/>
          <w:szCs w:val="18"/>
          <w:color w:val="auto"/>
        </w:rPr>
      </w:pPr>
    </w:p>
    <w:p>
      <w:pPr>
        <w:ind w:left="580" w:hanging="572"/>
        <w:spacing w:after="0"/>
        <w:tabs>
          <w:tab w:leader="none" w:pos="5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 hereby certify, pursuant to 18 U.S.C. Section 1350, as adopted pursuant to Section 906 of the Sarbanes-Oxley Act of 2002, that</w:t>
      </w:r>
    </w:p>
    <w:p>
      <w:pPr>
        <w:spacing w:after="0" w:line="157" w:lineRule="exact"/>
        <w:rPr>
          <w:rFonts w:ascii="Arial" w:cs="Arial" w:eastAsia="Arial" w:hAnsi="Arial"/>
          <w:sz w:val="18"/>
          <w:szCs w:val="18"/>
          <w:color w:val="auto"/>
        </w:rPr>
      </w:pPr>
    </w:p>
    <w:p>
      <w:pPr>
        <w:jc w:val="both"/>
        <w:ind w:left="1160" w:right="20" w:hanging="571"/>
        <w:spacing w:after="0" w:line="259" w:lineRule="auto"/>
        <w:tabs>
          <w:tab w:leader="none" w:pos="1160" w:val="left"/>
        </w:tabs>
        <w:numPr>
          <w:ilvl w:val="1"/>
          <w:numId w:val="48"/>
        </w:numPr>
        <w:rPr>
          <w:rFonts w:ascii="Arial" w:cs="Arial" w:eastAsia="Arial" w:hAnsi="Arial"/>
          <w:sz w:val="18"/>
          <w:szCs w:val="18"/>
          <w:color w:val="auto"/>
        </w:rPr>
      </w:pPr>
      <w:r>
        <w:rPr>
          <w:rFonts w:ascii="Arial" w:cs="Arial" w:eastAsia="Arial" w:hAnsi="Arial"/>
          <w:sz w:val="18"/>
          <w:szCs w:val="18"/>
          <w:color w:val="auto"/>
        </w:rPr>
        <w:t>the Quarterly Report on Form 10-Q of the Registrant for the quarter ended March 31, 2009 (the “periodic report”) containing financial statements fully complies with the requirements of Section 13(a) or 15(d), as applicable, of the Securities Exchange Act of 1934 (15 U.S.C. 78m or 78o(d)); and</w:t>
      </w:r>
    </w:p>
    <w:p>
      <w:pPr>
        <w:spacing w:after="0" w:line="126" w:lineRule="exact"/>
        <w:rPr>
          <w:rFonts w:ascii="Arial" w:cs="Arial" w:eastAsia="Arial" w:hAnsi="Arial"/>
          <w:sz w:val="18"/>
          <w:szCs w:val="18"/>
          <w:color w:val="auto"/>
        </w:rPr>
      </w:pPr>
    </w:p>
    <w:p>
      <w:pPr>
        <w:ind w:left="1160" w:right="20" w:hanging="571"/>
        <w:spacing w:after="0" w:line="268" w:lineRule="auto"/>
        <w:tabs>
          <w:tab w:leader="none" w:pos="1160" w:val="left"/>
        </w:tabs>
        <w:numPr>
          <w:ilvl w:val="1"/>
          <w:numId w:val="48"/>
        </w:numPr>
        <w:rPr>
          <w:rFonts w:ascii="Arial" w:cs="Arial" w:eastAsia="Arial" w:hAnsi="Arial"/>
          <w:sz w:val="18"/>
          <w:szCs w:val="18"/>
          <w:color w:val="auto"/>
        </w:rPr>
      </w:pPr>
      <w:r>
        <w:rPr>
          <w:rFonts w:ascii="Arial" w:cs="Arial" w:eastAsia="Arial" w:hAnsi="Arial"/>
          <w:sz w:val="18"/>
          <w:szCs w:val="18"/>
          <w:color w:val="auto"/>
        </w:rPr>
        <w:t>the information contained in the periodic report fairly represents, in all material respects, the financial condition and results of operations of the Registrant for the periods presented.</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920" w:type="dxa"/>
            <w:vAlign w:val="bottom"/>
          </w:tcPr>
          <w:p>
            <w:pPr>
              <w:spacing w:after="0"/>
              <w:rPr>
                <w:sz w:val="20"/>
                <w:szCs w:val="20"/>
                <w:color w:val="auto"/>
              </w:rPr>
            </w:pPr>
            <w:r>
              <w:rPr>
                <w:rFonts w:ascii="Arial" w:cs="Arial" w:eastAsia="Arial" w:hAnsi="Arial"/>
                <w:sz w:val="18"/>
                <w:szCs w:val="18"/>
                <w:color w:val="auto"/>
              </w:rPr>
              <w:t>Name:</w:t>
            </w:r>
          </w:p>
        </w:tc>
        <w:tc>
          <w:tcPr>
            <w:tcW w:w="4000" w:type="dxa"/>
            <w:vAlign w:val="bottom"/>
          </w:tcPr>
          <w:p>
            <w:pPr>
              <w:spacing w:after="0"/>
              <w:rPr>
                <w:sz w:val="20"/>
                <w:szCs w:val="20"/>
                <w:color w:val="auto"/>
              </w:rPr>
            </w:pPr>
            <w:r>
              <w:rPr>
                <w:rFonts w:ascii="Arial" w:cs="Arial" w:eastAsia="Arial" w:hAnsi="Arial"/>
                <w:sz w:val="18"/>
                <w:szCs w:val="18"/>
                <w:color w:val="auto"/>
              </w:rPr>
              <w:t>/s/ David J. Gunter</w:t>
            </w:r>
          </w:p>
        </w:tc>
        <w:tc>
          <w:tcPr>
            <w:tcW w:w="6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920" w:type="dxa"/>
            <w:vAlign w:val="bottom"/>
            <w:vMerge w:val="restart"/>
          </w:tcPr>
          <w:p>
            <w:pPr>
              <w:spacing w:after="0"/>
              <w:rPr>
                <w:sz w:val="20"/>
                <w:szCs w:val="20"/>
                <w:color w:val="auto"/>
              </w:rPr>
            </w:pPr>
            <w:r>
              <w:rPr>
                <w:rFonts w:ascii="Arial" w:cs="Arial" w:eastAsia="Arial" w:hAnsi="Arial"/>
                <w:sz w:val="18"/>
                <w:szCs w:val="18"/>
                <w:color w:val="auto"/>
              </w:rPr>
              <w:t>Title:</w:t>
            </w:r>
          </w:p>
        </w:tc>
        <w:tc>
          <w:tcPr>
            <w:tcW w:w="4000" w:type="dxa"/>
            <w:vAlign w:val="bottom"/>
            <w:tcBorders>
              <w:bottom w:val="single" w:sz="8" w:color="auto"/>
            </w:tcBorders>
          </w:tcPr>
          <w:p>
            <w:pPr>
              <w:spacing w:after="0"/>
              <w:rPr>
                <w:sz w:val="21"/>
                <w:szCs w:val="21"/>
                <w:color w:val="auto"/>
              </w:rPr>
            </w:pPr>
          </w:p>
        </w:tc>
        <w:tc>
          <w:tcPr>
            <w:tcW w:w="6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1"/>
        </w:trPr>
        <w:tc>
          <w:tcPr>
            <w:tcW w:w="920" w:type="dxa"/>
            <w:vAlign w:val="bottom"/>
            <w:vMerge w:val="continue"/>
          </w:tcPr>
          <w:p>
            <w:pPr>
              <w:spacing w:after="0"/>
              <w:rPr>
                <w:sz w:val="17"/>
                <w:szCs w:val="17"/>
                <w:color w:val="auto"/>
              </w:rPr>
            </w:pPr>
          </w:p>
        </w:tc>
        <w:tc>
          <w:tcPr>
            <w:tcW w:w="4000" w:type="dxa"/>
            <w:vAlign w:val="bottom"/>
          </w:tcPr>
          <w:p>
            <w:pPr>
              <w:spacing w:after="0" w:line="201" w:lineRule="exact"/>
              <w:rPr>
                <w:sz w:val="20"/>
                <w:szCs w:val="20"/>
                <w:color w:val="auto"/>
              </w:rPr>
            </w:pPr>
            <w:r>
              <w:rPr>
                <w:rFonts w:ascii="Arial" w:cs="Arial" w:eastAsia="Arial" w:hAnsi="Arial"/>
                <w:sz w:val="18"/>
                <w:szCs w:val="18"/>
                <w:color w:val="auto"/>
              </w:rPr>
              <w:t>Executive Vice President and</w:t>
            </w:r>
          </w:p>
        </w:tc>
        <w:tc>
          <w:tcPr>
            <w:tcW w:w="6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920" w:type="dxa"/>
            <w:vAlign w:val="bottom"/>
          </w:tcPr>
          <w:p>
            <w:pPr>
              <w:spacing w:after="0"/>
              <w:rPr>
                <w:sz w:val="19"/>
                <w:szCs w:val="19"/>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6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5"/>
        </w:trPr>
        <w:tc>
          <w:tcPr>
            <w:tcW w:w="920" w:type="dxa"/>
            <w:vAlign w:val="bottom"/>
          </w:tcPr>
          <w:p>
            <w:pPr>
              <w:spacing w:after="0"/>
              <w:rPr>
                <w:sz w:val="20"/>
                <w:szCs w:val="20"/>
                <w:color w:val="auto"/>
              </w:rPr>
            </w:pPr>
            <w:r>
              <w:rPr>
                <w:rFonts w:ascii="Arial" w:cs="Arial" w:eastAsia="Arial" w:hAnsi="Arial"/>
                <w:sz w:val="18"/>
                <w:szCs w:val="18"/>
                <w:color w:val="auto"/>
              </w:rPr>
              <w:t>Date:</w:t>
            </w:r>
          </w:p>
        </w:tc>
        <w:tc>
          <w:tcPr>
            <w:tcW w:w="4000" w:type="dxa"/>
            <w:vAlign w:val="bottom"/>
          </w:tcPr>
          <w:p>
            <w:pPr>
              <w:spacing w:after="0"/>
              <w:rPr>
                <w:sz w:val="20"/>
                <w:szCs w:val="20"/>
                <w:color w:val="auto"/>
              </w:rPr>
            </w:pPr>
            <w:r>
              <w:rPr>
                <w:rFonts w:ascii="Arial" w:cs="Arial" w:eastAsia="Arial" w:hAnsi="Arial"/>
                <w:sz w:val="18"/>
                <w:szCs w:val="18"/>
                <w:color w:val="auto"/>
              </w:rPr>
              <w:t>May 7, 2009</w:t>
            </w:r>
          </w:p>
        </w:tc>
        <w:tc>
          <w:tcPr>
            <w:tcW w:w="6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3"/>
        </w:trPr>
        <w:tc>
          <w:tcPr>
            <w:tcW w:w="920" w:type="dxa"/>
            <w:vAlign w:val="bottom"/>
            <w:tcBorders>
              <w:bottom w:val="single" w:sz="8" w:color="808080"/>
            </w:tcBorders>
          </w:tcPr>
          <w:p>
            <w:pPr>
              <w:spacing w:after="0"/>
              <w:rPr>
                <w:sz w:val="24"/>
                <w:szCs w:val="24"/>
                <w:color w:val="auto"/>
              </w:rPr>
            </w:pPr>
          </w:p>
        </w:tc>
        <w:tc>
          <w:tcPr>
            <w:tcW w:w="4000" w:type="dxa"/>
            <w:vAlign w:val="bottom"/>
            <w:tcBorders>
              <w:bottom w:val="single" w:sz="8" w:color="808080"/>
            </w:tcBorders>
          </w:tcPr>
          <w:p>
            <w:pPr>
              <w:spacing w:after="0"/>
              <w:rPr>
                <w:sz w:val="24"/>
                <w:szCs w:val="24"/>
                <w:color w:val="auto"/>
              </w:rPr>
            </w:pPr>
          </w:p>
        </w:tc>
        <w:tc>
          <w:tcPr>
            <w:tcW w:w="652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sectPr>
      <w:pgSz w:w="11900" w:h="16838" w:orient="portrait"/>
      <w:cols w:equalWidth="0" w:num="1">
        <w:col w:w="11440"/>
      </w:cols>
      <w:pgMar w:left="240" w:top="125"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8EDBDAB"/>
    <w:multiLevelType w:val="hybridMultilevel"/>
    <w:lvl w:ilvl="0">
      <w:lvlJc w:val="left"/>
      <w:lvlText w:val="x"/>
      <w:numFmt w:val="bullet"/>
      <w:start w:val="1"/>
    </w:lvl>
  </w:abstractNum>
  <w:abstractNum w:abstractNumId="1">
    <w:nsid w:val="79838CB2"/>
    <w:multiLevelType w:val="hybridMultilevel"/>
    <w:lvl w:ilvl="0">
      <w:lvlJc w:val="left"/>
      <w:lvlText w:val="o"/>
      <w:numFmt w:val="bullet"/>
      <w:start w:val="1"/>
    </w:lvl>
  </w:abstractNum>
  <w:abstractNum w:abstractNumId="2">
    <w:nsid w:val="4353D0CD"/>
    <w:multiLevelType w:val="hybridMultilevel"/>
    <w:lvl w:ilvl="0">
      <w:lvlJc w:val="left"/>
      <w:lvlText w:val="·"/>
      <w:numFmt w:val="bullet"/>
      <w:start w:val="1"/>
    </w:lvl>
  </w:abstractNum>
  <w:abstractNum w:abstractNumId="3">
    <w:nsid w:val="B03E0C6"/>
    <w:multiLevelType w:val="hybridMultilevel"/>
    <w:lvl w:ilvl="0">
      <w:lvlJc w:val="left"/>
      <w:lvlText w:val="·"/>
      <w:numFmt w:val="bullet"/>
      <w:start w:val="1"/>
    </w:lvl>
  </w:abstractNum>
  <w:abstractNum w:abstractNumId="4">
    <w:nsid w:val="189A769B"/>
    <w:multiLevelType w:val="hybridMultilevel"/>
    <w:lvl w:ilvl="0">
      <w:lvlJc w:val="left"/>
      <w:lvlText w:val="(%1)"/>
      <w:numFmt w:val="decimal"/>
      <w:start w:val="1"/>
    </w:lvl>
  </w:abstractNum>
  <w:abstractNum w:abstractNumId="5">
    <w:nsid w:val="54E49EB4"/>
    <w:multiLevelType w:val="hybridMultilevel"/>
    <w:lvl w:ilvl="0">
      <w:lvlJc w:val="left"/>
      <w:lvlText w:val="(%1)"/>
      <w:numFmt w:val="decimal"/>
      <w:start w:val="1"/>
    </w:lvl>
  </w:abstractNum>
  <w:abstractNum w:abstractNumId="6">
    <w:nsid w:val="71F32454"/>
    <w:multiLevelType w:val="hybridMultilevel"/>
    <w:lvl w:ilvl="0">
      <w:lvlJc w:val="left"/>
      <w:lvlText w:val="(%1)"/>
      <w:numFmt w:val="decimal"/>
      <w:start w:val="1"/>
    </w:lvl>
  </w:abstractNum>
  <w:abstractNum w:abstractNumId="7">
    <w:nsid w:val="2CA88611"/>
    <w:multiLevelType w:val="hybridMultilevel"/>
    <w:lvl w:ilvl="0">
      <w:lvlJc w:val="left"/>
      <w:lvlText w:val="(%1)"/>
      <w:numFmt w:val="decimal"/>
      <w:start w:val="1"/>
    </w:lvl>
  </w:abstractNum>
  <w:abstractNum w:abstractNumId="8">
    <w:nsid w:val="836C40E"/>
    <w:multiLevelType w:val="hybridMultilevel"/>
    <w:lvl w:ilvl="0">
      <w:lvlJc w:val="left"/>
      <w:lvlText w:val="·"/>
      <w:numFmt w:val="bullet"/>
      <w:start w:val="1"/>
    </w:lvl>
  </w:abstractNum>
  <w:abstractNum w:abstractNumId="9">
    <w:nsid w:val="2901D82"/>
    <w:multiLevelType w:val="hybridMultilevel"/>
    <w:lvl w:ilvl="0">
      <w:lvlJc w:val="left"/>
      <w:lvlText w:val="(%1)"/>
      <w:numFmt w:val="decimal"/>
      <w:start w:val="1"/>
    </w:lvl>
  </w:abstractNum>
  <w:abstractNum w:abstractNumId="10">
    <w:nsid w:val="3A95F874"/>
    <w:multiLevelType w:val="hybridMultilevel"/>
    <w:lvl w:ilvl="0">
      <w:lvlJc w:val="left"/>
      <w:lvlText w:val="(%1)"/>
      <w:numFmt w:val="decimal"/>
      <w:start w:val="1"/>
    </w:lvl>
  </w:abstractNum>
  <w:abstractNum w:abstractNumId="11">
    <w:nsid w:val="8138641"/>
    <w:multiLevelType w:val="hybridMultilevel"/>
    <w:lvl w:ilvl="0">
      <w:lvlJc w:val="left"/>
      <w:lvlText w:val="(%1)"/>
      <w:numFmt w:val="decimal"/>
      <w:start w:val="1"/>
    </w:lvl>
  </w:abstractNum>
  <w:abstractNum w:abstractNumId="12">
    <w:nsid w:val="1E7FF521"/>
    <w:multiLevelType w:val="hybridMultilevel"/>
    <w:lvl w:ilvl="0">
      <w:lvlJc w:val="left"/>
      <w:lvlText w:val="(%1)"/>
      <w:numFmt w:val="decimal"/>
      <w:start w:val="1"/>
    </w:lvl>
  </w:abstractNum>
  <w:abstractNum w:abstractNumId="13">
    <w:nsid w:val="7C3DBD3D"/>
    <w:multiLevelType w:val="hybridMultilevel"/>
    <w:lvl w:ilvl="0">
      <w:lvlJc w:val="left"/>
      <w:lvlText w:val="(%1)"/>
      <w:numFmt w:val="decimal"/>
      <w:start w:val="1"/>
    </w:lvl>
  </w:abstractNum>
  <w:abstractNum w:abstractNumId="14">
    <w:nsid w:val="737B8DDC"/>
    <w:multiLevelType w:val="hybridMultilevel"/>
    <w:lvl w:ilvl="0">
      <w:lvlJc w:val="left"/>
      <w:lvlText w:val="(%1)"/>
      <w:numFmt w:val="decimal"/>
      <w:start w:val="1"/>
    </w:lvl>
  </w:abstractNum>
  <w:abstractNum w:abstractNumId="15">
    <w:nsid w:val="6CEAF087"/>
    <w:multiLevelType w:val="hybridMultilevel"/>
    <w:lvl w:ilvl="0">
      <w:lvlJc w:val="left"/>
      <w:lvlText w:val="(%1)"/>
      <w:numFmt w:val="decimal"/>
      <w:start w:val="1"/>
    </w:lvl>
  </w:abstractNum>
  <w:abstractNum w:abstractNumId="16">
    <w:nsid w:val="22221A70"/>
    <w:multiLevelType w:val="hybridMultilevel"/>
    <w:lvl w:ilvl="0">
      <w:lvlJc w:val="left"/>
      <w:lvlText w:val="(%1)"/>
      <w:numFmt w:val="decimal"/>
      <w:start w:val="1"/>
    </w:lvl>
  </w:abstractNum>
  <w:abstractNum w:abstractNumId="17">
    <w:nsid w:val="4516DDE9"/>
    <w:multiLevelType w:val="hybridMultilevel"/>
    <w:lvl w:ilvl="0">
      <w:lvlJc w:val="left"/>
      <w:lvlText w:val="(%1)"/>
      <w:numFmt w:val="decimal"/>
      <w:start w:val="1"/>
    </w:lvl>
  </w:abstractNum>
  <w:abstractNum w:abstractNumId="18">
    <w:nsid w:val="3006C83E"/>
    <w:multiLevelType w:val="hybridMultilevel"/>
    <w:lvl w:ilvl="0">
      <w:lvlJc w:val="left"/>
      <w:lvlText w:val="·"/>
      <w:numFmt w:val="bullet"/>
      <w:start w:val="1"/>
    </w:lvl>
  </w:abstractNum>
  <w:abstractNum w:abstractNumId="19">
    <w:nsid w:val="614FD4A1"/>
    <w:multiLevelType w:val="hybridMultilevel"/>
    <w:lvl w:ilvl="0">
      <w:lvlJc w:val="left"/>
      <w:lvlText w:val="·"/>
      <w:numFmt w:val="bullet"/>
      <w:start w:val="1"/>
    </w:lvl>
  </w:abstractNum>
  <w:abstractNum w:abstractNumId="20">
    <w:nsid w:val="419AC241"/>
    <w:multiLevelType w:val="hybridMultilevel"/>
    <w:lvl w:ilvl="0">
      <w:lvlJc w:val="left"/>
      <w:lvlText w:val="(%1)"/>
      <w:numFmt w:val="decimal"/>
      <w:start w:val="1"/>
    </w:lvl>
  </w:abstractNum>
  <w:abstractNum w:abstractNumId="21">
    <w:nsid w:val="5577F8E1"/>
    <w:multiLevelType w:val="hybridMultilevel"/>
    <w:lvl w:ilvl="0">
      <w:lvlJc w:val="left"/>
      <w:lvlText w:val="(%1)"/>
      <w:numFmt w:val="decimal"/>
      <w:start w:val="2"/>
    </w:lvl>
  </w:abstractNum>
  <w:abstractNum w:abstractNumId="22">
    <w:nsid w:val="440BADFC"/>
    <w:multiLevelType w:val="hybridMultilevel"/>
    <w:lvl w:ilvl="0">
      <w:lvlJc w:val="left"/>
      <w:lvlText w:val="(%1)"/>
      <w:numFmt w:val="decimal"/>
      <w:start w:val="3"/>
    </w:lvl>
  </w:abstractNum>
  <w:abstractNum w:abstractNumId="23">
    <w:nsid w:val="5072367"/>
    <w:multiLevelType w:val="hybridMultilevel"/>
    <w:lvl w:ilvl="0">
      <w:lvlJc w:val="left"/>
      <w:lvlText w:val="(%1)"/>
      <w:numFmt w:val="decimal"/>
      <w:start w:val="4"/>
    </w:lvl>
  </w:abstractNum>
  <w:abstractNum w:abstractNumId="24">
    <w:nsid w:val="3804823E"/>
    <w:multiLevelType w:val="hybridMultilevel"/>
    <w:lvl w:ilvl="0">
      <w:lvlJc w:val="left"/>
      <w:lvlText w:val="%1."/>
      <w:numFmt w:val="decimal"/>
      <w:start w:val="1"/>
    </w:lvl>
  </w:abstractNum>
  <w:abstractNum w:abstractNumId="25">
    <w:nsid w:val="77465F01"/>
    <w:multiLevelType w:val="hybridMultilevel"/>
    <w:lvl w:ilvl="0">
      <w:lvlJc w:val="left"/>
      <w:lvlText w:val="·"/>
      <w:numFmt w:val="bullet"/>
      <w:start w:val="1"/>
    </w:lvl>
  </w:abstractNum>
  <w:abstractNum w:abstractNumId="26">
    <w:nsid w:val="7724C67E"/>
    <w:multiLevelType w:val="hybridMultilevel"/>
    <w:lvl w:ilvl="0">
      <w:lvlJc w:val="left"/>
      <w:lvlText w:val="·"/>
      <w:numFmt w:val="bullet"/>
      <w:start w:val="1"/>
    </w:lvl>
  </w:abstractNum>
  <w:abstractNum w:abstractNumId="27">
    <w:nsid w:val="5C482A97"/>
    <w:multiLevelType w:val="hybridMultilevel"/>
    <w:lvl w:ilvl="0">
      <w:lvlJc w:val="left"/>
      <w:lvlText w:val="·"/>
      <w:numFmt w:val="bullet"/>
      <w:start w:val="1"/>
    </w:lvl>
  </w:abstractNum>
  <w:abstractNum w:abstractNumId="28">
    <w:nsid w:val="2463B9EA"/>
    <w:multiLevelType w:val="hybridMultilevel"/>
    <w:lvl w:ilvl="0">
      <w:lvlJc w:val="left"/>
      <w:lvlText w:val="·"/>
      <w:numFmt w:val="bullet"/>
      <w:start w:val="1"/>
    </w:lvl>
  </w:abstractNum>
  <w:abstractNum w:abstractNumId="29">
    <w:nsid w:val="5E884ADC"/>
    <w:multiLevelType w:val="hybridMultilevel"/>
    <w:lvl w:ilvl="0">
      <w:lvlJc w:val="left"/>
      <w:lvlText w:val="·"/>
      <w:numFmt w:val="bullet"/>
      <w:start w:val="1"/>
    </w:lvl>
  </w:abstractNum>
  <w:abstractNum w:abstractNumId="30">
    <w:nsid w:val="51EAD36B"/>
    <w:multiLevelType w:val="hybridMultilevel"/>
    <w:lvl w:ilvl="0">
      <w:lvlJc w:val="left"/>
      <w:lvlText w:val="·"/>
      <w:numFmt w:val="bullet"/>
      <w:start w:val="1"/>
    </w:lvl>
  </w:abstractNum>
  <w:abstractNum w:abstractNumId="31">
    <w:nsid w:val="2D517796"/>
    <w:multiLevelType w:val="hybridMultilevel"/>
    <w:lvl w:ilvl="0">
      <w:lvlJc w:val="left"/>
      <w:lvlText w:val="·"/>
      <w:numFmt w:val="bullet"/>
      <w:start w:val="1"/>
    </w:lvl>
  </w:abstractNum>
  <w:abstractNum w:abstractNumId="32">
    <w:nsid w:val="580BD78F"/>
    <w:multiLevelType w:val="hybridMultilevel"/>
    <w:lvl w:ilvl="0">
      <w:lvlJc w:val="left"/>
      <w:lvlText w:val="(%1)"/>
      <w:numFmt w:val="decimal"/>
      <w:start w:val="1"/>
    </w:lvl>
  </w:abstractNum>
  <w:abstractNum w:abstractNumId="33">
    <w:nsid w:val="153EA438"/>
    <w:multiLevelType w:val="hybridMultilevel"/>
    <w:lvl w:ilvl="0">
      <w:lvlJc w:val="left"/>
      <w:lvlText w:val="(%1)"/>
      <w:numFmt w:val="decimal"/>
      <w:start w:val="1"/>
    </w:lvl>
  </w:abstractNum>
  <w:abstractNum w:abstractNumId="34">
    <w:nsid w:val="3855585C"/>
    <w:multiLevelType w:val="hybridMultilevel"/>
    <w:lvl w:ilvl="0">
      <w:lvlJc w:val="left"/>
      <w:lvlText w:val="(%1)"/>
      <w:numFmt w:val="decimal"/>
      <w:start w:val="1"/>
    </w:lvl>
  </w:abstractNum>
  <w:abstractNum w:abstractNumId="35">
    <w:nsid w:val="70A64E2A"/>
    <w:multiLevelType w:val="hybridMultilevel"/>
    <w:lvl w:ilvl="0">
      <w:lvlJc w:val="left"/>
      <w:lvlText w:val="·"/>
      <w:numFmt w:val="bullet"/>
      <w:start w:val="1"/>
    </w:lvl>
  </w:abstractNum>
  <w:abstractNum w:abstractNumId="36">
    <w:nsid w:val="6A2342EC"/>
    <w:multiLevelType w:val="hybridMultilevel"/>
    <w:lvl w:ilvl="0">
      <w:lvlJc w:val="left"/>
      <w:lvlText w:val="·"/>
      <w:numFmt w:val="bullet"/>
      <w:start w:val="1"/>
    </w:lvl>
  </w:abstractNum>
  <w:abstractNum w:abstractNumId="37">
    <w:nsid w:val="2A487CB0"/>
    <w:multiLevelType w:val="hybridMultilevel"/>
    <w:lvl w:ilvl="0">
      <w:lvlJc w:val="left"/>
      <w:lvlText w:val="(%1)"/>
      <w:numFmt w:val="decimal"/>
      <w:start w:val="1"/>
    </w:lvl>
  </w:abstractNum>
  <w:abstractNum w:abstractNumId="38">
    <w:nsid w:val="1D4ED43B"/>
    <w:multiLevelType w:val="hybridMultilevel"/>
    <w:lvl w:ilvl="0">
      <w:lvlJc w:val="left"/>
      <w:lvlText w:val="(%1)"/>
      <w:numFmt w:val="decimal"/>
      <w:start w:val="2"/>
    </w:lvl>
  </w:abstractNum>
  <w:abstractNum w:abstractNumId="39">
    <w:nsid w:val="725A06FB"/>
    <w:multiLevelType w:val="hybridMultilevel"/>
    <w:lvl w:ilvl="0">
      <w:lvlJc w:val="left"/>
      <w:lvlText w:val="·"/>
      <w:numFmt w:val="bullet"/>
      <w:start w:val="1"/>
    </w:lvl>
  </w:abstractNum>
  <w:abstractNum w:abstractNumId="40">
    <w:nsid w:val="2CD89A32"/>
    <w:multiLevelType w:val="hybridMultilevel"/>
    <w:lvl w:ilvl="0">
      <w:lvlJc w:val="left"/>
      <w:lvlText w:val="·"/>
      <w:numFmt w:val="bullet"/>
      <w:start w:val="1"/>
    </w:lvl>
  </w:abstractNum>
  <w:abstractNum w:abstractNumId="41">
    <w:nsid w:val="57E4CCAF"/>
    <w:multiLevelType w:val="hybridMultilevel"/>
    <w:lvl w:ilvl="0">
      <w:lvlJc w:val="left"/>
      <w:lvlText w:val="·"/>
      <w:numFmt w:val="bullet"/>
      <w:start w:val="1"/>
    </w:lvl>
  </w:abstractNum>
  <w:abstractNum w:abstractNumId="42">
    <w:nsid w:val="7A6D8D3C"/>
    <w:multiLevelType w:val="hybridMultilevel"/>
    <w:lvl w:ilvl="0">
      <w:lvlJc w:val="left"/>
      <w:lvlText w:val="(%1)"/>
      <w:numFmt w:val="decimal"/>
      <w:start w:val="3"/>
    </w:lvl>
  </w:abstractNum>
  <w:abstractNum w:abstractNumId="43">
    <w:nsid w:val="4B588F54"/>
    <w:multiLevelType w:val="hybridMultilevel"/>
    <w:lvl w:ilvl="0">
      <w:lvlJc w:val="left"/>
      <w:lvlText w:val="(%1)"/>
      <w:numFmt w:val="decimal"/>
      <w:start w:val="1"/>
    </w:lvl>
  </w:abstractNum>
  <w:abstractNum w:abstractNumId="44">
    <w:nsid w:val="542289EC"/>
    <w:multiLevelType w:val="hybridMultilevel"/>
    <w:lvl w:ilvl="0">
      <w:lvlJc w:val="left"/>
      <w:lvlText w:val="%1."/>
      <w:numFmt w:val="decimal"/>
      <w:start w:val="1"/>
    </w:lvl>
    <w:lvl w:ilvl="1">
      <w:lvlJc w:val="left"/>
      <w:lvlText w:val="(%2)"/>
      <w:numFmt w:val="lowerLetter"/>
      <w:start w:val="1"/>
    </w:lvl>
  </w:abstractNum>
  <w:abstractNum w:abstractNumId="45">
    <w:nsid w:val="6DE91B18"/>
    <w:multiLevelType w:val="hybridMultilevel"/>
    <w:lvl w:ilvl="0">
      <w:lvlJc w:val="left"/>
      <w:lvlText w:val="%1."/>
      <w:numFmt w:val="decimal"/>
      <w:start w:val="1"/>
    </w:lvl>
    <w:lvl w:ilvl="1">
      <w:lvlJc w:val="left"/>
      <w:lvlText w:val="(%2)"/>
      <w:numFmt w:val="lowerLetter"/>
      <w:start w:val="1"/>
    </w:lvl>
  </w:abstractNum>
  <w:abstractNum w:abstractNumId="46">
    <w:nsid w:val="38437FDB"/>
    <w:multiLevelType w:val="hybridMultilevel"/>
    <w:lvl w:ilvl="0">
      <w:lvlJc w:val="left"/>
      <w:lvlText w:val="%1."/>
      <w:numFmt w:val="decimal"/>
      <w:start w:val="1"/>
    </w:lvl>
    <w:lvl w:ilvl="1">
      <w:lvlJc w:val="left"/>
      <w:lvlText w:val="·"/>
      <w:numFmt w:val="bullet"/>
      <w:start w:val="1"/>
    </w:lvl>
  </w:abstractNum>
  <w:abstractNum w:abstractNumId="47">
    <w:nsid w:val="7644A45C"/>
    <w:multiLevelType w:val="hybridMultilevel"/>
    <w:lvl w:ilvl="0">
      <w:lvlJc w:val="left"/>
      <w:lvlText w:val="%1."/>
      <w:numFmt w:val="decimal"/>
      <w:start w:val="1"/>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2019-12-10T09:50:21Z</dcterms:created>
  <dcterms:modified xsi:type="dcterms:W3CDTF">2019-12-10T09:50:21Z</dcterms:modified>
</cp:coreProperties>
</file>